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Exercise 1: Logging Error Messages and Warning Levels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Task: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Java application that demonstrates logging error messages and warning levels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SLF4J.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Step-by-Step Solution: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Add SLF4J and Logback dependencies to your `pom.xml` file: 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 Mono" w:cs="Roboto Mono" w:eastAsia="Roboto Mono" w:hAnsi="Roboto Mono"/>
          <w:color w:val="93a1a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93a1a1"/>
          <w:sz w:val="20"/>
          <w:szCs w:val="20"/>
          <w:rtl w:val="0"/>
        </w:rPr>
        <w:t xml:space="preserve">&lt;!-- SLF4J API --&gt;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&gt;org.slf4j&lt;/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&gt;slf4j-api&lt;/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&gt;1.7.30&lt;/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 Mono" w:cs="Roboto Mono" w:eastAsia="Roboto Mono" w:hAnsi="Roboto Mono"/>
          <w:color w:val="93a1a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93a1a1"/>
          <w:sz w:val="20"/>
          <w:szCs w:val="20"/>
          <w:rtl w:val="0"/>
        </w:rPr>
        <w:t xml:space="preserve">&lt;!-- Logback Classic (SLF4J implementation) --&gt;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&gt;ch.qos.logback&lt;/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&gt;logback-classic&lt;/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&gt;1.2.3&lt;/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Roboto Mono" w:cs="Roboto Mono" w:eastAsia="Roboto Mono" w:hAnsi="Roboto Mono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Create a Java class that uses SLF4J for logging: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LoggingExample {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Logger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(LoggingExample.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.error(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"This is an error message"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.warn(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"This is a warning message"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382000</wp:posOffset>
            </wp:positionV>
            <wp:extent cx="7153275" cy="35137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880" l="0" r="177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51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