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cjskwbepu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Insights from the Data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9fhn1fex2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Age Group Distribution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majority of patients are in the 19–64 age group, representing the working-age population.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9f22y9wm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Psychiatric Diagnoses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Psychiatric conditions such as depression and anxiety are prevalent, with a significant need for timely diagnosis and treatment.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ezjkbkh7m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PHQ-9 Scores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Patients with PHQ scores above 10 indicate moderate to severe symptoms of depression and anxiety, highlighting the need for immediate mental health interventions and ongoing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3z18j3b86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Depression Treatment Gaps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large proportion of patients diagnosed with depression do not receive antidepressants within 90 days, highlighting gaps in care delivery.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45fj4ckb8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CPT Code Utilization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Certain CPT codes, such as those related to psychotherapy, are frequently used for psychiatric patients, indicating demand for specific services.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u6pwmwwpx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predictive analytics to identify patients at risk of delayed treatment.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the analysis to other chronic conditions.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export of dashboard reports for stakeholders.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