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73E8" w:sz="18" w:space="8"/>
        </w:pBdr>
        <w:spacing w:after="0" w:before="1600"/>
      </w:pPr>
    </w:p>
    <w:p>
      <w:pPr>
        <w:spacing w:after="120" w:before="480"/>
        <w:jc w:val="left"/>
      </w:pPr>
      <w:r>
        <w:rPr>
          <w:rFonts w:ascii="Arial" w:cs="Arial" w:eastAsia="Arial" w:hAnsi="Arial"/>
          <w:b/>
          <w:bCs/>
          <w:color w:val="1A3C6E"/>
          <w:sz w:val="56"/>
          <w:szCs w:val="56"/>
        </w:rPr>
        <w:t xml:space="preserve">Conversational AI on Google Cloud</w:t>
      </w:r>
    </w:p>
    <w:p>
      <w:pPr>
        <w:spacing w:after="80"/>
      </w:pPr>
      <w:r>
        <w:rPr>
          <w:rFonts w:ascii="Arial" w:cs="Arial" w:eastAsia="Arial" w:hAnsi="Arial"/>
          <w:color w:val="1A73E8"/>
          <w:sz w:val="32"/>
          <w:szCs w:val="32"/>
        </w:rPr>
        <w:t xml:space="preserve">Gemini-Powered Policy &amp; Knowledge Assistant</w:t>
      </w:r>
    </w:p>
    <w:p>
      <w:pPr>
        <w:spacing w:after="40"/>
      </w:pPr>
      <w:r>
        <w:rPr>
          <w:rFonts w:ascii="Arial" w:cs="Arial" w:eastAsia="Arial" w:hAnsi="Arial"/>
          <w:color w:val="5F6368"/>
          <w:sz w:val="26"/>
          <w:szCs w:val="26"/>
        </w:rPr>
        <w:t xml:space="preserve">Customer &amp; Employee Facing  —  Implementation Document</w:t>
      </w:r>
    </w:p>
    <w:p>
      <w:pPr>
        <w:pBdr>
          <w:bottom w:val="single" w:color="C9D2DC" w:sz="6" w:space="6"/>
        </w:pBdr>
        <w:spacing w:after="0" w:before="200"/>
      </w:pPr>
    </w:p>
    <w:p>
      <w:pPr>
        <w:spacing w:after="80" w:before="2600"/>
      </w:pPr>
      <w:r>
        <w:rPr>
          <w:rFonts w:ascii="Arial" w:cs="Arial" w:eastAsia="Arial" w:hAnsi="Arial"/>
          <w:b/>
          <w:bCs/>
          <w:color w:val="5F6368"/>
          <w:sz w:val="22"/>
          <w:szCs w:val="22"/>
        </w:rPr>
        <w:t xml:space="preserve">Author</w:t>
      </w:r>
    </w:p>
    <w:p>
      <w:pPr>
        <w:spacing w:after="240"/>
      </w:pPr>
      <w:r>
        <w:rPr>
          <w:rFonts w:ascii="Arial" w:cs="Arial" w:eastAsia="Arial" w:hAnsi="Arial"/>
          <w:color w:val="202124"/>
          <w:sz w:val="26"/>
          <w:szCs w:val="26"/>
        </w:rPr>
        <w:t xml:space="preserve">Harikrishnan Rajaram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9D2DC" w:sz="1"/>
              <w:left w:val="single" w:color="C9D2DC" w:sz="1"/>
              <w:bottom w:val="single" w:color="C9D2DC" w:sz="1"/>
              <w:right w:val="single" w:color="C9D2DC" w:sz="1"/>
            </w:tcBorders>
            <w:shd w:fill="D9E2EC" w:val="clear"/>
            <w:tcMar>
              <w:top w:type="dxa" w:w="60"/>
              <w:left w:type="dxa" w:w="110"/>
              <w:bottom w:type="dxa" w:w="60"/>
              <w:right w:type="dxa" w:w="110"/>
            </w:tcMar>
            <w:vAlign w:val="center"/>
          </w:tcPr>
          <w:p>
            <w:pPr>
              <w:spacing w:after="0" w:line="264"/>
            </w:pPr>
            <w:r>
              <w:rPr>
                <w:rFonts w:ascii="Arial" w:cs="Arial" w:eastAsia="Arial" w:hAnsi="Arial"/>
                <w:b/>
                <w:bCs/>
                <w:color w:val="1A3C6E"/>
                <w:sz w:val="20"/>
                <w:szCs w:val="20"/>
              </w:rPr>
              <w:t xml:space="preserve">Version</w:t>
            </w:r>
          </w:p>
        </w:tc>
        <w:tc>
          <w:tcPr>
            <w:tcW w:type="dxa" w:w="2340"/>
            <w:tcBorders>
              <w:top w:val="single" w:color="C9D2DC" w:sz="1"/>
              <w:left w:val="single" w:color="C9D2DC" w:sz="1"/>
              <w:bottom w:val="single" w:color="C9D2DC" w:sz="1"/>
              <w:right w:val="single" w:color="C9D2DC" w:sz="1"/>
            </w:tcBorders>
            <w:shd w:fill="D9E2EC" w:val="clear"/>
            <w:tcMar>
              <w:top w:type="dxa" w:w="60"/>
              <w:left w:type="dxa" w:w="110"/>
              <w:bottom w:type="dxa" w:w="60"/>
              <w:right w:type="dxa" w:w="110"/>
            </w:tcMar>
            <w:vAlign w:val="center"/>
          </w:tcPr>
          <w:p>
            <w:pPr>
              <w:spacing w:after="0" w:line="264"/>
            </w:pPr>
            <w:r>
              <w:rPr>
                <w:rFonts w:ascii="Arial" w:cs="Arial" w:eastAsia="Arial" w:hAnsi="Arial"/>
                <w:b/>
                <w:bCs/>
                <w:color w:val="1A3C6E"/>
                <w:sz w:val="20"/>
                <w:szCs w:val="20"/>
              </w:rPr>
              <w:t xml:space="preserve">Status</w:t>
            </w:r>
          </w:p>
        </w:tc>
        <w:tc>
          <w:tcPr>
            <w:tcW w:type="dxa" w:w="2340"/>
            <w:tcBorders>
              <w:top w:val="single" w:color="C9D2DC" w:sz="1"/>
              <w:left w:val="single" w:color="C9D2DC" w:sz="1"/>
              <w:bottom w:val="single" w:color="C9D2DC" w:sz="1"/>
              <w:right w:val="single" w:color="C9D2DC" w:sz="1"/>
            </w:tcBorders>
            <w:shd w:fill="D9E2EC" w:val="clear"/>
            <w:tcMar>
              <w:top w:type="dxa" w:w="60"/>
              <w:left w:type="dxa" w:w="110"/>
              <w:bottom w:type="dxa" w:w="60"/>
              <w:right w:type="dxa" w:w="110"/>
            </w:tcMar>
            <w:vAlign w:val="center"/>
          </w:tcPr>
          <w:p>
            <w:pPr>
              <w:spacing w:after="0" w:line="264"/>
            </w:pPr>
            <w:r>
              <w:rPr>
                <w:rFonts w:ascii="Arial" w:cs="Arial" w:eastAsia="Arial" w:hAnsi="Arial"/>
                <w:b/>
                <w:bCs/>
                <w:color w:val="1A3C6E"/>
                <w:sz w:val="20"/>
                <w:szCs w:val="20"/>
              </w:rPr>
              <w:t xml:space="preserve">Date</w:t>
            </w:r>
          </w:p>
        </w:tc>
        <w:tc>
          <w:tcPr>
            <w:tcW w:type="dxa" w:w="2340"/>
            <w:tcBorders>
              <w:top w:val="single" w:color="C9D2DC" w:sz="1"/>
              <w:left w:val="single" w:color="C9D2DC" w:sz="1"/>
              <w:bottom w:val="single" w:color="C9D2DC" w:sz="1"/>
              <w:right w:val="single" w:color="C9D2DC" w:sz="1"/>
            </w:tcBorders>
            <w:shd w:fill="D9E2EC" w:val="clear"/>
            <w:tcMar>
              <w:top w:type="dxa" w:w="60"/>
              <w:left w:type="dxa" w:w="110"/>
              <w:bottom w:type="dxa" w:w="60"/>
              <w:right w:type="dxa" w:w="110"/>
            </w:tcMar>
            <w:vAlign w:val="center"/>
          </w:tcPr>
          <w:p>
            <w:pPr>
              <w:spacing w:after="0" w:line="264"/>
            </w:pPr>
            <w:r>
              <w:rPr>
                <w:rFonts w:ascii="Arial" w:cs="Arial" w:eastAsia="Arial" w:hAnsi="Arial"/>
                <w:b/>
                <w:bCs/>
                <w:color w:val="1A3C6E"/>
                <w:sz w:val="20"/>
                <w:szCs w:val="20"/>
              </w:rPr>
              <w:t xml:space="preserve">Classification</w:t>
            </w:r>
          </w:p>
        </w:tc>
      </w:tr>
      <w:tr>
        <w:trPr>
          <w:tblHeader w:val="false"/>
        </w:trPr>
        <w:tc>
          <w:tcPr>
            <w:tcW w:type="dxa" w:w="234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1.0</w:t>
            </w:r>
          </w:p>
        </w:tc>
        <w:tc>
          <w:tcPr>
            <w:tcW w:type="dxa" w:w="234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Draft for Review</w:t>
            </w:r>
          </w:p>
        </w:tc>
        <w:tc>
          <w:tcPr>
            <w:tcW w:type="dxa" w:w="234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June 20, 2026</w:t>
            </w:r>
          </w:p>
        </w:tc>
        <w:tc>
          <w:tcPr>
            <w:tcW w:type="dxa" w:w="234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Internal</w:t>
            </w:r>
          </w:p>
        </w:tc>
      </w:tr>
    </w:tbl>
    <w:p>
      <w:r>
        <w:br w:type="page"/>
      </w:r>
    </w:p>
    <w:p>
      <w:pPr>
        <w:sectPr>
          <w:pgSz w:w="12240" w:h="15840" w:orient="portrait"/>
          <w:pgMar w:top="1440" w:right="1440" w:bottom="1440" w:left="1440" w:header="708" w:footer="708" w:gutter="0"/>
          <w:pgNumType/>
          <w:docGrid w:linePitch="360"/>
        </w:sectPr>
      </w:pPr>
    </w:p>
    <w:p>
      <w:pPr>
        <w:spacing w:after="160" w:line="276"/>
      </w:pPr>
      <w:r>
        <w:rPr>
          <w:rFonts w:ascii="Arial" w:cs="Arial" w:eastAsia="Arial" w:hAnsi="Arial"/>
          <w:b/>
          <w:bCs/>
          <w:color w:val="1A3C6E"/>
          <w:sz w:val="28"/>
          <w:szCs w:val="2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000"/>
        <w:gridCol w:w="3360"/>
      </w:tblGrid>
      <w:tr>
        <w:trPr>
          <w:tblHeader/>
        </w:trPr>
        <w:tc>
          <w:tcPr>
            <w:tcW w:type="dxa" w:w="1400"/>
            <w:tcBorders>
              <w:top w:val="single" w:color="C9D2DC" w:sz="1"/>
              <w:left w:val="single" w:color="C9D2DC" w:sz="1"/>
              <w:bottom w:val="single" w:color="C9D2DC" w:sz="1"/>
              <w:right w:val="single" w:color="C9D2DC" w:sz="1"/>
            </w:tcBorders>
            <w:shd w:fill="D9E2EC" w:val="clear"/>
            <w:tcMar>
              <w:top w:type="dxa" w:w="60"/>
              <w:left w:type="dxa" w:w="110"/>
              <w:bottom w:type="dxa" w:w="60"/>
              <w:right w:type="dxa" w:w="110"/>
            </w:tcMar>
            <w:vAlign w:val="center"/>
          </w:tcPr>
          <w:p>
            <w:pPr>
              <w:spacing w:after="0" w:line="264"/>
            </w:pPr>
            <w:r>
              <w:rPr>
                <w:rFonts w:ascii="Arial" w:cs="Arial" w:eastAsia="Arial" w:hAnsi="Arial"/>
                <w:b/>
                <w:bCs/>
                <w:color w:val="1A3C6E"/>
                <w:sz w:val="20"/>
                <w:szCs w:val="20"/>
              </w:rPr>
              <w:t xml:space="preserve">Version</w:t>
            </w:r>
          </w:p>
        </w:tc>
        <w:tc>
          <w:tcPr>
            <w:tcW w:type="dxa" w:w="1600"/>
            <w:tcBorders>
              <w:top w:val="single" w:color="C9D2DC" w:sz="1"/>
              <w:left w:val="single" w:color="C9D2DC" w:sz="1"/>
              <w:bottom w:val="single" w:color="C9D2DC" w:sz="1"/>
              <w:right w:val="single" w:color="C9D2DC" w:sz="1"/>
            </w:tcBorders>
            <w:shd w:fill="D9E2EC" w:val="clear"/>
            <w:tcMar>
              <w:top w:type="dxa" w:w="60"/>
              <w:left w:type="dxa" w:w="110"/>
              <w:bottom w:type="dxa" w:w="60"/>
              <w:right w:type="dxa" w:w="110"/>
            </w:tcMar>
            <w:vAlign w:val="center"/>
          </w:tcPr>
          <w:p>
            <w:pPr>
              <w:spacing w:after="0" w:line="264"/>
            </w:pPr>
            <w:r>
              <w:rPr>
                <w:rFonts w:ascii="Arial" w:cs="Arial" w:eastAsia="Arial" w:hAnsi="Arial"/>
                <w:b/>
                <w:bCs/>
                <w:color w:val="1A3C6E"/>
                <w:sz w:val="20"/>
                <w:szCs w:val="20"/>
              </w:rPr>
              <w:t xml:space="preserve">Date</w:t>
            </w:r>
          </w:p>
        </w:tc>
        <w:tc>
          <w:tcPr>
            <w:tcW w:type="dxa" w:w="3000"/>
            <w:tcBorders>
              <w:top w:val="single" w:color="C9D2DC" w:sz="1"/>
              <w:left w:val="single" w:color="C9D2DC" w:sz="1"/>
              <w:bottom w:val="single" w:color="C9D2DC" w:sz="1"/>
              <w:right w:val="single" w:color="C9D2DC" w:sz="1"/>
            </w:tcBorders>
            <w:shd w:fill="D9E2EC" w:val="clear"/>
            <w:tcMar>
              <w:top w:type="dxa" w:w="60"/>
              <w:left w:type="dxa" w:w="110"/>
              <w:bottom w:type="dxa" w:w="60"/>
              <w:right w:type="dxa" w:w="110"/>
            </w:tcMar>
            <w:vAlign w:val="center"/>
          </w:tcPr>
          <w:p>
            <w:pPr>
              <w:spacing w:after="0" w:line="264"/>
            </w:pPr>
            <w:r>
              <w:rPr>
                <w:rFonts w:ascii="Arial" w:cs="Arial" w:eastAsia="Arial" w:hAnsi="Arial"/>
                <w:b/>
                <w:bCs/>
                <w:color w:val="1A3C6E"/>
                <w:sz w:val="20"/>
                <w:szCs w:val="20"/>
              </w:rPr>
              <w:t xml:space="preserve">Author</w:t>
            </w:r>
          </w:p>
        </w:tc>
        <w:tc>
          <w:tcPr>
            <w:tcW w:type="dxa" w:w="3360"/>
            <w:tcBorders>
              <w:top w:val="single" w:color="C9D2DC" w:sz="1"/>
              <w:left w:val="single" w:color="C9D2DC" w:sz="1"/>
              <w:bottom w:val="single" w:color="C9D2DC" w:sz="1"/>
              <w:right w:val="single" w:color="C9D2DC" w:sz="1"/>
            </w:tcBorders>
            <w:shd w:fill="D9E2EC" w:val="clear"/>
            <w:tcMar>
              <w:top w:type="dxa" w:w="60"/>
              <w:left w:type="dxa" w:w="110"/>
              <w:bottom w:type="dxa" w:w="60"/>
              <w:right w:type="dxa" w:w="110"/>
            </w:tcMar>
            <w:vAlign w:val="center"/>
          </w:tcPr>
          <w:p>
            <w:pPr>
              <w:spacing w:after="0" w:line="264"/>
            </w:pPr>
            <w:r>
              <w:rPr>
                <w:rFonts w:ascii="Arial" w:cs="Arial" w:eastAsia="Arial" w:hAnsi="Arial"/>
                <w:b/>
                <w:bCs/>
                <w:color w:val="1A3C6E"/>
                <w:sz w:val="20"/>
                <w:szCs w:val="20"/>
              </w:rPr>
              <w:t xml:space="preserve">Summary of change</w:t>
            </w:r>
          </w:p>
        </w:tc>
      </w:tr>
      <w:tr>
        <w:trPr>
          <w:tblHeader w:val="false"/>
        </w:trPr>
        <w:tc>
          <w:tcPr>
            <w:tcW w:type="dxa" w:w="14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0.1</w:t>
            </w:r>
          </w:p>
        </w:tc>
        <w:tc>
          <w:tcPr>
            <w:tcW w:type="dxa" w:w="16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w:t>
            </w:r>
          </w:p>
        </w:tc>
        <w:tc>
          <w:tcPr>
            <w:tcW w:type="dxa" w:w="30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Harikrishnan Rajaram</w:t>
            </w:r>
          </w:p>
        </w:tc>
        <w:tc>
          <w:tcPr>
            <w:tcW w:type="dxa" w:w="33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Initial draft of architecture and approach</w:t>
            </w:r>
          </w:p>
        </w:tc>
      </w:tr>
      <w:tr>
        <w:trPr>
          <w:tblHeader w:val="false"/>
        </w:trPr>
        <w:tc>
          <w:tcPr>
            <w:tcW w:type="dxa" w:w="14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1.0</w:t>
            </w:r>
          </w:p>
        </w:tc>
        <w:tc>
          <w:tcPr>
            <w:tcW w:type="dxa" w:w="16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w:t>
            </w:r>
          </w:p>
        </w:tc>
        <w:tc>
          <w:tcPr>
            <w:tcW w:type="dxa" w:w="30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Harikrishnan Rajaram</w:t>
            </w:r>
          </w:p>
        </w:tc>
        <w:tc>
          <w:tcPr>
            <w:tcW w:type="dxa" w:w="33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Completed implementation plan, security, and rollout</w:t>
            </w:r>
          </w:p>
        </w:tc>
      </w:tr>
    </w:tbl>
    <w:p>
      <w:pPr>
        <w:spacing w:before="360"/>
      </w:pPr>
    </w:p>
    <w:p>
      <w:pPr>
        <w:spacing w:after="200" w:line="276"/>
      </w:pPr>
      <w:r>
        <w:rPr>
          <w:rFonts w:ascii="Arial" w:cs="Arial" w:eastAsia="Arial" w:hAnsi="Arial"/>
          <w:b/>
          <w:bCs/>
          <w:color w:val="1A3C6E"/>
          <w:sz w:val="28"/>
          <w:szCs w:val="28"/>
        </w:rPr>
        <w:t xml:space="preserve">Table of Contents</w:t>
      </w:r>
    </w:p>
    <w:p>
      <w:pPr>
        <w:tabs>
          <w:tab w:val="right" w:pos="9360" w:leader="dot"/>
        </w:tabs>
        <w:spacing w:after="70" w:line="264"/>
        <w:ind w:left="0"/>
      </w:pPr>
      <w:r>
        <w:rPr>
          <w:rFonts w:ascii="Arial" w:cs="Arial" w:eastAsia="Arial" w:hAnsi="Arial"/>
          <w:b/>
          <w:bCs/>
          <w:color w:val="1A3C6E"/>
          <w:sz w:val="22"/>
          <w:szCs w:val="22"/>
        </w:rPr>
        <w:t xml:space="preserve">1.  Executive Summary</w:t>
      </w:r>
      <w:r>
        <w:rPr>
          <w:rFonts w:ascii="Arial" w:cs="Arial" w:eastAsia="Arial" w:hAnsi="Arial"/>
          <w:color w:val="5F6368"/>
          <w:sz w:val="22"/>
          <w:szCs w:val="22"/>
        </w:rPr>
        <w:t xml:space="preserve">	3</w:t>
      </w:r>
    </w:p>
    <w:p>
      <w:pPr>
        <w:tabs>
          <w:tab w:val="right" w:pos="9360" w:leader="dot"/>
        </w:tabs>
        <w:spacing w:after="70" w:line="264"/>
        <w:ind w:left="0"/>
      </w:pPr>
      <w:r>
        <w:rPr>
          <w:rFonts w:ascii="Arial" w:cs="Arial" w:eastAsia="Arial" w:hAnsi="Arial"/>
          <w:b/>
          <w:bCs/>
          <w:color w:val="1A3C6E"/>
          <w:sz w:val="22"/>
          <w:szCs w:val="22"/>
        </w:rPr>
        <w:t xml:space="preserve">2.  Solution Overview</w:t>
      </w:r>
      <w:r>
        <w:rPr>
          <w:rFonts w:ascii="Arial" w:cs="Arial" w:eastAsia="Arial" w:hAnsi="Arial"/>
          <w:color w:val="5F6368"/>
          <w:sz w:val="22"/>
          <w:szCs w:val="22"/>
        </w:rPr>
        <w:t xml:space="preserve">	3</w:t>
      </w:r>
    </w:p>
    <w:p>
      <w:pPr>
        <w:tabs>
          <w:tab w:val="right" w:pos="9360" w:leader="dot"/>
        </w:tabs>
        <w:spacing w:after="46" w:line="264"/>
        <w:ind w:left="380"/>
      </w:pPr>
      <w:r>
        <w:rPr>
          <w:rFonts w:ascii="Arial" w:cs="Arial" w:eastAsia="Arial" w:hAnsi="Arial"/>
          <w:b w:val="false"/>
          <w:bCs w:val="false"/>
          <w:color w:val="3C4043"/>
          <w:sz w:val="20"/>
          <w:szCs w:val="20"/>
        </w:rPr>
        <w:t xml:space="preserve">2.1  Objectives</w:t>
      </w:r>
      <w:r>
        <w:rPr>
          <w:rFonts w:ascii="Arial" w:cs="Arial" w:eastAsia="Arial" w:hAnsi="Arial"/>
          <w:color w:val="5F6368"/>
          <w:sz w:val="20"/>
          <w:szCs w:val="20"/>
        </w:rPr>
        <w:t xml:space="preserve">	3</w:t>
      </w:r>
    </w:p>
    <w:p>
      <w:pPr>
        <w:tabs>
          <w:tab w:val="right" w:pos="9360" w:leader="dot"/>
        </w:tabs>
        <w:spacing w:after="46" w:line="264"/>
        <w:ind w:left="380"/>
      </w:pPr>
      <w:r>
        <w:rPr>
          <w:rFonts w:ascii="Arial" w:cs="Arial" w:eastAsia="Arial" w:hAnsi="Arial"/>
          <w:b w:val="false"/>
          <w:bCs w:val="false"/>
          <w:color w:val="3C4043"/>
          <w:sz w:val="20"/>
          <w:szCs w:val="20"/>
        </w:rPr>
        <w:t xml:space="preserve">2.2  Scope</w:t>
      </w:r>
      <w:r>
        <w:rPr>
          <w:rFonts w:ascii="Arial" w:cs="Arial" w:eastAsia="Arial" w:hAnsi="Arial"/>
          <w:color w:val="5F6368"/>
          <w:sz w:val="20"/>
          <w:szCs w:val="20"/>
        </w:rPr>
        <w:t xml:space="preserve">	3</w:t>
      </w:r>
    </w:p>
    <w:p>
      <w:pPr>
        <w:tabs>
          <w:tab w:val="right" w:pos="9360" w:leader="dot"/>
        </w:tabs>
        <w:spacing w:after="70" w:line="264"/>
        <w:ind w:left="0"/>
      </w:pPr>
      <w:r>
        <w:rPr>
          <w:rFonts w:ascii="Arial" w:cs="Arial" w:eastAsia="Arial" w:hAnsi="Arial"/>
          <w:b/>
          <w:bCs/>
          <w:color w:val="1A3C6E"/>
          <w:sz w:val="22"/>
          <w:szCs w:val="22"/>
        </w:rPr>
        <w:t xml:space="preserve">3.  Architecture</w:t>
      </w:r>
      <w:r>
        <w:rPr>
          <w:rFonts w:ascii="Arial" w:cs="Arial" w:eastAsia="Arial" w:hAnsi="Arial"/>
          <w:color w:val="5F6368"/>
          <w:sz w:val="22"/>
          <w:szCs w:val="22"/>
        </w:rPr>
        <w:t xml:space="preserve">	3</w:t>
      </w:r>
    </w:p>
    <w:p>
      <w:pPr>
        <w:tabs>
          <w:tab w:val="right" w:pos="9360" w:leader="dot"/>
        </w:tabs>
        <w:spacing w:after="46" w:line="264"/>
        <w:ind w:left="380"/>
      </w:pPr>
      <w:r>
        <w:rPr>
          <w:rFonts w:ascii="Arial" w:cs="Arial" w:eastAsia="Arial" w:hAnsi="Arial"/>
          <w:b w:val="false"/>
          <w:bCs w:val="false"/>
          <w:color w:val="3C4043"/>
          <w:sz w:val="20"/>
          <w:szCs w:val="20"/>
        </w:rPr>
        <w:t xml:space="preserve">3.1  Layer responsibilities</w:t>
      </w:r>
      <w:r>
        <w:rPr>
          <w:rFonts w:ascii="Arial" w:cs="Arial" w:eastAsia="Arial" w:hAnsi="Arial"/>
          <w:color w:val="5F6368"/>
          <w:sz w:val="20"/>
          <w:szCs w:val="20"/>
        </w:rPr>
        <w:t xml:space="preserve">	4</w:t>
      </w:r>
    </w:p>
    <w:p>
      <w:pPr>
        <w:tabs>
          <w:tab w:val="right" w:pos="9360" w:leader="dot"/>
        </w:tabs>
        <w:spacing w:after="46" w:line="264"/>
        <w:ind w:left="380"/>
      </w:pPr>
      <w:r>
        <w:rPr>
          <w:rFonts w:ascii="Arial" w:cs="Arial" w:eastAsia="Arial" w:hAnsi="Arial"/>
          <w:b w:val="false"/>
          <w:bCs w:val="false"/>
          <w:color w:val="3C4043"/>
          <w:sz w:val="20"/>
          <w:szCs w:val="20"/>
        </w:rPr>
        <w:t xml:space="preserve">3.2  Two-channel design</w:t>
      </w:r>
      <w:r>
        <w:rPr>
          <w:rFonts w:ascii="Arial" w:cs="Arial" w:eastAsia="Arial" w:hAnsi="Arial"/>
          <w:color w:val="5F6368"/>
          <w:sz w:val="20"/>
          <w:szCs w:val="20"/>
        </w:rPr>
        <w:t xml:space="preserve">	5</w:t>
      </w:r>
    </w:p>
    <w:p>
      <w:pPr>
        <w:tabs>
          <w:tab w:val="right" w:pos="9360" w:leader="dot"/>
        </w:tabs>
        <w:spacing w:after="70" w:line="264"/>
        <w:ind w:left="0"/>
      </w:pPr>
      <w:r>
        <w:rPr>
          <w:rFonts w:ascii="Arial" w:cs="Arial" w:eastAsia="Arial" w:hAnsi="Arial"/>
          <w:b/>
          <w:bCs/>
          <w:color w:val="1A3C6E"/>
          <w:sz w:val="22"/>
          <w:szCs w:val="22"/>
        </w:rPr>
        <w:t xml:space="preserve">4.  Technology Stack</w:t>
      </w:r>
      <w:r>
        <w:rPr>
          <w:rFonts w:ascii="Arial" w:cs="Arial" w:eastAsia="Arial" w:hAnsi="Arial"/>
          <w:color w:val="5F6368"/>
          <w:sz w:val="22"/>
          <w:szCs w:val="22"/>
        </w:rPr>
        <w:t xml:space="preserve">	5</w:t>
      </w:r>
    </w:p>
    <w:p>
      <w:pPr>
        <w:tabs>
          <w:tab w:val="right" w:pos="9360" w:leader="dot"/>
        </w:tabs>
        <w:spacing w:after="70" w:line="264"/>
        <w:ind w:left="0"/>
      </w:pPr>
      <w:r>
        <w:rPr>
          <w:rFonts w:ascii="Arial" w:cs="Arial" w:eastAsia="Arial" w:hAnsi="Arial"/>
          <w:b/>
          <w:bCs/>
          <w:color w:val="1A3C6E"/>
          <w:sz w:val="22"/>
          <w:szCs w:val="22"/>
        </w:rPr>
        <w:t xml:space="preserve">5.  Request Lifecycle</w:t>
      </w:r>
      <w:r>
        <w:rPr>
          <w:rFonts w:ascii="Arial" w:cs="Arial" w:eastAsia="Arial" w:hAnsi="Arial"/>
          <w:color w:val="5F6368"/>
          <w:sz w:val="22"/>
          <w:szCs w:val="22"/>
        </w:rPr>
        <w:t xml:space="preserve">	6</w:t>
      </w:r>
    </w:p>
    <w:p>
      <w:pPr>
        <w:tabs>
          <w:tab w:val="right" w:pos="9360" w:leader="dot"/>
        </w:tabs>
        <w:spacing w:after="70" w:line="264"/>
        <w:ind w:left="0"/>
      </w:pPr>
      <w:r>
        <w:rPr>
          <w:rFonts w:ascii="Arial" w:cs="Arial" w:eastAsia="Arial" w:hAnsi="Arial"/>
          <w:b/>
          <w:bCs/>
          <w:color w:val="1A3C6E"/>
          <w:sz w:val="22"/>
          <w:szCs w:val="22"/>
        </w:rPr>
        <w:t xml:space="preserve">6.  Security, Privacy &amp; Compliance</w:t>
      </w:r>
      <w:r>
        <w:rPr>
          <w:rFonts w:ascii="Arial" w:cs="Arial" w:eastAsia="Arial" w:hAnsi="Arial"/>
          <w:color w:val="5F6368"/>
          <w:sz w:val="22"/>
          <w:szCs w:val="22"/>
        </w:rPr>
        <w:t xml:space="preserve">	6</w:t>
      </w:r>
    </w:p>
    <w:p>
      <w:pPr>
        <w:tabs>
          <w:tab w:val="right" w:pos="9360" w:leader="dot"/>
        </w:tabs>
        <w:spacing w:after="70" w:line="264"/>
        <w:ind w:left="0"/>
      </w:pPr>
      <w:r>
        <w:rPr>
          <w:rFonts w:ascii="Arial" w:cs="Arial" w:eastAsia="Arial" w:hAnsi="Arial"/>
          <w:b/>
          <w:bCs/>
          <w:color w:val="1A3C6E"/>
          <w:sz w:val="22"/>
          <w:szCs w:val="22"/>
        </w:rPr>
        <w:t xml:space="preserve">7.  Performance &amp; Latency</w:t>
      </w:r>
      <w:r>
        <w:rPr>
          <w:rFonts w:ascii="Arial" w:cs="Arial" w:eastAsia="Arial" w:hAnsi="Arial"/>
          <w:color w:val="5F6368"/>
          <w:sz w:val="22"/>
          <w:szCs w:val="22"/>
        </w:rPr>
        <w:t xml:space="preserve">	7</w:t>
      </w:r>
    </w:p>
    <w:p>
      <w:pPr>
        <w:tabs>
          <w:tab w:val="right" w:pos="9360" w:leader="dot"/>
        </w:tabs>
        <w:spacing w:after="70" w:line="264"/>
        <w:ind w:left="0"/>
      </w:pPr>
      <w:r>
        <w:rPr>
          <w:rFonts w:ascii="Arial" w:cs="Arial" w:eastAsia="Arial" w:hAnsi="Arial"/>
          <w:b/>
          <w:bCs/>
          <w:color w:val="1A3C6E"/>
          <w:sz w:val="22"/>
          <w:szCs w:val="22"/>
        </w:rPr>
        <w:t xml:space="preserve">8.  Implementation Plan</w:t>
      </w:r>
      <w:r>
        <w:rPr>
          <w:rFonts w:ascii="Arial" w:cs="Arial" w:eastAsia="Arial" w:hAnsi="Arial"/>
          <w:color w:val="5F6368"/>
          <w:sz w:val="22"/>
          <w:szCs w:val="22"/>
        </w:rPr>
        <w:t xml:space="preserve">	7</w:t>
      </w:r>
    </w:p>
    <w:p>
      <w:pPr>
        <w:tabs>
          <w:tab w:val="right" w:pos="9360" w:leader="dot"/>
        </w:tabs>
        <w:spacing w:after="46" w:line="264"/>
        <w:ind w:left="380"/>
      </w:pPr>
      <w:r>
        <w:rPr>
          <w:rFonts w:ascii="Arial" w:cs="Arial" w:eastAsia="Arial" w:hAnsi="Arial"/>
          <w:b w:val="false"/>
          <w:bCs w:val="false"/>
          <w:color w:val="3C4043"/>
          <w:sz w:val="20"/>
          <w:szCs w:val="20"/>
        </w:rPr>
        <w:t xml:space="preserve">8.1 – 8.6  Phases 0 to 5</w:t>
      </w:r>
      <w:r>
        <w:rPr>
          <w:rFonts w:ascii="Arial" w:cs="Arial" w:eastAsia="Arial" w:hAnsi="Arial"/>
          <w:color w:val="5F6368"/>
          <w:sz w:val="20"/>
          <w:szCs w:val="20"/>
        </w:rPr>
        <w:t xml:space="preserve">	7</w:t>
      </w:r>
    </w:p>
    <w:p>
      <w:pPr>
        <w:tabs>
          <w:tab w:val="right" w:pos="9360" w:leader="dot"/>
        </w:tabs>
        <w:spacing w:after="46" w:line="264"/>
        <w:ind w:left="380"/>
      </w:pPr>
      <w:r>
        <w:rPr>
          <w:rFonts w:ascii="Arial" w:cs="Arial" w:eastAsia="Arial" w:hAnsi="Arial"/>
          <w:b w:val="false"/>
          <w:bCs w:val="false"/>
          <w:color w:val="3C4043"/>
          <w:sz w:val="20"/>
          <w:szCs w:val="20"/>
        </w:rPr>
        <w:t xml:space="preserve">8.7  Phase 6 — Hardening and pilot</w:t>
      </w:r>
      <w:r>
        <w:rPr>
          <w:rFonts w:ascii="Arial" w:cs="Arial" w:eastAsia="Arial" w:hAnsi="Arial"/>
          <w:color w:val="5F6368"/>
          <w:sz w:val="20"/>
          <w:szCs w:val="20"/>
        </w:rPr>
        <w:t xml:space="preserve">	8</w:t>
      </w:r>
    </w:p>
    <w:p>
      <w:pPr>
        <w:tabs>
          <w:tab w:val="right" w:pos="9360" w:leader="dot"/>
        </w:tabs>
        <w:spacing w:after="70" w:line="264"/>
        <w:ind w:left="0"/>
      </w:pPr>
      <w:r>
        <w:rPr>
          <w:rFonts w:ascii="Arial" w:cs="Arial" w:eastAsia="Arial" w:hAnsi="Arial"/>
          <w:b/>
          <w:bCs/>
          <w:color w:val="1A3C6E"/>
          <w:sz w:val="22"/>
          <w:szCs w:val="22"/>
        </w:rPr>
        <w:t xml:space="preserve">9.  Hosting &amp; Deployment</w:t>
      </w:r>
      <w:r>
        <w:rPr>
          <w:rFonts w:ascii="Arial" w:cs="Arial" w:eastAsia="Arial" w:hAnsi="Arial"/>
          <w:color w:val="5F6368"/>
          <w:sz w:val="22"/>
          <w:szCs w:val="22"/>
        </w:rPr>
        <w:t xml:space="preserve">	8</w:t>
      </w:r>
    </w:p>
    <w:p>
      <w:pPr>
        <w:tabs>
          <w:tab w:val="right" w:pos="9360" w:leader="dot"/>
        </w:tabs>
        <w:spacing w:after="70" w:line="264"/>
        <w:ind w:left="0"/>
      </w:pPr>
      <w:r>
        <w:rPr>
          <w:rFonts w:ascii="Arial" w:cs="Arial" w:eastAsia="Arial" w:hAnsi="Arial"/>
          <w:b/>
          <w:bCs/>
          <w:color w:val="1A3C6E"/>
          <w:sz w:val="22"/>
          <w:szCs w:val="22"/>
        </w:rPr>
        <w:t xml:space="preserve">10.  Evaluation &amp; Model Risk</w:t>
      </w:r>
      <w:r>
        <w:rPr>
          <w:rFonts w:ascii="Arial" w:cs="Arial" w:eastAsia="Arial" w:hAnsi="Arial"/>
          <w:color w:val="5F6368"/>
          <w:sz w:val="22"/>
          <w:szCs w:val="22"/>
        </w:rPr>
        <w:t xml:space="preserve">	8</w:t>
      </w:r>
    </w:p>
    <w:p>
      <w:pPr>
        <w:tabs>
          <w:tab w:val="right" w:pos="9360" w:leader="dot"/>
        </w:tabs>
        <w:spacing w:after="70" w:line="264"/>
        <w:ind w:left="0"/>
      </w:pPr>
      <w:r>
        <w:rPr>
          <w:rFonts w:ascii="Arial" w:cs="Arial" w:eastAsia="Arial" w:hAnsi="Arial"/>
          <w:b/>
          <w:bCs/>
          <w:color w:val="1A3C6E"/>
          <w:sz w:val="22"/>
          <w:szCs w:val="22"/>
        </w:rPr>
        <w:t xml:space="preserve">11.  Operations &amp; Monitoring</w:t>
      </w:r>
      <w:r>
        <w:rPr>
          <w:rFonts w:ascii="Arial" w:cs="Arial" w:eastAsia="Arial" w:hAnsi="Arial"/>
          <w:color w:val="5F6368"/>
          <w:sz w:val="22"/>
          <w:szCs w:val="22"/>
        </w:rPr>
        <w:t xml:space="preserve">	8</w:t>
      </w:r>
    </w:p>
    <w:p>
      <w:pPr>
        <w:tabs>
          <w:tab w:val="right" w:pos="9360" w:leader="dot"/>
        </w:tabs>
        <w:spacing w:after="70" w:line="264"/>
        <w:ind w:left="0"/>
      </w:pPr>
      <w:r>
        <w:rPr>
          <w:rFonts w:ascii="Arial" w:cs="Arial" w:eastAsia="Arial" w:hAnsi="Arial"/>
          <w:b/>
          <w:bCs/>
          <w:color w:val="1A3C6E"/>
          <w:sz w:val="22"/>
          <w:szCs w:val="22"/>
        </w:rPr>
        <w:t xml:space="preserve">12.  Rollout Timeline</w:t>
      </w:r>
      <w:r>
        <w:rPr>
          <w:rFonts w:ascii="Arial" w:cs="Arial" w:eastAsia="Arial" w:hAnsi="Arial"/>
          <w:color w:val="5F6368"/>
          <w:sz w:val="22"/>
          <w:szCs w:val="22"/>
        </w:rPr>
        <w:t xml:space="preserve">	9</w:t>
      </w:r>
    </w:p>
    <w:p>
      <w:pPr>
        <w:tabs>
          <w:tab w:val="right" w:pos="9360" w:leader="dot"/>
        </w:tabs>
        <w:spacing w:after="70" w:line="264"/>
        <w:ind w:left="0"/>
      </w:pPr>
      <w:r>
        <w:rPr>
          <w:rFonts w:ascii="Arial" w:cs="Arial" w:eastAsia="Arial" w:hAnsi="Arial"/>
          <w:b/>
          <w:bCs/>
          <w:color w:val="1A3C6E"/>
          <w:sz w:val="22"/>
          <w:szCs w:val="22"/>
        </w:rPr>
        <w:t xml:space="preserve">13.  Appendix — Deliverables</w:t>
      </w:r>
      <w:r>
        <w:rPr>
          <w:rFonts w:ascii="Arial" w:cs="Arial" w:eastAsia="Arial" w:hAnsi="Arial"/>
          <w:color w:val="5F6368"/>
          <w:sz w:val="22"/>
          <w:szCs w:val="22"/>
        </w:rPr>
        <w:t xml:space="preserve">	9</w:t>
      </w:r>
    </w:p>
    <w:p>
      <w:r>
        <w:br w:type="page"/>
      </w:r>
    </w:p>
    <w:p>
      <w:pPr>
        <w:pStyle w:val="Heading1"/>
      </w:pPr>
      <w:r>
        <w:t xml:space="preserve">1. Executive Summary</w:t>
      </w:r>
    </w:p>
    <w:p>
      <w:pPr>
        <w:spacing w:after="120" w:line="276"/>
      </w:pPr>
      <w:r>
        <w:rPr>
          <w:rFonts w:ascii="Arial" w:cs="Arial" w:eastAsia="Arial" w:hAnsi="Arial"/>
        </w:rPr>
        <w:t xml:space="preserve">This document describes the architecture, design, hosting approach, and step-by-step implementation plan for a conversational AI assistant built on Google Cloud. The assistant answers policy and knowledge questions for two audiences from a single shared engine: a customer-facing channel embedded in web and mobile apps, and an internal channel that assists employees and contact-centre agents.</w:t>
      </w:r>
    </w:p>
    <w:p>
      <w:pPr>
        <w:spacing w:after="120" w:line="276"/>
      </w:pPr>
      <w:r>
        <w:rPr>
          <w:rFonts w:ascii="Arial" w:cs="Arial" w:eastAsia="Arial" w:hAnsi="Arial"/>
        </w:rPr>
        <w:t xml:space="preserve">The solution uses a retrieval-augmented generation (RAG) pattern. Approved documents are ingested once into a managed index. At query time the user's question is screened and de-identified, the most relevant passages are retrieved, and a Gemini model produces a grounded, cited answer drawn only from those passages. When the answer is not in the corpus, the assistant abstains rather than speculating. The design deliberately favours Google Cloud managed services so the team can reach production quickly while meeting the security, privacy, and auditability expectations of a regulated environment.</w:t>
      </w:r>
    </w:p>
    <w:p>
      <w:pPr>
        <w:pStyle w:val="Heading1"/>
      </w:pPr>
      <w:r>
        <w:t xml:space="preserve">2. Solution Overview</w:t>
      </w:r>
    </w:p>
    <w:p>
      <w:pPr>
        <w:spacing w:after="120" w:line="276"/>
      </w:pPr>
      <w:r>
        <w:rPr>
          <w:rFonts w:ascii="Arial" w:cs="Arial" w:eastAsia="Arial" w:hAnsi="Arial"/>
        </w:rPr>
        <w:t xml:space="preserve">At its core the system is a question-answering service grounded in a trusted document corpus. The same engine is exposed through two front doors that differ only in identity, data scope, persona, and guardrail strictness.</w:t>
      </w:r>
    </w:p>
    <w:p>
      <w:pPr>
        <w:pStyle w:val="Heading2"/>
      </w:pPr>
      <w:r>
        <w:t xml:space="preserve">2.1 Objectives</w:t>
      </w:r>
    </w:p>
    <w:p>
      <w:pPr>
        <w:pStyle w:val="ListParagraph"/>
        <w:numPr>
          <w:ilvl w:val="0"/>
          <w:numId w:val="2"/>
        </w:numPr>
        <w:spacing w:after="80" w:line="276"/>
      </w:pPr>
      <w:r>
        <w:rPr>
          <w:rFonts w:ascii="Arial" w:cs="Arial" w:eastAsia="Arial" w:hAnsi="Arial"/>
          <w:sz w:val="22"/>
          <w:szCs w:val="22"/>
        </w:rPr>
        <w:t xml:space="preserve">Provide fast, accurate, citation-backed answers to policy and knowledge questions.</w:t>
      </w:r>
    </w:p>
    <w:p>
      <w:pPr>
        <w:pStyle w:val="ListParagraph"/>
        <w:numPr>
          <w:ilvl w:val="0"/>
          <w:numId w:val="2"/>
        </w:numPr>
        <w:spacing w:after="80" w:line="276"/>
      </w:pPr>
      <w:r>
        <w:rPr>
          <w:rFonts w:ascii="Arial" w:cs="Arial" w:eastAsia="Arial" w:hAnsi="Arial"/>
          <w:sz w:val="22"/>
          <w:szCs w:val="22"/>
        </w:rPr>
        <w:t xml:space="preserve">Serve customers and employees from one maintainable codebase.</w:t>
      </w:r>
    </w:p>
    <w:p>
      <w:pPr>
        <w:pStyle w:val="ListParagraph"/>
        <w:numPr>
          <w:ilvl w:val="0"/>
          <w:numId w:val="2"/>
        </w:numPr>
        <w:spacing w:after="80" w:line="276"/>
      </w:pPr>
      <w:r>
        <w:rPr>
          <w:rFonts w:ascii="Arial" w:cs="Arial" w:eastAsia="Arial" w:hAnsi="Arial"/>
          <w:sz w:val="22"/>
          <w:szCs w:val="22"/>
        </w:rPr>
        <w:t xml:space="preserve">Eliminate hallucination by grounding every answer in retrieved source documents.</w:t>
      </w:r>
    </w:p>
    <w:p>
      <w:pPr>
        <w:pStyle w:val="ListParagraph"/>
        <w:numPr>
          <w:ilvl w:val="0"/>
          <w:numId w:val="2"/>
        </w:numPr>
        <w:spacing w:after="80" w:line="276"/>
      </w:pPr>
      <w:r>
        <w:rPr>
          <w:rFonts w:ascii="Arial" w:cs="Arial" w:eastAsia="Arial" w:hAnsi="Arial"/>
          <w:sz w:val="22"/>
          <w:szCs w:val="22"/>
        </w:rPr>
        <w:t xml:space="preserve">Protect sensitive data through automated PII detection and redaction.</w:t>
      </w:r>
    </w:p>
    <w:p>
      <w:pPr>
        <w:pStyle w:val="ListParagraph"/>
        <w:numPr>
          <w:ilvl w:val="0"/>
          <w:numId w:val="2"/>
        </w:numPr>
        <w:spacing w:after="80" w:line="276"/>
      </w:pPr>
      <w:r>
        <w:rPr>
          <w:rFonts w:ascii="Arial" w:cs="Arial" w:eastAsia="Arial" w:hAnsi="Arial"/>
          <w:sz w:val="22"/>
          <w:szCs w:val="22"/>
        </w:rPr>
        <w:t xml:space="preserve">Produce a complete, immutable audit trail for governance and model-risk review.</w:t>
      </w:r>
    </w:p>
    <w:p>
      <w:pPr>
        <w:pStyle w:val="Heading2"/>
      </w:pPr>
      <w:r>
        <w:t xml:space="preserve">2.2 Scope</w:t>
      </w:r>
    </w:p>
    <w:p>
      <w:pPr>
        <w:spacing w:after="120" w:line="276"/>
      </w:pPr>
      <w:r>
        <w:rPr>
          <w:rFonts w:ascii="Arial" w:cs="Arial" w:eastAsia="Arial" w:hAnsi="Arial"/>
        </w:rPr>
        <w:t xml:space="preserve">In scope: grounded Q&amp;A over approved policy and procedure documents, two delivery channels, guardrails, audit logging, and evaluation. Out of scope for the initial release: money movement and other transactions, real-time account-specific data, and open-ended general chat. These require secured API tooling and can be added on the same foundation later.</w:t>
      </w:r>
    </w:p>
    <w:p>
      <w:pPr>
        <w:pStyle w:val="Heading1"/>
      </w:pPr>
      <w:r>
        <w:t xml:space="preserve">3. Architecture</w:t>
      </w:r>
    </w:p>
    <w:p>
      <w:pPr>
        <w:spacing w:after="120" w:line="276"/>
      </w:pPr>
      <w:r>
        <w:rPr>
          <w:rFonts w:ascii="Arial" w:cs="Arial" w:eastAsia="Arial" w:hAnsi="Arial"/>
        </w:rPr>
        <w:t xml:space="preserve">The reference architecture is organised into seven layers, from user channels at the top down to the batch ingestion pipeline. Each layer is colour-coded in the diagram below by responsibility.</w:t>
      </w:r>
    </w:p>
    <w:p>
      <w:pPr>
        <w:spacing w:after="80" w:before="120"/>
        <w:jc w:val="center"/>
      </w:pPr>
      <w:r>
        <w:drawing>
          <wp:inline distT="0" distB="0" distL="0" distR="0">
            <wp:extent cx="5715000" cy="6886575"/>
            <wp:effectExtent t="0" r="0" b="0" l="0"/>
            <wp:docPr id="1" name="architecture" descr="Layered architecture diagram of the conversational AI on Google Cloud" title="Referenc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6886575"/>
                    </a:xfrm>
                    <a:prstGeom prst="rect">
                      <a:avLst/>
                    </a:prstGeom>
                  </pic:spPr>
                </pic:pic>
              </a:graphicData>
            </a:graphic>
          </wp:inline>
        </w:drawing>
      </w:r>
    </w:p>
    <w:p>
      <w:pPr>
        <w:spacing w:after="200"/>
        <w:jc w:val="center"/>
      </w:pPr>
      <w:r>
        <w:rPr>
          <w:rFonts w:ascii="Arial" w:cs="Arial" w:eastAsia="Arial" w:hAnsi="Arial"/>
          <w:i/>
          <w:iCs/>
          <w:color w:val="5F6368"/>
          <w:sz w:val="18"/>
          <w:szCs w:val="18"/>
        </w:rPr>
        <w:t xml:space="preserve">Figure 1. Reference architecture — layered view</w:t>
      </w:r>
    </w:p>
    <w:p>
      <w:pPr>
        <w:pStyle w:val="Heading2"/>
      </w:pPr>
      <w:r>
        <w:t xml:space="preserve">3.1 Layer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C9D2DC" w:sz="1"/>
              <w:left w:val="single" w:color="C9D2DC" w:sz="1"/>
              <w:bottom w:val="single" w:color="C9D2DC" w:sz="1"/>
              <w:right w:val="single" w:color="C9D2DC" w:sz="1"/>
            </w:tcBorders>
            <w:shd w:fill="D9E2EC" w:val="clear"/>
            <w:tcMar>
              <w:top w:type="dxa" w:w="60"/>
              <w:left w:type="dxa" w:w="110"/>
              <w:bottom w:type="dxa" w:w="60"/>
              <w:right w:type="dxa" w:w="110"/>
            </w:tcMar>
            <w:vAlign w:val="center"/>
          </w:tcPr>
          <w:p>
            <w:pPr>
              <w:spacing w:after="0" w:line="264"/>
            </w:pPr>
            <w:r>
              <w:rPr>
                <w:rFonts w:ascii="Arial" w:cs="Arial" w:eastAsia="Arial" w:hAnsi="Arial"/>
                <w:b/>
                <w:bCs/>
                <w:color w:val="1A3C6E"/>
                <w:sz w:val="20"/>
                <w:szCs w:val="20"/>
              </w:rPr>
              <w:t xml:space="preserve">Layer</w:t>
            </w:r>
          </w:p>
        </w:tc>
        <w:tc>
          <w:tcPr>
            <w:tcW w:type="dxa" w:w="4360"/>
            <w:tcBorders>
              <w:top w:val="single" w:color="C9D2DC" w:sz="1"/>
              <w:left w:val="single" w:color="C9D2DC" w:sz="1"/>
              <w:bottom w:val="single" w:color="C9D2DC" w:sz="1"/>
              <w:right w:val="single" w:color="C9D2DC" w:sz="1"/>
            </w:tcBorders>
            <w:shd w:fill="D9E2EC" w:val="clear"/>
            <w:tcMar>
              <w:top w:type="dxa" w:w="60"/>
              <w:left w:type="dxa" w:w="110"/>
              <w:bottom w:type="dxa" w:w="60"/>
              <w:right w:type="dxa" w:w="110"/>
            </w:tcMar>
            <w:vAlign w:val="center"/>
          </w:tcPr>
          <w:p>
            <w:pPr>
              <w:spacing w:after="0" w:line="264"/>
            </w:pPr>
            <w:r>
              <w:rPr>
                <w:rFonts w:ascii="Arial" w:cs="Arial" w:eastAsia="Arial" w:hAnsi="Arial"/>
                <w:b/>
                <w:bCs/>
                <w:color w:val="1A3C6E"/>
                <w:sz w:val="20"/>
                <w:szCs w:val="20"/>
              </w:rPr>
              <w:t xml:space="preserve">Responsibility</w:t>
            </w:r>
          </w:p>
        </w:tc>
        <w:tc>
          <w:tcPr>
            <w:tcW w:type="dxa" w:w="3000"/>
            <w:tcBorders>
              <w:top w:val="single" w:color="C9D2DC" w:sz="1"/>
              <w:left w:val="single" w:color="C9D2DC" w:sz="1"/>
              <w:bottom w:val="single" w:color="C9D2DC" w:sz="1"/>
              <w:right w:val="single" w:color="C9D2DC" w:sz="1"/>
            </w:tcBorders>
            <w:shd w:fill="D9E2EC" w:val="clear"/>
            <w:tcMar>
              <w:top w:type="dxa" w:w="60"/>
              <w:left w:type="dxa" w:w="110"/>
              <w:bottom w:type="dxa" w:w="60"/>
              <w:right w:type="dxa" w:w="110"/>
            </w:tcMar>
            <w:vAlign w:val="center"/>
          </w:tcPr>
          <w:p>
            <w:pPr>
              <w:spacing w:after="0" w:line="264"/>
            </w:pPr>
            <w:r>
              <w:rPr>
                <w:rFonts w:ascii="Arial" w:cs="Arial" w:eastAsia="Arial" w:hAnsi="Arial"/>
                <w:b/>
                <w:bCs/>
                <w:color w:val="1A3C6E"/>
                <w:sz w:val="20"/>
                <w:szCs w:val="20"/>
              </w:rPr>
              <w:t xml:space="preserve">Key services</w:t>
            </w:r>
          </w:p>
        </w:tc>
      </w:tr>
      <w:tr>
        <w:trPr>
          <w:tblHeader w:val="false"/>
        </w:trPr>
        <w:tc>
          <w:tcPr>
            <w:tcW w:type="dxa" w:w="20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Users</w:t>
            </w:r>
          </w:p>
        </w:tc>
        <w:tc>
          <w:tcPr>
            <w:tcW w:type="dxa" w:w="43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Customer and employee entry points</w:t>
            </w:r>
          </w:p>
        </w:tc>
        <w:tc>
          <w:tcPr>
            <w:tcW w:type="dxa" w:w="30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Web / mobile app, agent console</w:t>
            </w:r>
          </w:p>
        </w:tc>
      </w:tr>
      <w:tr>
        <w:trPr>
          <w:tblHeader w:val="false"/>
        </w:trPr>
        <w:tc>
          <w:tcPr>
            <w:tcW w:type="dxa" w:w="20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Edge &amp; Identity</w:t>
            </w:r>
          </w:p>
        </w:tc>
        <w:tc>
          <w:tcPr>
            <w:tcW w:type="dxa" w:w="43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Authentication, rate limiting, WAF</w:t>
            </w:r>
          </w:p>
        </w:tc>
        <w:tc>
          <w:tcPr>
            <w:tcW w:type="dxa" w:w="30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Apigee, Identity Platform, IAP + SSO</w:t>
            </w:r>
          </w:p>
        </w:tc>
      </w:tr>
      <w:tr>
        <w:trPr>
          <w:tblHeader w:val="false"/>
        </w:trPr>
        <w:tc>
          <w:tcPr>
            <w:tcW w:type="dxa" w:w="20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Orchestration</w:t>
            </w:r>
          </w:p>
        </w:tc>
        <w:tc>
          <w:tcPr>
            <w:tcW w:type="dxa" w:w="43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Request handling, channel logic</w:t>
            </w:r>
          </w:p>
        </w:tc>
        <w:tc>
          <w:tcPr>
            <w:tcW w:type="dxa" w:w="30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Cloud Run (serverless)</w:t>
            </w:r>
          </w:p>
        </w:tc>
      </w:tr>
      <w:tr>
        <w:trPr>
          <w:tblHeader w:val="false"/>
        </w:trPr>
        <w:tc>
          <w:tcPr>
            <w:tcW w:type="dxa" w:w="20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Safety pipeline</w:t>
            </w:r>
          </w:p>
        </w:tc>
        <w:tc>
          <w:tcPr>
            <w:tcW w:type="dxa" w:w="43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Attack screening, PII redaction, scope</w:t>
            </w:r>
          </w:p>
        </w:tc>
        <w:tc>
          <w:tcPr>
            <w:tcW w:type="dxa" w:w="30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Model Armor, Sensitive Data Protection</w:t>
            </w:r>
          </w:p>
        </w:tc>
      </w:tr>
      <w:tr>
        <w:trPr>
          <w:tblHeader w:val="false"/>
        </w:trPr>
        <w:tc>
          <w:tcPr>
            <w:tcW w:type="dxa" w:w="20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Retrieval &amp; Generation</w:t>
            </w:r>
          </w:p>
        </w:tc>
        <w:tc>
          <w:tcPr>
            <w:tcW w:type="dxa" w:w="43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Grounded answers with citations</w:t>
            </w:r>
          </w:p>
        </w:tc>
        <w:tc>
          <w:tcPr>
            <w:tcW w:type="dxa" w:w="30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Vertex AI Search, Gemini, Memorystore</w:t>
            </w:r>
          </w:p>
        </w:tc>
      </w:tr>
      <w:tr>
        <w:trPr>
          <w:tblHeader w:val="false"/>
        </w:trPr>
        <w:tc>
          <w:tcPr>
            <w:tcW w:type="dxa" w:w="20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State &amp; Governance</w:t>
            </w:r>
          </w:p>
        </w:tc>
        <w:tc>
          <w:tcPr>
            <w:tcW w:type="dxa" w:w="43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Memory, audit, evaluation</w:t>
            </w:r>
          </w:p>
        </w:tc>
        <w:tc>
          <w:tcPr>
            <w:tcW w:type="dxa" w:w="30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Firestore, BigQuery, eval harness</w:t>
            </w:r>
          </w:p>
        </w:tc>
      </w:tr>
      <w:tr>
        <w:trPr>
          <w:tblHeader w:val="false"/>
        </w:trPr>
        <w:tc>
          <w:tcPr>
            <w:tcW w:type="dxa" w:w="20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Ingestion</w:t>
            </w:r>
          </w:p>
        </w:tc>
        <w:tc>
          <w:tcPr>
            <w:tcW w:type="dxa" w:w="43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Parse, chunk, index documents</w:t>
            </w:r>
          </w:p>
        </w:tc>
        <w:tc>
          <w:tcPr>
            <w:tcW w:type="dxa" w:w="30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Cloud Storage, Document AI</w:t>
            </w:r>
          </w:p>
        </w:tc>
      </w:tr>
    </w:tbl>
    <w:p>
      <w:pPr>
        <w:pStyle w:val="Heading2"/>
      </w:pPr>
      <w:r>
        <w:t xml:space="preserve">3.2 Two-channel design</w:t>
      </w:r>
    </w:p>
    <w:p>
      <w:pPr>
        <w:spacing w:after="120" w:line="276"/>
      </w:pPr>
      <w:r>
        <w:rPr>
          <w:rFonts w:ascii="Arial" w:cs="Arial" w:eastAsia="Arial" w:hAnsi="Arial"/>
        </w:rPr>
        <w:t xml:space="preserve">Both channels call the same RAG core. A single audience flag drives three things: the system prompt and persona, the document access-control filter applied at retrieval, and the strictness of the guardrail profile. This keeps one codebase while enforcing that customers never see internal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rPr>
          <w:tblHeader/>
        </w:trPr>
        <w:tc>
          <w:tcPr>
            <w:tcW w:type="dxa" w:w="2200"/>
            <w:tcBorders>
              <w:top w:val="single" w:color="C9D2DC" w:sz="1"/>
              <w:left w:val="single" w:color="C9D2DC" w:sz="1"/>
              <w:bottom w:val="single" w:color="C9D2DC" w:sz="1"/>
              <w:right w:val="single" w:color="C9D2DC" w:sz="1"/>
            </w:tcBorders>
            <w:shd w:fill="D9E2EC" w:val="clear"/>
            <w:tcMar>
              <w:top w:type="dxa" w:w="60"/>
              <w:left w:type="dxa" w:w="110"/>
              <w:bottom w:type="dxa" w:w="60"/>
              <w:right w:type="dxa" w:w="110"/>
            </w:tcMar>
            <w:vAlign w:val="center"/>
          </w:tcPr>
          <w:p>
            <w:pPr>
              <w:spacing w:after="0" w:line="264"/>
            </w:pPr>
            <w:r>
              <w:rPr>
                <w:rFonts w:ascii="Arial" w:cs="Arial" w:eastAsia="Arial" w:hAnsi="Arial"/>
                <w:b/>
                <w:bCs/>
                <w:color w:val="1A3C6E"/>
                <w:sz w:val="20"/>
                <w:szCs w:val="20"/>
              </w:rPr>
              <w:t xml:space="preserve">Aspect</w:t>
            </w:r>
          </w:p>
        </w:tc>
        <w:tc>
          <w:tcPr>
            <w:tcW w:type="dxa" w:w="3680"/>
            <w:tcBorders>
              <w:top w:val="single" w:color="C9D2DC" w:sz="1"/>
              <w:left w:val="single" w:color="C9D2DC" w:sz="1"/>
              <w:bottom w:val="single" w:color="C9D2DC" w:sz="1"/>
              <w:right w:val="single" w:color="C9D2DC" w:sz="1"/>
            </w:tcBorders>
            <w:shd w:fill="D9E2EC" w:val="clear"/>
            <w:tcMar>
              <w:top w:type="dxa" w:w="60"/>
              <w:left w:type="dxa" w:w="110"/>
              <w:bottom w:type="dxa" w:w="60"/>
              <w:right w:type="dxa" w:w="110"/>
            </w:tcMar>
            <w:vAlign w:val="center"/>
          </w:tcPr>
          <w:p>
            <w:pPr>
              <w:spacing w:after="0" w:line="264"/>
            </w:pPr>
            <w:r>
              <w:rPr>
                <w:rFonts w:ascii="Arial" w:cs="Arial" w:eastAsia="Arial" w:hAnsi="Arial"/>
                <w:b/>
                <w:bCs/>
                <w:color w:val="1A3C6E"/>
                <w:sz w:val="20"/>
                <w:szCs w:val="20"/>
              </w:rPr>
              <w:t xml:space="preserve">Customer channel</w:t>
            </w:r>
          </w:p>
        </w:tc>
        <w:tc>
          <w:tcPr>
            <w:tcW w:type="dxa" w:w="3480"/>
            <w:tcBorders>
              <w:top w:val="single" w:color="C9D2DC" w:sz="1"/>
              <w:left w:val="single" w:color="C9D2DC" w:sz="1"/>
              <w:bottom w:val="single" w:color="C9D2DC" w:sz="1"/>
              <w:right w:val="single" w:color="C9D2DC" w:sz="1"/>
            </w:tcBorders>
            <w:shd w:fill="D9E2EC" w:val="clear"/>
            <w:tcMar>
              <w:top w:type="dxa" w:w="60"/>
              <w:left w:type="dxa" w:w="110"/>
              <w:bottom w:type="dxa" w:w="60"/>
              <w:right w:type="dxa" w:w="110"/>
            </w:tcMar>
            <w:vAlign w:val="center"/>
          </w:tcPr>
          <w:p>
            <w:pPr>
              <w:spacing w:after="0" w:line="264"/>
            </w:pPr>
            <w:r>
              <w:rPr>
                <w:rFonts w:ascii="Arial" w:cs="Arial" w:eastAsia="Arial" w:hAnsi="Arial"/>
                <w:b/>
                <w:bCs/>
                <w:color w:val="1A3C6E"/>
                <w:sz w:val="20"/>
                <w:szCs w:val="20"/>
              </w:rPr>
              <w:t xml:space="preserve">Internal channel</w:t>
            </w:r>
          </w:p>
        </w:tc>
      </w:tr>
      <w:tr>
        <w:trPr>
          <w:tblHeader w:val="false"/>
        </w:trPr>
        <w:tc>
          <w:tcPr>
            <w:tcW w:type="dxa" w:w="22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Authentication</w:t>
            </w:r>
          </w:p>
        </w:tc>
        <w:tc>
          <w:tcPr>
            <w:tcW w:type="dxa" w:w="368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Identity Platform</w:t>
            </w:r>
          </w:p>
        </w:tc>
        <w:tc>
          <w:tcPr>
            <w:tcW w:type="dxa" w:w="348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IAP + corporate SSO</w:t>
            </w:r>
          </w:p>
        </w:tc>
      </w:tr>
      <w:tr>
        <w:trPr>
          <w:tblHeader w:val="false"/>
        </w:trPr>
        <w:tc>
          <w:tcPr>
            <w:tcW w:type="dxa" w:w="22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Document scope</w:t>
            </w:r>
          </w:p>
        </w:tc>
        <w:tc>
          <w:tcPr>
            <w:tcW w:type="dxa" w:w="368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Public-safe policy only</w:t>
            </w:r>
          </w:p>
        </w:tc>
        <w:tc>
          <w:tcPr>
            <w:tcW w:type="dxa" w:w="348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Public + internal procedures</w:t>
            </w:r>
          </w:p>
        </w:tc>
      </w:tr>
      <w:tr>
        <w:trPr>
          <w:tblHeader w:val="false"/>
        </w:trPr>
        <w:tc>
          <w:tcPr>
            <w:tcW w:type="dxa" w:w="22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Persona</w:t>
            </w:r>
          </w:p>
        </w:tc>
        <w:tc>
          <w:tcPr>
            <w:tcW w:type="dxa" w:w="368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Plain, friendly, with disclaimer</w:t>
            </w:r>
          </w:p>
        </w:tc>
        <w:tc>
          <w:tcPr>
            <w:tcW w:type="dxa" w:w="348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Concise, procedural, citation-heavy</w:t>
            </w:r>
          </w:p>
        </w:tc>
      </w:tr>
      <w:tr>
        <w:trPr>
          <w:tblHeader w:val="false"/>
        </w:trPr>
        <w:tc>
          <w:tcPr>
            <w:tcW w:type="dxa" w:w="22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Guardrails</w:t>
            </w:r>
          </w:p>
        </w:tc>
        <w:tc>
          <w:tcPr>
            <w:tcW w:type="dxa" w:w="368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Strict; no advice; hard PII redaction</w:t>
            </w:r>
          </w:p>
        </w:tc>
        <w:tc>
          <w:tcPr>
            <w:tcW w:type="dxa" w:w="348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Strict PII redaction; broader scope</w:t>
            </w:r>
          </w:p>
        </w:tc>
      </w:tr>
      <w:tr>
        <w:trPr>
          <w:tblHeader w:val="false"/>
        </w:trPr>
        <w:tc>
          <w:tcPr>
            <w:tcW w:type="dxa" w:w="22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Extras</w:t>
            </w:r>
          </w:p>
        </w:tc>
        <w:tc>
          <w:tcPr>
            <w:tcW w:type="dxa" w:w="368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Escalate to human</w:t>
            </w:r>
          </w:p>
        </w:tc>
        <w:tc>
          <w:tcPr>
            <w:tcW w:type="dxa" w:w="348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Summarise, suggest next step</w:t>
            </w:r>
          </w:p>
        </w:tc>
      </w:tr>
    </w:tbl>
    <w:p>
      <w:pPr>
        <w:pStyle w:val="Heading1"/>
      </w:pPr>
      <w:r>
        <w:t xml:space="preserve">4. Technology Stack</w:t>
      </w:r>
    </w:p>
    <w:p>
      <w:pPr>
        <w:spacing w:after="120" w:line="276"/>
      </w:pPr>
      <w:r>
        <w:rPr>
          <w:rFonts w:ascii="Arial" w:cs="Arial" w:eastAsia="Arial" w:hAnsi="Arial"/>
        </w:rPr>
        <w:t xml:space="preserve">All components are Google Cloud managed services, chosen to minimise build effort and operational burden while satisfying enterprise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9D2DC" w:sz="1"/>
              <w:left w:val="single" w:color="C9D2DC" w:sz="1"/>
              <w:bottom w:val="single" w:color="C9D2DC" w:sz="1"/>
              <w:right w:val="single" w:color="C9D2DC" w:sz="1"/>
            </w:tcBorders>
            <w:shd w:fill="D9E2EC" w:val="clear"/>
            <w:tcMar>
              <w:top w:type="dxa" w:w="60"/>
              <w:left w:type="dxa" w:w="110"/>
              <w:bottom w:type="dxa" w:w="60"/>
              <w:right w:type="dxa" w:w="110"/>
            </w:tcMar>
            <w:vAlign w:val="center"/>
          </w:tcPr>
          <w:p>
            <w:pPr>
              <w:spacing w:after="0" w:line="264"/>
            </w:pPr>
            <w:r>
              <w:rPr>
                <w:rFonts w:ascii="Arial" w:cs="Arial" w:eastAsia="Arial" w:hAnsi="Arial"/>
                <w:b/>
                <w:bCs/>
                <w:color w:val="1A3C6E"/>
                <w:sz w:val="20"/>
                <w:szCs w:val="20"/>
              </w:rPr>
              <w:t xml:space="preserve">Capability</w:t>
            </w:r>
          </w:p>
        </w:tc>
        <w:tc>
          <w:tcPr>
            <w:tcW w:type="dxa" w:w="2600"/>
            <w:tcBorders>
              <w:top w:val="single" w:color="C9D2DC" w:sz="1"/>
              <w:left w:val="single" w:color="C9D2DC" w:sz="1"/>
              <w:bottom w:val="single" w:color="C9D2DC" w:sz="1"/>
              <w:right w:val="single" w:color="C9D2DC" w:sz="1"/>
            </w:tcBorders>
            <w:shd w:fill="D9E2EC" w:val="clear"/>
            <w:tcMar>
              <w:top w:type="dxa" w:w="60"/>
              <w:left w:type="dxa" w:w="110"/>
              <w:bottom w:type="dxa" w:w="60"/>
              <w:right w:type="dxa" w:w="110"/>
            </w:tcMar>
            <w:vAlign w:val="center"/>
          </w:tcPr>
          <w:p>
            <w:pPr>
              <w:spacing w:after="0" w:line="264"/>
            </w:pPr>
            <w:r>
              <w:rPr>
                <w:rFonts w:ascii="Arial" w:cs="Arial" w:eastAsia="Arial" w:hAnsi="Arial"/>
                <w:b/>
                <w:bCs/>
                <w:color w:val="1A3C6E"/>
                <w:sz w:val="20"/>
                <w:szCs w:val="20"/>
              </w:rPr>
              <w:t xml:space="preserve">Service</w:t>
            </w:r>
          </w:p>
        </w:tc>
        <w:tc>
          <w:tcPr>
            <w:tcW w:type="dxa" w:w="4560"/>
            <w:tcBorders>
              <w:top w:val="single" w:color="C9D2DC" w:sz="1"/>
              <w:left w:val="single" w:color="C9D2DC" w:sz="1"/>
              <w:bottom w:val="single" w:color="C9D2DC" w:sz="1"/>
              <w:right w:val="single" w:color="C9D2DC" w:sz="1"/>
            </w:tcBorders>
            <w:shd w:fill="D9E2EC" w:val="clear"/>
            <w:tcMar>
              <w:top w:type="dxa" w:w="60"/>
              <w:left w:type="dxa" w:w="110"/>
              <w:bottom w:type="dxa" w:w="60"/>
              <w:right w:type="dxa" w:w="110"/>
            </w:tcMar>
            <w:vAlign w:val="center"/>
          </w:tcPr>
          <w:p>
            <w:pPr>
              <w:spacing w:after="0" w:line="264"/>
            </w:pPr>
            <w:r>
              <w:rPr>
                <w:rFonts w:ascii="Arial" w:cs="Arial" w:eastAsia="Arial" w:hAnsi="Arial"/>
                <w:b/>
                <w:bCs/>
                <w:color w:val="1A3C6E"/>
                <w:sz w:val="20"/>
                <w:szCs w:val="20"/>
              </w:rPr>
              <w:t xml:space="preserve">Why this choice</w:t>
            </w:r>
          </w:p>
        </w:tc>
      </w:tr>
      <w:tr>
        <w:trPr>
          <w:tblHeader w:val="false"/>
        </w:trPr>
        <w:tc>
          <w:tcPr>
            <w:tcW w:type="dxa" w:w="22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Managed RAG</w:t>
            </w:r>
          </w:p>
        </w:tc>
        <w:tc>
          <w:tcPr>
            <w:tcW w:type="dxa" w:w="26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Vertex AI Search</w:t>
            </w:r>
          </w:p>
        </w:tc>
        <w:tc>
          <w:tcPr>
            <w:tcW w:type="dxa" w:w="45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Parsing, chunking, embedding, retrieval, and document ACLs out of the box</w:t>
            </w:r>
          </w:p>
        </w:tc>
      </w:tr>
      <w:tr>
        <w:trPr>
          <w:tblHeader w:val="false"/>
        </w:trPr>
        <w:tc>
          <w:tcPr>
            <w:tcW w:type="dxa" w:w="22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Generation</w:t>
            </w:r>
          </w:p>
        </w:tc>
        <w:tc>
          <w:tcPr>
            <w:tcW w:type="dxa" w:w="26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Gemini (Flash / Pro)</w:t>
            </w:r>
          </w:p>
        </w:tc>
        <w:tc>
          <w:tcPr>
            <w:tcW w:type="dxa" w:w="45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Low-latency default with escalation for complex reasoning</w:t>
            </w:r>
          </w:p>
        </w:tc>
      </w:tr>
      <w:tr>
        <w:trPr>
          <w:tblHeader w:val="false"/>
        </w:trPr>
        <w:tc>
          <w:tcPr>
            <w:tcW w:type="dxa" w:w="22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Orchestration</w:t>
            </w:r>
          </w:p>
        </w:tc>
        <w:tc>
          <w:tcPr>
            <w:tcW w:type="dxa" w:w="26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Cloud Run</w:t>
            </w:r>
          </w:p>
        </w:tc>
        <w:tc>
          <w:tcPr>
            <w:tcW w:type="dxa" w:w="45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Serverless, scales to zero, deploys from source</w:t>
            </w:r>
          </w:p>
        </w:tc>
      </w:tr>
      <w:tr>
        <w:trPr>
          <w:tblHeader w:val="false"/>
        </w:trPr>
        <w:tc>
          <w:tcPr>
            <w:tcW w:type="dxa" w:w="22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PII protection</w:t>
            </w:r>
          </w:p>
        </w:tc>
        <w:tc>
          <w:tcPr>
            <w:tcW w:type="dxa" w:w="26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Sensitive Data Protection</w:t>
            </w:r>
          </w:p>
        </w:tc>
        <w:tc>
          <w:tcPr>
            <w:tcW w:type="dxa" w:w="45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Detect and redact sensitive identifiers before LLM and logs</w:t>
            </w:r>
          </w:p>
        </w:tc>
      </w:tr>
      <w:tr>
        <w:trPr>
          <w:tblHeader w:val="false"/>
        </w:trPr>
        <w:tc>
          <w:tcPr>
            <w:tcW w:type="dxa" w:w="22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Attack defence</w:t>
            </w:r>
          </w:p>
        </w:tc>
        <w:tc>
          <w:tcPr>
            <w:tcW w:type="dxa" w:w="26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Model Armor</w:t>
            </w:r>
          </w:p>
        </w:tc>
        <w:tc>
          <w:tcPr>
            <w:tcW w:type="dxa" w:w="45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Screens for prompt injection, jailbreak, unsafe content</w:t>
            </w:r>
          </w:p>
        </w:tc>
      </w:tr>
      <w:tr>
        <w:trPr>
          <w:tblHeader w:val="false"/>
        </w:trPr>
        <w:tc>
          <w:tcPr>
            <w:tcW w:type="dxa" w:w="22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Memory</w:t>
            </w:r>
          </w:p>
        </w:tc>
        <w:tc>
          <w:tcPr>
            <w:tcW w:type="dxa" w:w="26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Firestore</w:t>
            </w:r>
          </w:p>
        </w:tc>
        <w:tc>
          <w:tcPr>
            <w:tcW w:type="dxa" w:w="45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Low-latency session and conversation state</w:t>
            </w:r>
          </w:p>
        </w:tc>
      </w:tr>
      <w:tr>
        <w:trPr>
          <w:tblHeader w:val="false"/>
        </w:trPr>
        <w:tc>
          <w:tcPr>
            <w:tcW w:type="dxa" w:w="22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Cache</w:t>
            </w:r>
          </w:p>
        </w:tc>
        <w:tc>
          <w:tcPr>
            <w:tcW w:type="dxa" w:w="26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Memorystore (Redis)</w:t>
            </w:r>
          </w:p>
        </w:tc>
        <w:tc>
          <w:tcPr>
            <w:tcW w:type="dxa" w:w="45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Semantic cache for repeated questions</w:t>
            </w:r>
          </w:p>
        </w:tc>
      </w:tr>
      <w:tr>
        <w:trPr>
          <w:tblHeader w:val="false"/>
        </w:trPr>
        <w:tc>
          <w:tcPr>
            <w:tcW w:type="dxa" w:w="22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Audit &amp; analytics</w:t>
            </w:r>
          </w:p>
        </w:tc>
        <w:tc>
          <w:tcPr>
            <w:tcW w:type="dxa" w:w="26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BigQuery</w:t>
            </w:r>
          </w:p>
        </w:tc>
        <w:tc>
          <w:tcPr>
            <w:tcW w:type="dxa" w:w="45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Immutable, queryable interaction log</w:t>
            </w:r>
          </w:p>
        </w:tc>
      </w:tr>
      <w:tr>
        <w:trPr>
          <w:tblHeader w:val="false"/>
        </w:trPr>
        <w:tc>
          <w:tcPr>
            <w:tcW w:type="dxa" w:w="22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API management</w:t>
            </w:r>
          </w:p>
        </w:tc>
        <w:tc>
          <w:tcPr>
            <w:tcW w:type="dxa" w:w="26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Apigee</w:t>
            </w:r>
          </w:p>
        </w:tc>
        <w:tc>
          <w:tcPr>
            <w:tcW w:type="dxa" w:w="45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Rate limiting, keys, WAF at the edge</w:t>
            </w:r>
          </w:p>
        </w:tc>
      </w:tr>
    </w:tbl>
    <w:p>
      <w:pPr>
        <w:pStyle w:val="Heading1"/>
      </w:pPr>
      <w:r>
        <w:t xml:space="preserve">5. Request Lifecycle</w:t>
      </w:r>
    </w:p>
    <w:p>
      <w:pPr>
        <w:spacing w:after="120" w:line="276"/>
      </w:pPr>
      <w:r>
        <w:rPr>
          <w:rFonts w:ascii="Arial" w:cs="Arial" w:eastAsia="Arial" w:hAnsi="Arial"/>
        </w:rPr>
        <w:t xml:space="preserve">A single customer or agent turn flows through the system as follows:</w:t>
      </w:r>
    </w:p>
    <w:p>
      <w:pPr>
        <w:pStyle w:val="ListParagraph"/>
        <w:numPr>
          <w:ilvl w:val="0"/>
          <w:numId w:val="3"/>
        </w:numPr>
        <w:spacing w:after="80" w:line="276"/>
      </w:pPr>
      <w:r>
        <w:rPr>
          <w:rFonts w:ascii="Arial" w:cs="Arial" w:eastAsia="Arial" w:hAnsi="Arial"/>
          <w:sz w:val="22"/>
          <w:szCs w:val="22"/>
        </w:rPr>
        <w:t xml:space="preserve">The request arrives through Apigee (customer) or IAP (internal) after authentication.</w:t>
      </w:r>
    </w:p>
    <w:p>
      <w:pPr>
        <w:pStyle w:val="ListParagraph"/>
        <w:numPr>
          <w:ilvl w:val="0"/>
          <w:numId w:val="3"/>
        </w:numPr>
        <w:spacing w:after="80" w:line="276"/>
      </w:pPr>
      <w:r>
        <w:rPr>
          <w:rFonts w:ascii="Arial" w:cs="Arial" w:eastAsia="Arial" w:hAnsi="Arial"/>
          <w:sz w:val="22"/>
          <w:szCs w:val="22"/>
        </w:rPr>
        <w:t xml:space="preserve">Model Armor screens the input for prompt-injection and unsafe content.</w:t>
      </w:r>
    </w:p>
    <w:p>
      <w:pPr>
        <w:pStyle w:val="ListParagraph"/>
        <w:numPr>
          <w:ilvl w:val="0"/>
          <w:numId w:val="3"/>
        </w:numPr>
        <w:spacing w:after="80" w:line="276"/>
      </w:pPr>
      <w:r>
        <w:rPr>
          <w:rFonts w:ascii="Arial" w:cs="Arial" w:eastAsia="Arial" w:hAnsi="Arial"/>
          <w:sz w:val="22"/>
          <w:szCs w:val="22"/>
        </w:rPr>
        <w:t xml:space="preserve">Sensitive Data Protection redacts any PII from the message before further processing.</w:t>
      </w:r>
    </w:p>
    <w:p>
      <w:pPr>
        <w:pStyle w:val="ListParagraph"/>
        <w:numPr>
          <w:ilvl w:val="0"/>
          <w:numId w:val="3"/>
        </w:numPr>
        <w:spacing w:after="80" w:line="276"/>
      </w:pPr>
      <w:r>
        <w:rPr>
          <w:rFonts w:ascii="Arial" w:cs="Arial" w:eastAsia="Arial" w:hAnsi="Arial"/>
          <w:sz w:val="22"/>
          <w:szCs w:val="22"/>
        </w:rPr>
        <w:t xml:space="preserve">The semantic cache is checked; a hit returns immediately.</w:t>
      </w:r>
    </w:p>
    <w:p>
      <w:pPr>
        <w:pStyle w:val="ListParagraph"/>
        <w:numPr>
          <w:ilvl w:val="0"/>
          <w:numId w:val="3"/>
        </w:numPr>
        <w:spacing w:after="80" w:line="276"/>
      </w:pPr>
      <w:r>
        <w:rPr>
          <w:rFonts w:ascii="Arial" w:cs="Arial" w:eastAsia="Arial" w:hAnsi="Arial"/>
          <w:sz w:val="22"/>
          <w:szCs w:val="22"/>
        </w:rPr>
        <w:t xml:space="preserve">On a miss, Vertex AI Search retrieves the top passages, filtered by the channel's access-control scope.</w:t>
      </w:r>
    </w:p>
    <w:p>
      <w:pPr>
        <w:pStyle w:val="ListParagraph"/>
        <w:numPr>
          <w:ilvl w:val="0"/>
          <w:numId w:val="3"/>
        </w:numPr>
        <w:spacing w:after="80" w:line="276"/>
      </w:pPr>
      <w:r>
        <w:rPr>
          <w:rFonts w:ascii="Arial" w:cs="Arial" w:eastAsia="Arial" w:hAnsi="Arial"/>
          <w:sz w:val="22"/>
          <w:szCs w:val="22"/>
        </w:rPr>
        <w:t xml:space="preserve">Gemini generates a grounded answer with citations, abstaining if the corpus lacks the answer.</w:t>
      </w:r>
    </w:p>
    <w:p>
      <w:pPr>
        <w:pStyle w:val="ListParagraph"/>
        <w:numPr>
          <w:ilvl w:val="0"/>
          <w:numId w:val="3"/>
        </w:numPr>
        <w:spacing w:after="80" w:line="276"/>
      </w:pPr>
      <w:r>
        <w:rPr>
          <w:rFonts w:ascii="Arial" w:cs="Arial" w:eastAsia="Arial" w:hAnsi="Arial"/>
          <w:sz w:val="22"/>
          <w:szCs w:val="22"/>
        </w:rPr>
        <w:t xml:space="preserve">The output passes a final safety screen; low-confidence customer answers trigger human escalation.</w:t>
      </w:r>
    </w:p>
    <w:p>
      <w:pPr>
        <w:pStyle w:val="ListParagraph"/>
        <w:numPr>
          <w:ilvl w:val="0"/>
          <w:numId w:val="3"/>
        </w:numPr>
        <w:spacing w:after="80" w:line="276"/>
      </w:pPr>
      <w:r>
        <w:rPr>
          <w:rFonts w:ascii="Arial" w:cs="Arial" w:eastAsia="Arial" w:hAnsi="Arial"/>
          <w:sz w:val="22"/>
          <w:szCs w:val="22"/>
        </w:rPr>
        <w:t xml:space="preserve">Session memory is updated and an immutable audit record is written to BigQuery.</w:t>
      </w:r>
    </w:p>
    <w:p>
      <w:pPr>
        <w:pStyle w:val="Heading1"/>
      </w:pPr>
      <w:r>
        <w:t xml:space="preserve">6. Security, Privacy &amp; Compliance</w:t>
      </w:r>
    </w:p>
    <w:p>
      <w:pPr>
        <w:spacing w:after="120" w:line="276"/>
      </w:pPr>
      <w:r>
        <w:rPr>
          <w:rFonts w:ascii="Arial" w:cs="Arial" w:eastAsia="Arial" w:hAnsi="Arial"/>
        </w:rPr>
        <w:t xml:space="preserve">Security and compliance are designed in, not added later. Each obligation maps to a concrete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D2DC" w:sz="1"/>
              <w:left w:val="single" w:color="C9D2DC" w:sz="1"/>
              <w:bottom w:val="single" w:color="C9D2DC" w:sz="1"/>
              <w:right w:val="single" w:color="C9D2DC" w:sz="1"/>
            </w:tcBorders>
            <w:shd w:fill="D9E2EC" w:val="clear"/>
            <w:tcMar>
              <w:top w:type="dxa" w:w="60"/>
              <w:left w:type="dxa" w:w="110"/>
              <w:bottom w:type="dxa" w:w="60"/>
              <w:right w:type="dxa" w:w="110"/>
            </w:tcMar>
            <w:vAlign w:val="center"/>
          </w:tcPr>
          <w:p>
            <w:pPr>
              <w:spacing w:after="0" w:line="264"/>
            </w:pPr>
            <w:r>
              <w:rPr>
                <w:rFonts w:ascii="Arial" w:cs="Arial" w:eastAsia="Arial" w:hAnsi="Arial"/>
                <w:b/>
                <w:bCs/>
                <w:color w:val="1A3C6E"/>
                <w:sz w:val="20"/>
                <w:szCs w:val="20"/>
              </w:rPr>
              <w:t xml:space="preserve">Obligation</w:t>
            </w:r>
          </w:p>
        </w:tc>
        <w:tc>
          <w:tcPr>
            <w:tcW w:type="dxa" w:w="6360"/>
            <w:tcBorders>
              <w:top w:val="single" w:color="C9D2DC" w:sz="1"/>
              <w:left w:val="single" w:color="C9D2DC" w:sz="1"/>
              <w:bottom w:val="single" w:color="C9D2DC" w:sz="1"/>
              <w:right w:val="single" w:color="C9D2DC" w:sz="1"/>
            </w:tcBorders>
            <w:shd w:fill="D9E2EC" w:val="clear"/>
            <w:tcMar>
              <w:top w:type="dxa" w:w="60"/>
              <w:left w:type="dxa" w:w="110"/>
              <w:bottom w:type="dxa" w:w="60"/>
              <w:right w:type="dxa" w:w="110"/>
            </w:tcMar>
            <w:vAlign w:val="center"/>
          </w:tcPr>
          <w:p>
            <w:pPr>
              <w:spacing w:after="0" w:line="264"/>
            </w:pPr>
            <w:r>
              <w:rPr>
                <w:rFonts w:ascii="Arial" w:cs="Arial" w:eastAsia="Arial" w:hAnsi="Arial"/>
                <w:b/>
                <w:bCs/>
                <w:color w:val="1A3C6E"/>
                <w:sz w:val="20"/>
                <w:szCs w:val="20"/>
              </w:rPr>
              <w:t xml:space="preserve">Control in this design</w:t>
            </w:r>
          </w:p>
        </w:tc>
      </w:tr>
      <w:tr>
        <w:trPr>
          <w:tblHeader w:val="false"/>
        </w:trPr>
        <w:tc>
          <w:tcPr>
            <w:tcW w:type="dxa" w:w="30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Data privacy</w:t>
            </w:r>
          </w:p>
        </w:tc>
        <w:tc>
          <w:tcPr>
            <w:tcW w:type="dxa" w:w="63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PII redaction before the LLM and before any log; CMEK encryption; VPC Service Controls perimeter</w:t>
            </w:r>
          </w:p>
        </w:tc>
      </w:tr>
      <w:tr>
        <w:trPr>
          <w:tblHeader w:val="false"/>
        </w:trPr>
        <w:tc>
          <w:tcPr>
            <w:tcW w:type="dxa" w:w="30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Model risk</w:t>
            </w:r>
          </w:p>
        </w:tc>
        <w:tc>
          <w:tcPr>
            <w:tcW w:type="dxa" w:w="63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Evaluation harness scores groundedness and accuracy on a golden set before every release</w:t>
            </w:r>
          </w:p>
        </w:tc>
      </w:tr>
      <w:tr>
        <w:trPr>
          <w:tblHeader w:val="false"/>
        </w:trPr>
        <w:tc>
          <w:tcPr>
            <w:tcW w:type="dxa" w:w="30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Auditability</w:t>
            </w:r>
          </w:p>
        </w:tc>
        <w:tc>
          <w:tcPr>
            <w:tcW w:type="dxa" w:w="63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Every turn logged immutably to BigQuery: question, sources, answer, model, latency</w:t>
            </w:r>
          </w:p>
        </w:tc>
      </w:tr>
      <w:tr>
        <w:trPr>
          <w:tblHeader w:val="false"/>
        </w:trPr>
        <w:tc>
          <w:tcPr>
            <w:tcW w:type="dxa" w:w="30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No unauthorised advice</w:t>
            </w:r>
          </w:p>
        </w:tc>
        <w:tc>
          <w:tcPr>
            <w:tcW w:type="dxa" w:w="63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System prompt forbids personalised advice and appends disclaimers</w:t>
            </w:r>
          </w:p>
        </w:tc>
      </w:tr>
      <w:tr>
        <w:trPr>
          <w:tblHeader w:val="false"/>
        </w:trPr>
        <w:tc>
          <w:tcPr>
            <w:tcW w:type="dxa" w:w="30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Hallucination control</w:t>
            </w:r>
          </w:p>
        </w:tc>
        <w:tc>
          <w:tcPr>
            <w:tcW w:type="dxa" w:w="63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Grounded generation only, with citations and an explicit abstention path</w:t>
            </w:r>
          </w:p>
        </w:tc>
      </w:tr>
      <w:tr>
        <w:trPr>
          <w:tblHeader w:val="false"/>
        </w:trPr>
        <w:tc>
          <w:tcPr>
            <w:tcW w:type="dxa" w:w="30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Human oversight</w:t>
            </w:r>
          </w:p>
        </w:tc>
        <w:tc>
          <w:tcPr>
            <w:tcW w:type="dxa" w:w="63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Low-confidence or out-of-scope answers escalate to a human agent</w:t>
            </w:r>
          </w:p>
        </w:tc>
      </w:tr>
      <w:tr>
        <w:trPr>
          <w:tblHeader w:val="false"/>
        </w:trPr>
        <w:tc>
          <w:tcPr>
            <w:tcW w:type="dxa" w:w="30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Data residency</w:t>
            </w:r>
          </w:p>
        </w:tc>
        <w:tc>
          <w:tcPr>
            <w:tcW w:type="dxa" w:w="63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All services pinned to an approved region</w:t>
            </w:r>
          </w:p>
        </w:tc>
      </w:tr>
    </w:tbl>
    <w:p>
      <w:pPr>
        <w:pStyle w:val="Heading1"/>
      </w:pPr>
      <w:r>
        <w:t xml:space="preserve">7. Performance &amp; Latency</w:t>
      </w:r>
    </w:p>
    <w:p>
      <w:pPr>
        <w:spacing w:after="120" w:line="276"/>
      </w:pPr>
      <w:r>
        <w:rPr>
          <w:rFonts w:ascii="Arial" w:cs="Arial" w:eastAsia="Arial" w:hAnsi="Arial"/>
        </w:rPr>
        <w:t xml:space="preserve">Responsiveness is treated as a first-class requirement. The following techniques keep perceived latency low:</w:t>
      </w:r>
    </w:p>
    <w:p>
      <w:pPr>
        <w:pStyle w:val="ListParagraph"/>
        <w:numPr>
          <w:ilvl w:val="0"/>
          <w:numId w:val="2"/>
        </w:numPr>
        <w:spacing w:after="80" w:line="276"/>
      </w:pPr>
      <w:r>
        <w:rPr>
          <w:rFonts w:ascii="Arial" w:cs="Arial" w:eastAsia="Arial" w:hAnsi="Arial"/>
          <w:sz w:val="22"/>
          <w:szCs w:val="22"/>
        </w:rPr>
        <w:t xml:space="preserve">Token streaming so the first words appear in roughly half a second.</w:t>
      </w:r>
    </w:p>
    <w:p>
      <w:pPr>
        <w:pStyle w:val="ListParagraph"/>
        <w:numPr>
          <w:ilvl w:val="0"/>
          <w:numId w:val="2"/>
        </w:numPr>
        <w:spacing w:after="80" w:line="276"/>
      </w:pPr>
      <w:r>
        <w:rPr>
          <w:rFonts w:ascii="Arial" w:cs="Arial" w:eastAsia="Arial" w:hAnsi="Arial"/>
          <w:sz w:val="22"/>
          <w:szCs w:val="22"/>
        </w:rPr>
        <w:t xml:space="preserve">A semantic cache that returns repeated policy questions in tens of milliseconds.</w:t>
      </w:r>
    </w:p>
    <w:p>
      <w:pPr>
        <w:pStyle w:val="ListParagraph"/>
        <w:numPr>
          <w:ilvl w:val="0"/>
          <w:numId w:val="2"/>
        </w:numPr>
        <w:spacing w:after="80" w:line="276"/>
      </w:pPr>
      <w:r>
        <w:rPr>
          <w:rFonts w:ascii="Arial" w:cs="Arial" w:eastAsia="Arial" w:hAnsi="Arial"/>
          <w:sz w:val="22"/>
          <w:szCs w:val="22"/>
        </w:rPr>
        <w:t xml:space="preserve">Gemini Flash as the default model, escalating to Pro only when complexity warrants.</w:t>
      </w:r>
    </w:p>
    <w:p>
      <w:pPr>
        <w:pStyle w:val="ListParagraph"/>
        <w:numPr>
          <w:ilvl w:val="0"/>
          <w:numId w:val="2"/>
        </w:numPr>
        <w:spacing w:after="80" w:line="276"/>
      </w:pPr>
      <w:r>
        <w:rPr>
          <w:rFonts w:ascii="Arial" w:cs="Arial" w:eastAsia="Arial" w:hAnsi="Arial"/>
          <w:sz w:val="22"/>
          <w:szCs w:val="22"/>
        </w:rPr>
        <w:t xml:space="preserve">A minimum of one warm Cloud Run instance to avoid cold starts on the hot path.</w:t>
      </w:r>
    </w:p>
    <w:p>
      <w:pPr>
        <w:pStyle w:val="ListParagraph"/>
        <w:numPr>
          <w:ilvl w:val="0"/>
          <w:numId w:val="2"/>
        </w:numPr>
        <w:spacing w:after="80" w:line="276"/>
      </w:pPr>
      <w:r>
        <w:rPr>
          <w:rFonts w:ascii="Arial" w:cs="Arial" w:eastAsia="Arial" w:hAnsi="Arial"/>
          <w:sz w:val="22"/>
          <w:szCs w:val="22"/>
        </w:rPr>
        <w:t xml:space="preserve">Co-location of all services in a single region to remove network round-trips.</w:t>
      </w:r>
    </w:p>
    <w:p>
      <w:pPr>
        <w:pStyle w:val="ListParagraph"/>
        <w:numPr>
          <w:ilvl w:val="0"/>
          <w:numId w:val="2"/>
        </w:numPr>
        <w:spacing w:after="80" w:line="276"/>
      </w:pPr>
      <w:r>
        <w:rPr>
          <w:rFonts w:ascii="Arial" w:cs="Arial" w:eastAsia="Arial" w:hAnsi="Arial"/>
          <w:sz w:val="22"/>
          <w:szCs w:val="22"/>
        </w:rPr>
        <w:t xml:space="preserve">Parallel execution of input guardrails and cache lookup where safe.</w:t>
      </w:r>
    </w:p>
    <w:p>
      <w:pPr>
        <w:pStyle w:val="Heading1"/>
      </w:pPr>
      <w:r>
        <w:t xml:space="preserve">8. Implementation Plan</w:t>
      </w:r>
    </w:p>
    <w:p>
      <w:pPr>
        <w:spacing w:after="120" w:line="276"/>
      </w:pPr>
      <w:r>
        <w:rPr>
          <w:rFonts w:ascii="Arial" w:cs="Arial" w:eastAsia="Arial" w:hAnsi="Arial"/>
        </w:rPr>
        <w:t xml:space="preserve">The build proceeds in clearly bounded phases. Each phase produces a verifiable outcome.</w:t>
      </w:r>
    </w:p>
    <w:p>
      <w:pPr>
        <w:pStyle w:val="Heading2"/>
      </w:pPr>
      <w:r>
        <w:t xml:space="preserve">8.1 Phase 0 — Project setup</w:t>
      </w:r>
    </w:p>
    <w:p>
      <w:pPr>
        <w:spacing w:after="120" w:line="276"/>
      </w:pPr>
      <w:r>
        <w:rPr>
          <w:rFonts w:ascii="Arial" w:cs="Arial" w:eastAsia="Arial" w:hAnsi="Arial"/>
        </w:rPr>
        <w:t xml:space="preserve">Create the Google Cloud project, set the region, and enable the required APIs (Cloud Run, Vertex AI, Discovery Engine, DLP, Firestore, Document AI, Redis, Apigee, Logging, BigQuery, KMS).</w:t>
      </w:r>
    </w:p>
    <w:p>
      <w:pPr>
        <w:pStyle w:val="Heading2"/>
      </w:pPr>
      <w:r>
        <w:t xml:space="preserve">8.2 Phase 1 — Provision infrastructure</w:t>
      </w:r>
    </w:p>
    <w:p>
      <w:pPr>
        <w:spacing w:after="120" w:line="276"/>
      </w:pPr>
      <w:r>
        <w:rPr>
          <w:rFonts w:ascii="Arial" w:cs="Arial" w:eastAsia="Arial" w:hAnsi="Arial"/>
        </w:rPr>
        <w:t xml:space="preserve">Apply the Terraform configuration to create the document bucket, the Vertex AI Search data store and app, Firestore, Memorystore, the BigQuery audit dataset, and least-privilege service accounts.</w:t>
      </w:r>
    </w:p>
    <w:p>
      <w:pPr>
        <w:pStyle w:val="Heading2"/>
      </w:pPr>
      <w:r>
        <w:t xml:space="preserve">8.3 Phase 2 — Ingest documents</w:t>
      </w:r>
    </w:p>
    <w:p>
      <w:pPr>
        <w:spacing w:after="120" w:line="276"/>
      </w:pPr>
      <w:r>
        <w:rPr>
          <w:rFonts w:ascii="Arial" w:cs="Arial" w:eastAsia="Arial" w:hAnsi="Arial"/>
        </w:rPr>
        <w:t xml:space="preserve">Upload policy documents to Cloud Storage tagged with an audience label, then run the ingestion job. Vertex AI Search parses, chunks, embeds, and indexes automatically; the audience label becomes the per-channel access-control filter.</w:t>
      </w:r>
    </w:p>
    <w:p>
      <w:pPr>
        <w:pStyle w:val="Heading2"/>
      </w:pPr>
      <w:r>
        <w:t xml:space="preserve">8.4 Phase 3 — Deploy the orchestration service</w:t>
      </w:r>
    </w:p>
    <w:p>
      <w:pPr>
        <w:spacing w:after="120" w:line="276"/>
      </w:pPr>
      <w:r>
        <w:rPr>
          <w:rFonts w:ascii="Arial" w:cs="Arial" w:eastAsia="Arial" w:hAnsi="Arial"/>
        </w:rPr>
        <w:t xml:space="preserve">Deploy the orchestration container to Cloud Run with a minimum instance count, exposing the customer and internal front doors.</w:t>
      </w:r>
    </w:p>
    <w:p>
      <w:pPr>
        <w:pStyle w:val="Heading2"/>
      </w:pPr>
      <w:r>
        <w:t xml:space="preserve">8.5 Phase 4 — Identity and gateway</w:t>
      </w:r>
    </w:p>
    <w:p>
      <w:pPr>
        <w:spacing w:after="120" w:line="276"/>
      </w:pPr>
      <w:r>
        <w:rPr>
          <w:rFonts w:ascii="Arial" w:cs="Arial" w:eastAsia="Arial" w:hAnsi="Arial"/>
        </w:rPr>
        <w:t xml:space="preserve">Wire Apigee and Identity Platform in front of the customer channel, and IAP with corporate SSO in front of the internal channel. Configure rate limits and WAF policy.</w:t>
      </w:r>
    </w:p>
    <w:p>
      <w:pPr>
        <w:pStyle w:val="Heading2"/>
      </w:pPr>
      <w:r>
        <w:t xml:space="preserve">8.6 Phase 5 — Observability and evaluation</w:t>
      </w:r>
    </w:p>
    <w:p>
      <w:pPr>
        <w:spacing w:after="120" w:line="276"/>
      </w:pPr>
      <w:r>
        <w:rPr>
          <w:rFonts w:ascii="Arial" w:cs="Arial" w:eastAsia="Arial" w:hAnsi="Arial"/>
        </w:rPr>
        <w:t xml:space="preserve">Confirm audit records land in BigQuery and run the evaluation harness against the golden question set, blocking release if quality thresholds are not met.</w:t>
      </w:r>
    </w:p>
    <w:p>
      <w:pPr>
        <w:pStyle w:val="Heading2"/>
      </w:pPr>
      <w:r>
        <w:t xml:space="preserve">8.7 Phase 6 — Hardening and pilot</w:t>
      </w:r>
    </w:p>
    <w:p>
      <w:pPr>
        <w:spacing w:after="120" w:line="276"/>
      </w:pPr>
      <w:r>
        <w:rPr>
          <w:rFonts w:ascii="Arial" w:cs="Arial" w:eastAsia="Arial" w:hAnsi="Arial"/>
        </w:rPr>
        <w:t xml:space="preserve">Enable VPC Service Controls and CMEK, complete prompt-injection red-teaming, verify disclaimer and escalation behaviour, load-test to the latency target, then open a limited pilot.</w:t>
      </w:r>
    </w:p>
    <w:p>
      <w:pPr>
        <w:pStyle w:val="Heading1"/>
      </w:pPr>
      <w:r>
        <w:t xml:space="preserve">9. Hosting &amp; Deployment</w:t>
      </w:r>
    </w:p>
    <w:p>
      <w:pPr>
        <w:spacing w:after="120" w:line="276"/>
      </w:pPr>
      <w:r>
        <w:rPr>
          <w:rFonts w:ascii="Arial" w:cs="Arial" w:eastAsia="Arial" w:hAnsi="Arial"/>
        </w:rPr>
        <w:t xml:space="preserve">The service is hosted entirely on Google Cloud. Cloud Run runs the stateless orchestration container and scales automatically with demand; the retrieval index, models, cache, memory, and audit store are all managed services. Infrastructure is defined as code in Terraform so environments are reproducible, and deployments are promoted from development to staging to production with the evaluation gate enforced between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rPr>
          <w:tblHeader/>
        </w:trPr>
        <w:tc>
          <w:tcPr>
            <w:tcW w:type="dxa" w:w="2600"/>
            <w:tcBorders>
              <w:top w:val="single" w:color="C9D2DC" w:sz="1"/>
              <w:left w:val="single" w:color="C9D2DC" w:sz="1"/>
              <w:bottom w:val="single" w:color="C9D2DC" w:sz="1"/>
              <w:right w:val="single" w:color="C9D2DC" w:sz="1"/>
            </w:tcBorders>
            <w:shd w:fill="D9E2EC" w:val="clear"/>
            <w:tcMar>
              <w:top w:type="dxa" w:w="60"/>
              <w:left w:type="dxa" w:w="110"/>
              <w:bottom w:type="dxa" w:w="60"/>
              <w:right w:type="dxa" w:w="110"/>
            </w:tcMar>
            <w:vAlign w:val="center"/>
          </w:tcPr>
          <w:p>
            <w:pPr>
              <w:spacing w:after="0" w:line="264"/>
            </w:pPr>
            <w:r>
              <w:rPr>
                <w:rFonts w:ascii="Arial" w:cs="Arial" w:eastAsia="Arial" w:hAnsi="Arial"/>
                <w:b/>
                <w:bCs/>
                <w:color w:val="1A3C6E"/>
                <w:sz w:val="20"/>
                <w:szCs w:val="20"/>
              </w:rPr>
              <w:t xml:space="preserve">Environment</w:t>
            </w:r>
          </w:p>
        </w:tc>
        <w:tc>
          <w:tcPr>
            <w:tcW w:type="dxa" w:w="3760"/>
            <w:tcBorders>
              <w:top w:val="single" w:color="C9D2DC" w:sz="1"/>
              <w:left w:val="single" w:color="C9D2DC" w:sz="1"/>
              <w:bottom w:val="single" w:color="C9D2DC" w:sz="1"/>
              <w:right w:val="single" w:color="C9D2DC" w:sz="1"/>
            </w:tcBorders>
            <w:shd w:fill="D9E2EC" w:val="clear"/>
            <w:tcMar>
              <w:top w:type="dxa" w:w="60"/>
              <w:left w:type="dxa" w:w="110"/>
              <w:bottom w:type="dxa" w:w="60"/>
              <w:right w:type="dxa" w:w="110"/>
            </w:tcMar>
            <w:vAlign w:val="center"/>
          </w:tcPr>
          <w:p>
            <w:pPr>
              <w:spacing w:after="0" w:line="264"/>
            </w:pPr>
            <w:r>
              <w:rPr>
                <w:rFonts w:ascii="Arial" w:cs="Arial" w:eastAsia="Arial" w:hAnsi="Arial"/>
                <w:b/>
                <w:bCs/>
                <w:color w:val="1A3C6E"/>
                <w:sz w:val="20"/>
                <w:szCs w:val="20"/>
              </w:rPr>
              <w:t xml:space="preserve">Purpose</w:t>
            </w:r>
          </w:p>
        </w:tc>
        <w:tc>
          <w:tcPr>
            <w:tcW w:type="dxa" w:w="3000"/>
            <w:tcBorders>
              <w:top w:val="single" w:color="C9D2DC" w:sz="1"/>
              <w:left w:val="single" w:color="C9D2DC" w:sz="1"/>
              <w:bottom w:val="single" w:color="C9D2DC" w:sz="1"/>
              <w:right w:val="single" w:color="C9D2DC" w:sz="1"/>
            </w:tcBorders>
            <w:shd w:fill="D9E2EC" w:val="clear"/>
            <w:tcMar>
              <w:top w:type="dxa" w:w="60"/>
              <w:left w:type="dxa" w:w="110"/>
              <w:bottom w:type="dxa" w:w="60"/>
              <w:right w:type="dxa" w:w="110"/>
            </w:tcMar>
            <w:vAlign w:val="center"/>
          </w:tcPr>
          <w:p>
            <w:pPr>
              <w:spacing w:after="0" w:line="264"/>
            </w:pPr>
            <w:r>
              <w:rPr>
                <w:rFonts w:ascii="Arial" w:cs="Arial" w:eastAsia="Arial" w:hAnsi="Arial"/>
                <w:b/>
                <w:bCs/>
                <w:color w:val="1A3C6E"/>
                <w:sz w:val="20"/>
                <w:szCs w:val="20"/>
              </w:rPr>
              <w:t xml:space="preserve">Promotion gate</w:t>
            </w:r>
          </w:p>
        </w:tc>
      </w:tr>
      <w:tr>
        <w:trPr>
          <w:tblHeader w:val="false"/>
        </w:trPr>
        <w:tc>
          <w:tcPr>
            <w:tcW w:type="dxa" w:w="26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Development</w:t>
            </w:r>
          </w:p>
        </w:tc>
        <w:tc>
          <w:tcPr>
            <w:tcW w:type="dxa" w:w="37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Build and integrate features</w:t>
            </w:r>
          </w:p>
        </w:tc>
        <w:tc>
          <w:tcPr>
            <w:tcW w:type="dxa" w:w="30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Unit tests pass</w:t>
            </w:r>
          </w:p>
        </w:tc>
      </w:tr>
      <w:tr>
        <w:trPr>
          <w:tblHeader w:val="false"/>
        </w:trPr>
        <w:tc>
          <w:tcPr>
            <w:tcW w:type="dxa" w:w="26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Staging</w:t>
            </w:r>
          </w:p>
        </w:tc>
        <w:tc>
          <w:tcPr>
            <w:tcW w:type="dxa" w:w="37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Pre-production validation</w:t>
            </w:r>
          </w:p>
        </w:tc>
        <w:tc>
          <w:tcPr>
            <w:tcW w:type="dxa" w:w="30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Evaluation thresholds met; security review</w:t>
            </w:r>
          </w:p>
        </w:tc>
      </w:tr>
      <w:tr>
        <w:trPr>
          <w:tblHeader w:val="false"/>
        </w:trPr>
        <w:tc>
          <w:tcPr>
            <w:tcW w:type="dxa" w:w="26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Production</w:t>
            </w:r>
          </w:p>
        </w:tc>
        <w:tc>
          <w:tcPr>
            <w:tcW w:type="dxa" w:w="37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Live customer and agent traffic</w:t>
            </w:r>
          </w:p>
        </w:tc>
        <w:tc>
          <w:tcPr>
            <w:tcW w:type="dxa" w:w="30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Change approval; rollback plan ready</w:t>
            </w:r>
          </w:p>
        </w:tc>
      </w:tr>
    </w:tbl>
    <w:p>
      <w:pPr>
        <w:pStyle w:val="Heading1"/>
      </w:pPr>
      <w:r>
        <w:t xml:space="preserve">10. Evaluation &amp; Model Risk</w:t>
      </w:r>
    </w:p>
    <w:p>
      <w:pPr>
        <w:spacing w:after="120" w:line="276"/>
      </w:pPr>
      <w:r>
        <w:rPr>
          <w:rFonts w:ascii="Arial" w:cs="Arial" w:eastAsia="Arial" w:hAnsi="Arial"/>
        </w:rPr>
        <w:t xml:space="preserve">The assistant is governed like a model, not merely a feature. A golden set of representative questions with verified answers and sources is maintained and replayed before every release. Releases are blocked if groundedness, accuracy, citation correctness, refusal behaviour, or injection resistance fall below their thresholds, and results are retained for model-risk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rPr>
          <w:tblHeader/>
        </w:trPr>
        <w:tc>
          <w:tcPr>
            <w:tcW w:type="dxa" w:w="2800"/>
            <w:tcBorders>
              <w:top w:val="single" w:color="C9D2DC" w:sz="1"/>
              <w:left w:val="single" w:color="C9D2DC" w:sz="1"/>
              <w:bottom w:val="single" w:color="C9D2DC" w:sz="1"/>
              <w:right w:val="single" w:color="C9D2DC" w:sz="1"/>
            </w:tcBorders>
            <w:shd w:fill="D9E2EC" w:val="clear"/>
            <w:tcMar>
              <w:top w:type="dxa" w:w="60"/>
              <w:left w:type="dxa" w:w="110"/>
              <w:bottom w:type="dxa" w:w="60"/>
              <w:right w:type="dxa" w:w="110"/>
            </w:tcMar>
            <w:vAlign w:val="center"/>
          </w:tcPr>
          <w:p>
            <w:pPr>
              <w:spacing w:after="0" w:line="264"/>
            </w:pPr>
            <w:r>
              <w:rPr>
                <w:rFonts w:ascii="Arial" w:cs="Arial" w:eastAsia="Arial" w:hAnsi="Arial"/>
                <w:b/>
                <w:bCs/>
                <w:color w:val="1A3C6E"/>
                <w:sz w:val="20"/>
                <w:szCs w:val="20"/>
              </w:rPr>
              <w:t xml:space="preserve">Metric</w:t>
            </w:r>
          </w:p>
        </w:tc>
        <w:tc>
          <w:tcPr>
            <w:tcW w:type="dxa" w:w="4160"/>
            <w:tcBorders>
              <w:top w:val="single" w:color="C9D2DC" w:sz="1"/>
              <w:left w:val="single" w:color="C9D2DC" w:sz="1"/>
              <w:bottom w:val="single" w:color="C9D2DC" w:sz="1"/>
              <w:right w:val="single" w:color="C9D2DC" w:sz="1"/>
            </w:tcBorders>
            <w:shd w:fill="D9E2EC" w:val="clear"/>
            <w:tcMar>
              <w:top w:type="dxa" w:w="60"/>
              <w:left w:type="dxa" w:w="110"/>
              <w:bottom w:type="dxa" w:w="60"/>
              <w:right w:type="dxa" w:w="110"/>
            </w:tcMar>
            <w:vAlign w:val="center"/>
          </w:tcPr>
          <w:p>
            <w:pPr>
              <w:spacing w:after="0" w:line="264"/>
            </w:pPr>
            <w:r>
              <w:rPr>
                <w:rFonts w:ascii="Arial" w:cs="Arial" w:eastAsia="Arial" w:hAnsi="Arial"/>
                <w:b/>
                <w:bCs/>
                <w:color w:val="1A3C6E"/>
                <w:sz w:val="20"/>
                <w:szCs w:val="20"/>
              </w:rPr>
              <w:t xml:space="preserve">What it protects against</w:t>
            </w:r>
          </w:p>
        </w:tc>
        <w:tc>
          <w:tcPr>
            <w:tcW w:type="dxa" w:w="2400"/>
            <w:tcBorders>
              <w:top w:val="single" w:color="C9D2DC" w:sz="1"/>
              <w:left w:val="single" w:color="C9D2DC" w:sz="1"/>
              <w:bottom w:val="single" w:color="C9D2DC" w:sz="1"/>
              <w:right w:val="single" w:color="C9D2DC" w:sz="1"/>
            </w:tcBorders>
            <w:shd w:fill="D9E2EC" w:val="clear"/>
            <w:tcMar>
              <w:top w:type="dxa" w:w="60"/>
              <w:left w:type="dxa" w:w="110"/>
              <w:bottom w:type="dxa" w:w="60"/>
              <w:right w:type="dxa" w:w="110"/>
            </w:tcMar>
            <w:vAlign w:val="center"/>
          </w:tcPr>
          <w:p>
            <w:pPr>
              <w:spacing w:after="0" w:line="264"/>
            </w:pPr>
            <w:r>
              <w:rPr>
                <w:rFonts w:ascii="Arial" w:cs="Arial" w:eastAsia="Arial" w:hAnsi="Arial"/>
                <w:b/>
                <w:bCs/>
                <w:color w:val="1A3C6E"/>
                <w:sz w:val="20"/>
                <w:szCs w:val="20"/>
              </w:rPr>
              <w:t xml:space="preserve">Target</w:t>
            </w:r>
          </w:p>
        </w:tc>
      </w:tr>
      <w:tr>
        <w:trPr>
          <w:tblHeader w:val="false"/>
        </w:trPr>
        <w:tc>
          <w:tcPr>
            <w:tcW w:type="dxa" w:w="28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Groundedness</w:t>
            </w:r>
          </w:p>
        </w:tc>
        <w:tc>
          <w:tcPr>
            <w:tcW w:type="dxa" w:w="41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Hallucination</w:t>
            </w:r>
          </w:p>
        </w:tc>
        <w:tc>
          <w:tcPr>
            <w:tcW w:type="dxa" w:w="24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High</w:t>
            </w:r>
          </w:p>
        </w:tc>
      </w:tr>
      <w:tr>
        <w:trPr>
          <w:tblHeader w:val="false"/>
        </w:trPr>
        <w:tc>
          <w:tcPr>
            <w:tcW w:type="dxa" w:w="28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Answer accuracy</w:t>
            </w:r>
          </w:p>
        </w:tc>
        <w:tc>
          <w:tcPr>
            <w:tcW w:type="dxa" w:w="41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Incorrect responses</w:t>
            </w:r>
          </w:p>
        </w:tc>
        <w:tc>
          <w:tcPr>
            <w:tcW w:type="dxa" w:w="24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High</w:t>
            </w:r>
          </w:p>
        </w:tc>
      </w:tr>
      <w:tr>
        <w:trPr>
          <w:tblHeader w:val="false"/>
        </w:trPr>
        <w:tc>
          <w:tcPr>
            <w:tcW w:type="dxa" w:w="28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Citation correctness</w:t>
            </w:r>
          </w:p>
        </w:tc>
        <w:tc>
          <w:tcPr>
            <w:tcW w:type="dxa" w:w="41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Misattributed sources</w:t>
            </w:r>
          </w:p>
        </w:tc>
        <w:tc>
          <w:tcPr>
            <w:tcW w:type="dxa" w:w="24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High</w:t>
            </w:r>
          </w:p>
        </w:tc>
      </w:tr>
      <w:tr>
        <w:trPr>
          <w:tblHeader w:val="false"/>
        </w:trPr>
        <w:tc>
          <w:tcPr>
            <w:tcW w:type="dxa" w:w="28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Refusal correctness</w:t>
            </w:r>
          </w:p>
        </w:tc>
        <w:tc>
          <w:tcPr>
            <w:tcW w:type="dxa" w:w="41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Answering beyond the corpus</w:t>
            </w:r>
          </w:p>
        </w:tc>
        <w:tc>
          <w:tcPr>
            <w:tcW w:type="dxa" w:w="24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High</w:t>
            </w:r>
          </w:p>
        </w:tc>
      </w:tr>
      <w:tr>
        <w:trPr>
          <w:tblHeader w:val="false"/>
        </w:trPr>
        <w:tc>
          <w:tcPr>
            <w:tcW w:type="dxa" w:w="28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PII leakage</w:t>
            </w:r>
          </w:p>
        </w:tc>
        <w:tc>
          <w:tcPr>
            <w:tcW w:type="dxa" w:w="41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Privacy breach</w:t>
            </w:r>
          </w:p>
        </w:tc>
        <w:tc>
          <w:tcPr>
            <w:tcW w:type="dxa" w:w="24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Zero incidents</w:t>
            </w:r>
          </w:p>
        </w:tc>
      </w:tr>
      <w:tr>
        <w:trPr>
          <w:tblHeader w:val="false"/>
        </w:trPr>
        <w:tc>
          <w:tcPr>
            <w:tcW w:type="dxa" w:w="28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Injection resistance</w:t>
            </w:r>
          </w:p>
        </w:tc>
        <w:tc>
          <w:tcPr>
            <w:tcW w:type="dxa" w:w="41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Manipulation of the assistant</w:t>
            </w:r>
          </w:p>
        </w:tc>
        <w:tc>
          <w:tcPr>
            <w:tcW w:type="dxa" w:w="24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Very high</w:t>
            </w:r>
          </w:p>
        </w:tc>
      </w:tr>
    </w:tbl>
    <w:p>
      <w:pPr>
        <w:pStyle w:val="Heading1"/>
      </w:pPr>
      <w:r>
        <w:t xml:space="preserve">11. Operations &amp; Monitoring</w:t>
      </w:r>
    </w:p>
    <w:p>
      <w:pPr>
        <w:spacing w:after="120" w:line="276"/>
      </w:pPr>
      <w:r>
        <w:rPr>
          <w:rFonts w:ascii="Arial" w:cs="Arial" w:eastAsia="Arial" w:hAnsi="Arial"/>
        </w:rPr>
        <w:t xml:space="preserve">Operational health is observed through Cloud Logging and BigQuery dashboards covering latency, cache hit rate, abstention and escalation rates, and error rates. Alerts fire on latency-SLO breaches and on any detected PII leakage. Document changes trigger a re-evaluation because new content can shift retrieval behaviour.</w:t>
      </w:r>
    </w:p>
    <w:p>
      <w:pPr>
        <w:pStyle w:val="Heading1"/>
      </w:pPr>
      <w:r>
        <w:t xml:space="preserve">12. Rollout Timeline</w:t>
      </w:r>
    </w:p>
    <w:p>
      <w:pPr>
        <w:spacing w:after="120" w:line="276"/>
      </w:pPr>
      <w:r>
        <w:rPr>
          <w:rFonts w:ascii="Arial" w:cs="Arial" w:eastAsia="Arial" w:hAnsi="Arial"/>
        </w:rPr>
        <w:t xml:space="preserve">A pragmatic four-week path to a hardened pilot, starting with a single high-value policy domain and expanding the corpus once quality and audit are proven.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500"/>
        <w:gridCol w:w="3760"/>
      </w:tblGrid>
      <w:tr>
        <w:trPr>
          <w:tblHeader/>
        </w:trPr>
        <w:tc>
          <w:tcPr>
            <w:tcW w:type="dxa" w:w="1100"/>
            <w:tcBorders>
              <w:top w:val="single" w:color="C9D2DC" w:sz="1"/>
              <w:left w:val="single" w:color="C9D2DC" w:sz="1"/>
              <w:bottom w:val="single" w:color="C9D2DC" w:sz="1"/>
              <w:right w:val="single" w:color="C9D2DC" w:sz="1"/>
            </w:tcBorders>
            <w:shd w:fill="D9E2EC" w:val="clear"/>
            <w:tcMar>
              <w:top w:type="dxa" w:w="60"/>
              <w:left w:type="dxa" w:w="110"/>
              <w:bottom w:type="dxa" w:w="60"/>
              <w:right w:type="dxa" w:w="110"/>
            </w:tcMar>
            <w:vAlign w:val="center"/>
          </w:tcPr>
          <w:p>
            <w:pPr>
              <w:spacing w:after="0" w:line="264"/>
            </w:pPr>
            <w:r>
              <w:rPr>
                <w:rFonts w:ascii="Arial" w:cs="Arial" w:eastAsia="Arial" w:hAnsi="Arial"/>
                <w:b/>
                <w:bCs/>
                <w:color w:val="1A3C6E"/>
                <w:sz w:val="20"/>
                <w:szCs w:val="20"/>
              </w:rPr>
              <w:t xml:space="preserve">Week</w:t>
            </w:r>
          </w:p>
        </w:tc>
        <w:tc>
          <w:tcPr>
            <w:tcW w:type="dxa" w:w="4500"/>
            <w:tcBorders>
              <w:top w:val="single" w:color="C9D2DC" w:sz="1"/>
              <w:left w:val="single" w:color="C9D2DC" w:sz="1"/>
              <w:bottom w:val="single" w:color="C9D2DC" w:sz="1"/>
              <w:right w:val="single" w:color="C9D2DC" w:sz="1"/>
            </w:tcBorders>
            <w:shd w:fill="D9E2EC" w:val="clear"/>
            <w:tcMar>
              <w:top w:type="dxa" w:w="60"/>
              <w:left w:type="dxa" w:w="110"/>
              <w:bottom w:type="dxa" w:w="60"/>
              <w:right w:type="dxa" w:w="110"/>
            </w:tcMar>
            <w:vAlign w:val="center"/>
          </w:tcPr>
          <w:p>
            <w:pPr>
              <w:spacing w:after="0" w:line="264"/>
            </w:pPr>
            <w:r>
              <w:rPr>
                <w:rFonts w:ascii="Arial" w:cs="Arial" w:eastAsia="Arial" w:hAnsi="Arial"/>
                <w:b/>
                <w:bCs/>
                <w:color w:val="1A3C6E"/>
                <w:sz w:val="20"/>
                <w:szCs w:val="20"/>
              </w:rPr>
              <w:t xml:space="preserve">Focus</w:t>
            </w:r>
          </w:p>
        </w:tc>
        <w:tc>
          <w:tcPr>
            <w:tcW w:type="dxa" w:w="3760"/>
            <w:tcBorders>
              <w:top w:val="single" w:color="C9D2DC" w:sz="1"/>
              <w:left w:val="single" w:color="C9D2DC" w:sz="1"/>
              <w:bottom w:val="single" w:color="C9D2DC" w:sz="1"/>
              <w:right w:val="single" w:color="C9D2DC" w:sz="1"/>
            </w:tcBorders>
            <w:shd w:fill="D9E2EC" w:val="clear"/>
            <w:tcMar>
              <w:top w:type="dxa" w:w="60"/>
              <w:left w:type="dxa" w:w="110"/>
              <w:bottom w:type="dxa" w:w="60"/>
              <w:right w:type="dxa" w:w="110"/>
            </w:tcMar>
            <w:vAlign w:val="center"/>
          </w:tcPr>
          <w:p>
            <w:pPr>
              <w:spacing w:after="0" w:line="264"/>
            </w:pPr>
            <w:r>
              <w:rPr>
                <w:rFonts w:ascii="Arial" w:cs="Arial" w:eastAsia="Arial" w:hAnsi="Arial"/>
                <w:b/>
                <w:bCs/>
                <w:color w:val="1A3C6E"/>
                <w:sz w:val="20"/>
                <w:szCs w:val="20"/>
              </w:rPr>
              <w:t xml:space="preserve">Outcome</w:t>
            </w:r>
          </w:p>
        </w:tc>
      </w:tr>
      <w:tr>
        <w:trPr>
          <w:tblHeader w:val="false"/>
        </w:trPr>
        <w:tc>
          <w:tcPr>
            <w:tcW w:type="dxa" w:w="11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1</w:t>
            </w:r>
          </w:p>
        </w:tc>
        <w:tc>
          <w:tcPr>
            <w:tcW w:type="dxa" w:w="45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Project setup, infrastructure, initial ingestion</w:t>
            </w:r>
          </w:p>
        </w:tc>
        <w:tc>
          <w:tcPr>
            <w:tcW w:type="dxa" w:w="37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Indexed corpus, infra in place</w:t>
            </w:r>
          </w:p>
        </w:tc>
      </w:tr>
      <w:tr>
        <w:trPr>
          <w:tblHeader w:val="false"/>
        </w:trPr>
        <w:tc>
          <w:tcPr>
            <w:tcW w:type="dxa" w:w="11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2</w:t>
            </w:r>
          </w:p>
        </w:tc>
        <w:tc>
          <w:tcPr>
            <w:tcW w:type="dxa" w:w="45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Both channels and baseline guardrails</w:t>
            </w:r>
          </w:p>
        </w:tc>
        <w:tc>
          <w:tcPr>
            <w:tcW w:type="dxa" w:w="37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End-to-end answers on both channels</w:t>
            </w:r>
          </w:p>
        </w:tc>
      </w:tr>
      <w:tr>
        <w:trPr>
          <w:tblHeader w:val="false"/>
        </w:trPr>
        <w:tc>
          <w:tcPr>
            <w:tcW w:type="dxa" w:w="11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3</w:t>
            </w:r>
          </w:p>
        </w:tc>
        <w:tc>
          <w:tcPr>
            <w:tcW w:type="dxa" w:w="45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Evaluation, audit, cache, load testing</w:t>
            </w:r>
          </w:p>
        </w:tc>
        <w:tc>
          <w:tcPr>
            <w:tcW w:type="dxa" w:w="37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Quality gate and performance verified</w:t>
            </w:r>
          </w:p>
        </w:tc>
      </w:tr>
      <w:tr>
        <w:trPr>
          <w:tblHeader w:val="false"/>
        </w:trPr>
        <w:tc>
          <w:tcPr>
            <w:tcW w:type="dxa" w:w="11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4</w:t>
            </w:r>
          </w:p>
        </w:tc>
        <w:tc>
          <w:tcPr>
            <w:tcW w:type="dxa" w:w="450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Security hardening and red-teaming</w:t>
            </w:r>
          </w:p>
        </w:tc>
        <w:tc>
          <w:tcPr>
            <w:tcW w:type="dxa" w:w="3760"/>
            <w:tcBorders>
              <w:top w:val="single" w:color="C9D2DC" w:sz="1"/>
              <w:left w:val="single" w:color="C9D2DC" w:sz="1"/>
              <w:bottom w:val="single" w:color="C9D2DC" w:sz="1"/>
              <w:right w:val="single" w:color="C9D2DC" w:sz="1"/>
            </w:tcBorders>
            <w:shd w:fill="FFFFFF" w:val="clear"/>
            <w:tcMar>
              <w:top w:type="dxa" w:w="60"/>
              <w:left w:type="dxa" w:w="110"/>
              <w:bottom w:type="dxa" w:w="60"/>
              <w:right w:type="dxa" w:w="110"/>
            </w:tcMar>
            <w:vAlign w:val="center"/>
          </w:tcPr>
          <w:p>
            <w:pPr>
              <w:spacing w:after="0" w:line="264"/>
            </w:pPr>
            <w:r>
              <w:rPr>
                <w:rFonts w:ascii="Arial" w:cs="Arial" w:eastAsia="Arial" w:hAnsi="Arial"/>
                <w:b w:val="false"/>
                <w:bCs w:val="false"/>
                <w:color w:val="202124"/>
                <w:sz w:val="20"/>
                <w:szCs w:val="20"/>
              </w:rPr>
              <w:t xml:space="preserve">Limited pilot launched</w:t>
            </w:r>
          </w:p>
        </w:tc>
      </w:tr>
    </w:tbl>
    <w:p>
      <w:pPr>
        <w:pStyle w:val="Heading1"/>
      </w:pPr>
      <w:r>
        <w:t xml:space="preserve">13. Appendix — Deliverables</w:t>
      </w:r>
    </w:p>
    <w:p>
      <w:pPr>
        <w:spacing w:after="120" w:line="276"/>
      </w:pPr>
      <w:r>
        <w:rPr>
          <w:rFonts w:ascii="Arial" w:cs="Arial" w:eastAsia="Arial" w:hAnsi="Arial"/>
        </w:rPr>
        <w:t xml:space="preserve">This document is accompanied by an implementation repository containing the infrastructure code, the orchestration service, the ingestion job, and the evaluation guide:</w:t>
      </w:r>
    </w:p>
    <w:p>
      <w:pPr>
        <w:pStyle w:val="ListParagraph"/>
        <w:numPr>
          <w:ilvl w:val="0"/>
          <w:numId w:val="2"/>
        </w:numPr>
        <w:spacing w:after="80" w:line="276"/>
      </w:pPr>
      <w:r>
        <w:rPr>
          <w:rFonts w:ascii="Arial" w:cs="Arial" w:eastAsia="Arial" w:hAnsi="Arial"/>
          <w:sz w:val="22"/>
          <w:szCs w:val="22"/>
        </w:rPr>
        <w:t xml:space="preserve">Infrastructure as code (Terraform) for all Google Cloud resources.</w:t>
      </w:r>
    </w:p>
    <w:p>
      <w:pPr>
        <w:pStyle w:val="ListParagraph"/>
        <w:numPr>
          <w:ilvl w:val="0"/>
          <w:numId w:val="2"/>
        </w:numPr>
        <w:spacing w:after="80" w:line="276"/>
      </w:pPr>
      <w:r>
        <w:rPr>
          <w:rFonts w:ascii="Arial" w:cs="Arial" w:eastAsia="Arial" w:hAnsi="Arial"/>
          <w:sz w:val="22"/>
          <w:szCs w:val="22"/>
        </w:rPr>
        <w:t xml:space="preserve">Orchestration service (FastAPI on Cloud Run) with retrieval, guardrails, and audit.</w:t>
      </w:r>
    </w:p>
    <w:p>
      <w:pPr>
        <w:pStyle w:val="ListParagraph"/>
        <w:numPr>
          <w:ilvl w:val="0"/>
          <w:numId w:val="2"/>
        </w:numPr>
        <w:spacing w:after="80" w:line="276"/>
      </w:pPr>
      <w:r>
        <w:rPr>
          <w:rFonts w:ascii="Arial" w:cs="Arial" w:eastAsia="Arial" w:hAnsi="Arial"/>
          <w:sz w:val="22"/>
          <w:szCs w:val="22"/>
        </w:rPr>
        <w:t xml:space="preserve">Ingestion job that indexes documents into Vertex AI Search with access-control tags.</w:t>
      </w:r>
    </w:p>
    <w:p>
      <w:pPr>
        <w:pStyle w:val="ListParagraph"/>
        <w:numPr>
          <w:ilvl w:val="0"/>
          <w:numId w:val="2"/>
        </w:numPr>
        <w:spacing w:after="80" w:line="276"/>
      </w:pPr>
      <w:r>
        <w:rPr>
          <w:rFonts w:ascii="Arial" w:cs="Arial" w:eastAsia="Arial" w:hAnsi="Arial"/>
          <w:sz w:val="22"/>
          <w:szCs w:val="22"/>
        </w:rPr>
        <w:t xml:space="preserve">Evaluation guide describing the golden set and the model-risk gate.</w:t>
      </w:r>
    </w:p>
    <w:p>
      <w:pPr>
        <w:spacing w:before="240"/>
      </w:pPr>
      <w:r>
        <w:rPr>
          <w:rFonts w:ascii="Arial" w:cs="Arial" w:eastAsia="Arial" w:hAnsi="Arial"/>
          <w:i/>
          <w:iCs/>
          <w:color w:val="5F6368"/>
          <w:sz w:val="20"/>
          <w:szCs w:val="20"/>
        </w:rPr>
        <w:t xml:space="preserve">Prepared by Harikrishnan Rajaram.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6368"/>
        <w:sz w:val="16"/>
        <w:szCs w:val="16"/>
      </w:rPr>
      <w:t xml:space="preserve">Harikrishnan Rajaram   ·   </w:t>
    </w:r>
    <w:r>
      <w:rPr>
        <w:rFonts w:ascii="Arial" w:cs="Arial" w:eastAsia="Arial" w:hAnsi="Arial"/>
        <w:color w:val="5F636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C" w:sz="4" w:space="4"/>
      </w:pBdr>
      <w:spacing w:after="0"/>
    </w:pPr>
    <w:r>
      <w:rPr>
        <w:rFonts w:ascii="Arial" w:cs="Arial" w:eastAsia="Arial" w:hAnsi="Arial"/>
        <w:color w:val="5F6368"/>
        <w:sz w:val="16"/>
        <w:szCs w:val="16"/>
      </w:rPr>
      <w:t xml:space="preserve">Conversational AI on Google Cloud  —  Customer &amp; Employee Facing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0212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C6E"/>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A73E8"/>
      <w:sz w:val="25"/>
      <w:szCs w:val="25"/>
    </w:rPr>
  </w:style>
  <w:style w:type="paragraph" w:styleId="Heading3">
    <w:name w:val="Heading 3"/>
    <w:basedOn w:val="Normal"/>
    <w:next w:val="Normal"/>
    <w:qFormat/>
    <w:pPr>
      <w:spacing w:after="100" w:before="160"/>
      <w:outlineLvl w:val="2"/>
    </w:pPr>
    <w:rPr>
      <w:rFonts w:ascii="Arial" w:cs="Arial" w:eastAsia="Arial" w:hAnsi="Arial"/>
      <w:b/>
      <w:bCs/>
      <w:color w:val="3C404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cf72bd0bc060de727be8117c567f0f00836644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Conversational AI on Google Cloud — Customer &amp; Employee Facing</dc:title>
  <dc:creator>Harikrishnan Rajaram</dc:creator>
  <cp:lastModifiedBy>Un-named</cp:lastModifiedBy>
  <cp:revision>1</cp:revision>
  <dcterms:created xsi:type="dcterms:W3CDTF">2026-06-20T13:20:55.875Z</dcterms:created>
  <dcterms:modified xsi:type="dcterms:W3CDTF">2026-06-20T13:20:55.875Z</dcterms:modified>
</cp:coreProperties>
</file>

<file path=docProps/custom.xml><?xml version="1.0" encoding="utf-8"?>
<Properties xmlns="http://schemas.openxmlformats.org/officeDocument/2006/custom-properties" xmlns:vt="http://schemas.openxmlformats.org/officeDocument/2006/docPropsVTypes"/>
</file>