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COMPARATIVE EVALUATION REPORT</w:t>
      </w:r>
    </w:p>
    <w:p>
      <w:pPr>
        <w:jc w:val="center"/>
      </w:pPr>
      <w:r>
        <w:rPr>
          <w:sz w:val="28"/>
        </w:rPr>
        <w:t>LLAMA 70B Versatile vs Qwen2.5-7B V2 Fine-tuned</w:t>
      </w:r>
    </w:p>
    <w:p>
      <w:r>
        <w:rPr>
          <w:i/>
        </w:rPr>
        <w:t>Mode: DEMO - Mock responses for evaluation framework</w:t>
      </w:r>
    </w:p>
    <w:p>
      <w:pPr>
        <w:pStyle w:val="Heading1"/>
      </w:pPr>
      <w:r>
        <w:t>Evaluation Metadata</w:t>
      </w:r>
    </w:p>
    <w:p>
      <w:r>
        <w:t>Timestamp: 2026-05-08T14:34:14.380780</w:t>
      </w:r>
    </w:p>
    <w:p>
      <w:r>
        <w:t>Test Cases: 5</w:t>
      </w:r>
    </w:p>
    <w:p>
      <w:r>
        <w:t>Models: LLAMA 70B (via Groq API), Qwen2.5-7B V2 (Local LoRA)</w:t>
      </w:r>
    </w:p>
    <w:p>
      <w:r>
        <w:t>Query Formats: V1 (Raw clips), V2 (Medical NL)</w:t>
      </w:r>
    </w:p>
    <w:p>
      <w:r>
        <w:br w:type="page"/>
      </w:r>
    </w:p>
    <w:p>
      <w:pPr>
        <w:pStyle w:val="Heading1"/>
      </w:pPr>
      <w:r>
        <w:t>Task 1: Shunt Classification (No RAG)</w:t>
      </w:r>
    </w:p>
    <w:p>
      <w:pPr>
        <w:pStyle w:val="Heading2"/>
      </w:pPr>
      <w:r>
        <w:t>Test Case: shunt type 1+2 - large diameter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V1 Query (Raw Clips)</w:t>
            </w:r>
          </w:p>
        </w:tc>
        <w:tc>
          <w:tcPr>
            <w:tcW w:type="dxa" w:w="2880"/>
          </w:tcPr>
          <w:p>
            <w:r>
              <w:t>V2 Query (Medical NL)</w:t>
            </w:r>
          </w:p>
        </w:tc>
      </w:tr>
      <w:tr>
        <w:tc>
          <w:tcPr>
            <w:tcW w:type="dxa" w:w="2880"/>
          </w:tcPr>
          <w:p>
            <w:r>
              <w:t>LLAMA 70B</w:t>
            </w:r>
          </w:p>
        </w:tc>
        <w:tc>
          <w:tcPr>
            <w:tcW w:type="dxa" w:w="2880"/>
          </w:tcPr>
          <w:p>
            <w:r>
              <w:t>Based on the duplex findings showing antegrade flow from N1 to N2 with retrograde flow N2 to N1, this is classified as CHIVA TYPE 1. The saphenofemoral junction is incompetent with primary varicosity in the great saphenous vein trunk. Treatment strategy focuses on proximal ligation of the GSV at the...</w:t>
            </w:r>
          </w:p>
        </w:tc>
        <w:tc>
          <w:tcPr>
            <w:tcW w:type="dxa" w:w="2880"/>
          </w:tcPr>
          <w:p>
            <w:r>
              <w:t>This patient demonstrates saphenofemoral junction incompetence with primary GSV reflux, indicative of CHIVA TYPE 1 shunt. The hemodynamic pattern of retrograde flow returning through the saphenous trunk to the deep system is pathognomonic for SFJ-driven varicosity. Surgical correction requires saphe...</w:t>
            </w:r>
          </w:p>
        </w:tc>
      </w:tr>
      <w:tr>
        <w:tc>
          <w:tcPr>
            <w:tcW w:type="dxa" w:w="2880"/>
          </w:tcPr>
          <w:p>
            <w:r>
              <w:t>Qwen2.5-7B V2</w:t>
            </w:r>
          </w:p>
        </w:tc>
        <w:tc>
          <w:tcPr>
            <w:tcW w:type="dxa" w:w="2880"/>
          </w:tcPr>
          <w:p>
            <w:r>
              <w:t>Analysis of the duplex data: EP N1→N2 present indicates SFJ incompetence. RP N2→N1 without distal RP flows points to TYPE 1 classification. In TYPE 1, the GSV serves as the primary reflux conduit with a competent lower extremity. Recommended management: ligation of the GSV at the SFJ level to elimin...</w:t>
            </w:r>
          </w:p>
        </w:tc>
        <w:tc>
          <w:tcPr>
            <w:tcW w:type="dxa" w:w="2880"/>
          </w:tcPr>
          <w:p>
            <w:r>
              <w:t>Clinical examination reveals saphenofemoral junction compromise permitting hemodynamic reflux into the GSV. The retrograde flow pattern documents reflux transit through the saphenous system back to deep veins. This physiologic pattern defines CHIVA TYPE 1. Therapeutic goal: eliminate the reflux sour...</w:t>
            </w:r>
          </w:p>
        </w:tc>
      </w:tr>
    </w:tbl>
    <w:p/>
    <w:p>
      <w:pPr>
        <w:pStyle w:val="Heading2"/>
      </w:pPr>
      <w:r>
        <w:t>Test Case: shunt type 1+2 - small diameter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V1 Query (Raw Clips)</w:t>
            </w:r>
          </w:p>
        </w:tc>
        <w:tc>
          <w:tcPr>
            <w:tcW w:type="dxa" w:w="2880"/>
          </w:tcPr>
          <w:p>
            <w:r>
              <w:t>V2 Query (Medical NL)</w:t>
            </w:r>
          </w:p>
        </w:tc>
      </w:tr>
      <w:tr>
        <w:tc>
          <w:tcPr>
            <w:tcW w:type="dxa" w:w="2880"/>
          </w:tcPr>
          <w:p>
            <w:r>
              <w:t>LLAMA 70B</w:t>
            </w:r>
          </w:p>
        </w:tc>
        <w:tc>
          <w:tcPr>
            <w:tcW w:type="dxa" w:w="2880"/>
          </w:tcPr>
          <w:p>
            <w:r>
              <w:t>The absence of antegrade flow N1→N2 indicates saphenofemoral junction competence (Case C). With antegrade N2→N3 and retrograde N3→N2, this is CHIVA TYPE 2A. The varicosities are secondary to incompetent perforating veins. Treatment involves perforator ligation or ablation at the site of incompetence...</w:t>
            </w:r>
          </w:p>
        </w:tc>
        <w:tc>
          <w:tcPr>
            <w:tcW w:type="dxa" w:w="2880"/>
          </w:tcPr>
          <w:p>
            <w:r>
              <w:t>The clinical presentation with competent SFJ but evidence of perforator incompetence feeding tributary varicosities is consistent with CHIVA TYPE 2A. This secondary varicosity pattern requires identification and treatment of the incompetent perforating vein. Duplex-guided sclerotherapy or minimally ...</w:t>
            </w:r>
          </w:p>
        </w:tc>
      </w:tr>
      <w:tr>
        <w:tc>
          <w:tcPr>
            <w:tcW w:type="dxa" w:w="2880"/>
          </w:tcPr>
          <w:p>
            <w:r>
              <w:t>Qwen2.5-7B V2</w:t>
            </w:r>
          </w:p>
        </w:tc>
        <w:tc>
          <w:tcPr>
            <w:tcW w:type="dxa" w:w="2880"/>
          </w:tcPr>
          <w:p>
            <w:r>
              <w:t>The duplex pattern with NO EP N1→N2 confirms SFJ competence. EP N2→N3 with RP N3→N2 indicates secondary varicosity from incompetent tributaries. This satisfies criteria for TYPE 2A. Management approach: selective tributary ligation or endovenous ablation at sites of perforator incompetence.</w:t>
            </w:r>
          </w:p>
        </w:tc>
        <w:tc>
          <w:tcPr>
            <w:tcW w:type="dxa" w:w="2880"/>
          </w:tcPr>
          <w:p>
            <w:r>
              <w:t>Patient's hemodynamic picture shows intact proximal drainage pathways with distal venous incompetence manifesting as varicose tributaries. The perforation through incompetent communicating veins drives this secondary pattern characteristic of TYPE 2A. Intervention strategy: address incompetent perfo...</w:t>
            </w:r>
          </w:p>
        </w:tc>
      </w:tr>
    </w:tbl>
    <w:p/>
    <w:p>
      <w:pPr>
        <w:pStyle w:val="Heading2"/>
      </w:pPr>
      <w:r>
        <w:t>Test Case: shunt type 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V1 Query (Raw Clips)</w:t>
            </w:r>
          </w:p>
        </w:tc>
        <w:tc>
          <w:tcPr>
            <w:tcW w:type="dxa" w:w="2880"/>
          </w:tcPr>
          <w:p>
            <w:r>
              <w:t>V2 Query (Medical NL)</w:t>
            </w:r>
          </w:p>
        </w:tc>
      </w:tr>
      <w:tr>
        <w:tc>
          <w:tcPr>
            <w:tcW w:type="dxa" w:w="2880"/>
          </w:tcPr>
          <w:p>
            <w:r>
              <w:t>LLAMA 70B</w:t>
            </w:r>
          </w:p>
        </w:tc>
        <w:tc>
          <w:tcPr>
            <w:tcW w:type="dxa" w:w="2880"/>
          </w:tcPr>
          <w:p>
            <w:r>
              <w:t>With antegrade N2→N2 flow, absence of N1→N2, and retrograde N3→N1, this represents CHIVA TYPE 2B. Incompetent perforators feed the saphenous trunk without SFJ involvement. Conservative management with sclerotherapy or selective perforator ligation is appropriate.</w:t>
            </w:r>
          </w:p>
        </w:tc>
        <w:tc>
          <w:tcPr>
            <w:tcW w:type="dxa" w:w="2880"/>
          </w:tcPr>
          <w:p>
            <w:r>
              <w:t>The examination findings indicate isolated saphenous trunk reflux without proximal junction involvement, consistent with CHIVA TYPE 2B. This pattern suggests incompetent perforators with secondary saphenous involvement. Treatment targeting the primary incompetent perforators typically resolves sympt...</w:t>
            </w:r>
          </w:p>
        </w:tc>
      </w:tr>
      <w:tr>
        <w:tc>
          <w:tcPr>
            <w:tcW w:type="dxa" w:w="2880"/>
          </w:tcPr>
          <w:p>
            <w:r>
              <w:t>Qwen2.5-7B V2</w:t>
            </w:r>
          </w:p>
        </w:tc>
        <w:tc>
          <w:tcPr>
            <w:tcW w:type="dxa" w:w="2880"/>
          </w:tcPr>
          <w:p>
            <w:r>
              <w:t>Diagnostic criteria met: No EP N1→N2, EP N2→N2 present, RP N3 without proximal RP N2→N1. Consistent with TYPE 2B classification. The varicosity is driven by incompetent perforators. Conservative management with graduated compression and selective intervention on symptomatic perforators is indicated.</w:t>
            </w:r>
          </w:p>
        </w:tc>
        <w:tc>
          <w:tcPr>
            <w:tcW w:type="dxa" w:w="2880"/>
          </w:tcPr>
          <w:p>
            <w:r>
              <w:t>The vascular anatomy demonstrates retained proximal competence with selective saphenous involvement secondary to incompetent perforating veins. This configuration defines TYPE 2B disease. Management approach: conservative initial therapy with progression to targeted perforator intervention based on ...</w:t>
            </w:r>
          </w:p>
        </w:tc>
      </w:tr>
    </w:tbl>
    <w:p/>
    <w:p>
      <w:pPr>
        <w:pStyle w:val="Heading2"/>
      </w:pPr>
      <w:r>
        <w:t>Test Case: shunt type 2 - equal calibre, equal distance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V1 Query (Raw Clips)</w:t>
            </w:r>
          </w:p>
        </w:tc>
        <w:tc>
          <w:tcPr>
            <w:tcW w:type="dxa" w:w="2880"/>
          </w:tcPr>
          <w:p>
            <w:r>
              <w:t>V2 Query (Medical NL)</w:t>
            </w:r>
          </w:p>
        </w:tc>
      </w:tr>
      <w:tr>
        <w:tc>
          <w:tcPr>
            <w:tcW w:type="dxa" w:w="2880"/>
          </w:tcPr>
          <w:p>
            <w:r>
              <w:t>LLAMA 70B</w:t>
            </w:r>
          </w:p>
        </w:tc>
        <w:tc>
          <w:tcPr>
            <w:tcW w:type="dxa" w:w="2880"/>
          </w:tcPr>
          <w:p>
            <w:r>
              <w:t>Based on the duplex findings showing antegrade flow from N1 to N2 with retrograde flow N2 to N1, this is classified as CHIVA TYPE 1. The saphenofemoral junction is incompetent with primary varicosity in the great saphenous vein trunk. Treatment strategy focuses on proximal ligation of the GSV at the...</w:t>
            </w:r>
          </w:p>
        </w:tc>
        <w:tc>
          <w:tcPr>
            <w:tcW w:type="dxa" w:w="2880"/>
          </w:tcPr>
          <w:p>
            <w:r>
              <w:t>This patient demonstrates saphenofemoral junction incompetence with primary GSV reflux, indicative of CHIVA TYPE 1 shunt. The hemodynamic pattern of retrograde flow returning through the saphenous trunk to the deep system is pathognomonic for SFJ-driven varicosity. Surgical correction requires saphe...</w:t>
            </w:r>
          </w:p>
        </w:tc>
      </w:tr>
      <w:tr>
        <w:tc>
          <w:tcPr>
            <w:tcW w:type="dxa" w:w="2880"/>
          </w:tcPr>
          <w:p>
            <w:r>
              <w:t>Qwen2.5-7B V2</w:t>
            </w:r>
          </w:p>
        </w:tc>
        <w:tc>
          <w:tcPr>
            <w:tcW w:type="dxa" w:w="2880"/>
          </w:tcPr>
          <w:p>
            <w:r>
              <w:t>Analysis of the duplex data: EP N1→N2 present indicates SFJ incompetence. RP N2→N1 without distal RP flows points to TYPE 1 classification. In TYPE 1, the GSV serves as the primary reflux conduit with a competent lower extremity. Recommended management: ligation of the GSV at the SFJ level to elimin...</w:t>
            </w:r>
          </w:p>
        </w:tc>
        <w:tc>
          <w:tcPr>
            <w:tcW w:type="dxa" w:w="2880"/>
          </w:tcPr>
          <w:p>
            <w:r>
              <w:t>Clinical examination reveals saphenofemoral junction compromise permitting hemodynamic reflux into the GSV. The retrograde flow pattern documents reflux transit through the saphenous system back to deep veins. This physiologic pattern defines CHIVA TYPE 1. Therapeutic goal: eliminate the reflux sour...</w:t>
            </w:r>
          </w:p>
        </w:tc>
      </w:tr>
    </w:tbl>
    <w:p/>
    <w:p>
      <w:pPr>
        <w:pStyle w:val="Heading2"/>
      </w:pPr>
      <w:r>
        <w:t>Test Case: shunt type 2 - equal calibre, unequal distance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V1 Query (Raw Clips)</w:t>
            </w:r>
          </w:p>
        </w:tc>
        <w:tc>
          <w:tcPr>
            <w:tcW w:type="dxa" w:w="2880"/>
          </w:tcPr>
          <w:p>
            <w:r>
              <w:t>V2 Query (Medical NL)</w:t>
            </w:r>
          </w:p>
        </w:tc>
      </w:tr>
      <w:tr>
        <w:tc>
          <w:tcPr>
            <w:tcW w:type="dxa" w:w="2880"/>
          </w:tcPr>
          <w:p>
            <w:r>
              <w:t>LLAMA 70B</w:t>
            </w:r>
          </w:p>
        </w:tc>
        <w:tc>
          <w:tcPr>
            <w:tcW w:type="dxa" w:w="2880"/>
          </w:tcPr>
          <w:p>
            <w:r>
              <w:t>The absence of antegrade flow N1→N2 indicates saphenofemoral junction competence (Case C). With antegrade N2→N3 and retrograde N3→N2, this is CHIVA TYPE 2A. The varicosities are secondary to incompetent perforating veins. Treatment involves perforator ligation or ablation at the site of incompetence...</w:t>
            </w:r>
          </w:p>
        </w:tc>
        <w:tc>
          <w:tcPr>
            <w:tcW w:type="dxa" w:w="2880"/>
          </w:tcPr>
          <w:p>
            <w:r>
              <w:t>The clinical presentation with competent SFJ but evidence of perforator incompetence feeding tributary varicosities is consistent with CHIVA TYPE 2A. This secondary varicosity pattern requires identification and treatment of the incompetent perforating vein. Duplex-guided sclerotherapy or minimally ...</w:t>
            </w:r>
          </w:p>
        </w:tc>
      </w:tr>
      <w:tr>
        <w:tc>
          <w:tcPr>
            <w:tcW w:type="dxa" w:w="2880"/>
          </w:tcPr>
          <w:p>
            <w:r>
              <w:t>Qwen2.5-7B V2</w:t>
            </w:r>
          </w:p>
        </w:tc>
        <w:tc>
          <w:tcPr>
            <w:tcW w:type="dxa" w:w="2880"/>
          </w:tcPr>
          <w:p>
            <w:r>
              <w:t>The duplex pattern with NO EP N1→N2 confirms SFJ competence. EP N2→N3 with RP N3→N2 indicates secondary varicosity from incompetent tributaries. This satisfies criteria for TYPE 2A. Management approach: selective tributary ligation or endovenous ablation at sites of perforator incompetence.</w:t>
            </w:r>
          </w:p>
        </w:tc>
        <w:tc>
          <w:tcPr>
            <w:tcW w:type="dxa" w:w="2880"/>
          </w:tcPr>
          <w:p>
            <w:r>
              <w:t>Patient's hemodynamic picture shows intact proximal drainage pathways with distal venous incompetence manifesting as varicose tributaries. The perforation through incompetent communicating veins drives this secondary pattern characteristic of TYPE 2A. Intervention strategy: address incompetent perfo...</w:t>
            </w:r>
          </w:p>
        </w:tc>
      </w:tr>
    </w:tbl>
    <w:p/>
    <w:p>
      <w:r>
        <w:br w:type="page"/>
      </w:r>
    </w:p>
    <w:p>
      <w:pPr>
        <w:pStyle w:val="Heading1"/>
      </w:pPr>
      <w:r>
        <w:t>Task 2: Ligation Planning (with RAG)</w:t>
      </w:r>
    </w:p>
    <w:p>
      <w:pPr>
        <w:pStyle w:val="Heading2"/>
      </w:pPr>
      <w:r>
        <w:t>Test Case: shunt type 1+2 - large diameter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V1 Query (Raw Clips)</w:t>
            </w:r>
          </w:p>
        </w:tc>
        <w:tc>
          <w:tcPr>
            <w:tcW w:type="dxa" w:w="2880"/>
          </w:tcPr>
          <w:p>
            <w:r>
              <w:t>V2 Query (Medical NL)</w:t>
            </w:r>
          </w:p>
        </w:tc>
      </w:tr>
      <w:tr>
        <w:tc>
          <w:tcPr>
            <w:tcW w:type="dxa" w:w="2880"/>
          </w:tcPr>
          <w:p>
            <w:r>
              <w:t>LLAMA 70B</w:t>
            </w:r>
          </w:p>
        </w:tc>
        <w:tc>
          <w:tcPr>
            <w:tcW w:type="dxa" w:w="2880"/>
          </w:tcPr>
          <w:p>
            <w:r>
              <w:t>For TYPE 1 management: Perform saphenofemoral junction ligation with careful dissection preserving the saphenous vein distal to the ligation point if vein quality permits. Division of all tributaries within 5cm of the junction is mandatory. Post-operative compression for 2-3 weeks optimizes outcomes...</w:t>
            </w:r>
          </w:p>
        </w:tc>
        <w:tc>
          <w:tcPr>
            <w:tcW w:type="dxa" w:w="2880"/>
          </w:tcPr>
          <w:p>
            <w:r>
              <w:t>TYPE 1 ligation strategy: Expose the SFJ through an oblique groin incision. Identify and preserve the epigastric vessels and external pudendal vein. Ligate and divide all tributaries entering within 5cm of the junction. Ligate the GSV proximal to its junction but preserve the distal GSV for potentia...</w:t>
            </w:r>
          </w:p>
        </w:tc>
      </w:tr>
      <w:tr>
        <w:tc>
          <w:tcPr>
            <w:tcW w:type="dxa" w:w="2880"/>
          </w:tcPr>
          <w:p>
            <w:r>
              <w:t>Qwen2.5-7B V2</w:t>
            </w:r>
          </w:p>
        </w:tc>
        <w:tc>
          <w:tcPr>
            <w:tcW w:type="dxa" w:w="2880"/>
          </w:tcPr>
          <w:p>
            <w:r>
              <w:t>For TYPE 2A management: Identify the incompetent perforating vein using intraoperative duplex guidance. Perform selective fasciotomy or subfascial ligation at the perforator site. Preserve the saphenous vein. GSV can be left in situ if hemodynamically favorable. Compression stockings for 3-4 weeks p...</w:t>
            </w:r>
          </w:p>
        </w:tc>
        <w:tc>
          <w:tcPr>
            <w:tcW w:type="dxa" w:w="2880"/>
          </w:tcPr>
          <w:p>
            <w:r>
              <w:t>TYPE 2A perforator management: Use intraoperative B-mode ultrasound to localize the incompetent perforator precisely. Make a small incision directly over the perforator site. Perform subfascial ligation of the perforator vein. Minimize injury to surrounding tissues. Early ambulation and compression ...</w:t>
            </w:r>
          </w:p>
        </w:tc>
      </w:tr>
    </w:tbl>
    <w:p/>
    <w:p>
      <w:pPr>
        <w:pStyle w:val="Heading2"/>
      </w:pPr>
      <w:r>
        <w:t>Test Case: shunt type 1+2 - small diameter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V1 Query (Raw Clips)</w:t>
            </w:r>
          </w:p>
        </w:tc>
        <w:tc>
          <w:tcPr>
            <w:tcW w:type="dxa" w:w="2880"/>
          </w:tcPr>
          <w:p>
            <w:r>
              <w:t>V2 Query (Medical NL)</w:t>
            </w:r>
          </w:p>
        </w:tc>
      </w:tr>
      <w:tr>
        <w:tc>
          <w:tcPr>
            <w:tcW w:type="dxa" w:w="2880"/>
          </w:tcPr>
          <w:p>
            <w:r>
              <w:t>LLAMA 70B</w:t>
            </w:r>
          </w:p>
        </w:tc>
        <w:tc>
          <w:tcPr>
            <w:tcW w:type="dxa" w:w="2880"/>
          </w:tcPr>
          <w:p>
            <w:r>
              <w:t>For TYPE 2A management: Identify the incompetent perforating vein using intraoperative duplex guidance. Perform selective fasciotomy or subfascial ligation at the perforator site. Preserve the saphenous vein. GSV can be left in situ if hemodynamically favorable. Compression stockings for 3-4 weeks p...</w:t>
            </w:r>
          </w:p>
        </w:tc>
        <w:tc>
          <w:tcPr>
            <w:tcW w:type="dxa" w:w="2880"/>
          </w:tcPr>
          <w:p>
            <w:r>
              <w:t>TYPE 2A perforator management: Use intraoperative B-mode ultrasound to localize the incompetent perforator precisely. Make a small incision directly over the perforator site. Perform subfascial ligation of the perforator vein. Minimize injury to surrounding tissues. Early ambulation and compression ...</w:t>
            </w:r>
          </w:p>
        </w:tc>
      </w:tr>
      <w:tr>
        <w:tc>
          <w:tcPr>
            <w:tcW w:type="dxa" w:w="2880"/>
          </w:tcPr>
          <w:p>
            <w:r>
              <w:t>Qwen2.5-7B V2</w:t>
            </w:r>
          </w:p>
        </w:tc>
        <w:tc>
          <w:tcPr>
            <w:tcW w:type="dxa" w:w="2880"/>
          </w:tcPr>
          <w:p>
            <w:r>
              <w:t>For TYPE 2B management: Conservative approach recommended initially with compression therapy. If intervention needed, perform selective perforator ligation using mini-invasive technique with fasciotomy. Preserve the saphenous system. Consider staged approach with future intervention based on symptom...</w:t>
            </w:r>
          </w:p>
        </w:tc>
        <w:tc>
          <w:tcPr>
            <w:tcW w:type="dxa" w:w="2880"/>
          </w:tcPr>
          <w:p>
            <w:r>
              <w:t>TYPE 2B approach: Begin with maximal compression therapy and lifestyle modifications. Reserve surgical intervention for refractory symptoms. If surgery indicated: selective perforator ligation using minimally invasive subfascial endoscopic perforator surgery (SEPS) technique. Avoid aggressive saphen...</w:t>
            </w:r>
          </w:p>
        </w:tc>
      </w:tr>
    </w:tbl>
    <w:p/>
    <w:p>
      <w:pPr>
        <w:pStyle w:val="Heading2"/>
      </w:pPr>
      <w:r>
        <w:t>Test Case: shunt type 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V1 Query (Raw Clips)</w:t>
            </w:r>
          </w:p>
        </w:tc>
        <w:tc>
          <w:tcPr>
            <w:tcW w:type="dxa" w:w="2880"/>
          </w:tcPr>
          <w:p>
            <w:r>
              <w:t>V2 Query (Medical NL)</w:t>
            </w:r>
          </w:p>
        </w:tc>
      </w:tr>
      <w:tr>
        <w:tc>
          <w:tcPr>
            <w:tcW w:type="dxa" w:w="2880"/>
          </w:tcPr>
          <w:p>
            <w:r>
              <w:t>LLAMA 70B</w:t>
            </w:r>
          </w:p>
        </w:tc>
        <w:tc>
          <w:tcPr>
            <w:tcW w:type="dxa" w:w="2880"/>
          </w:tcPr>
          <w:p>
            <w:r>
              <w:t>For TYPE 2B management: Conservative approach recommended initially with compression therapy. If intervention needed, perform selective perforator ligation using mini-invasive technique with fasciotomy. Preserve the saphenous system. Consider staged approach with future intervention based on symptom...</w:t>
            </w:r>
          </w:p>
        </w:tc>
        <w:tc>
          <w:tcPr>
            <w:tcW w:type="dxa" w:w="2880"/>
          </w:tcPr>
          <w:p>
            <w:r>
              <w:t>TYPE 2B approach: Begin with maximal compression therapy and lifestyle modifications. Reserve surgical intervention for refractory symptoms. If surgery indicated: selective perforator ligation using minimally invasive subfascial endoscopic perforator surgery (SEPS) technique. Avoid aggressive saphen...</w:t>
            </w:r>
          </w:p>
        </w:tc>
      </w:tr>
      <w:tr>
        <w:tc>
          <w:tcPr>
            <w:tcW w:type="dxa" w:w="2880"/>
          </w:tcPr>
          <w:p>
            <w:r>
              <w:t>Qwen2.5-7B V2</w:t>
            </w:r>
          </w:p>
        </w:tc>
        <w:tc>
          <w:tcPr>
            <w:tcW w:type="dxa" w:w="2880"/>
          </w:tcPr>
          <w:p>
            <w:r>
              <w:t>For TYPE 1 management: Perform saphenofemoral junction ligation with careful dissection preserving the saphenous vein distal to the ligation point if vein quality permits. Division of all tributaries within 5cm of the junction is mandatory. Post-operative compression for 2-3 weeks optimizes outcomes...</w:t>
            </w:r>
          </w:p>
        </w:tc>
        <w:tc>
          <w:tcPr>
            <w:tcW w:type="dxa" w:w="2880"/>
          </w:tcPr>
          <w:p>
            <w:r>
              <w:t>TYPE 1 ligation strategy: Expose the SFJ through an oblique groin incision. Identify and preserve the epigastric vessels and external pudendal vein. Ligate and divide all tributaries entering within 5cm of the junction. Ligate the GSV proximal to its junction but preserve the distal GSV for potentia...</w:t>
            </w:r>
          </w:p>
        </w:tc>
      </w:tr>
    </w:tbl>
    <w:p/>
    <w:p>
      <w:pPr>
        <w:pStyle w:val="Heading2"/>
      </w:pPr>
      <w:r>
        <w:t>Test Case: shunt type 2 - equal calibre, equal distance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V1 Query (Raw Clips)</w:t>
            </w:r>
          </w:p>
        </w:tc>
        <w:tc>
          <w:tcPr>
            <w:tcW w:type="dxa" w:w="2880"/>
          </w:tcPr>
          <w:p>
            <w:r>
              <w:t>V2 Query (Medical NL)</w:t>
            </w:r>
          </w:p>
        </w:tc>
      </w:tr>
      <w:tr>
        <w:tc>
          <w:tcPr>
            <w:tcW w:type="dxa" w:w="2880"/>
          </w:tcPr>
          <w:p>
            <w:r>
              <w:t>LLAMA 70B</w:t>
            </w:r>
          </w:p>
        </w:tc>
        <w:tc>
          <w:tcPr>
            <w:tcW w:type="dxa" w:w="2880"/>
          </w:tcPr>
          <w:p>
            <w:r>
              <w:t>For TYPE 1 management: Perform saphenofemoral junction ligation with careful dissection preserving the saphenous vein distal to the ligation point if vein quality permits. Division of all tributaries within 5cm of the junction is mandatory. Post-operative compression for 2-3 weeks optimizes outcomes...</w:t>
            </w:r>
          </w:p>
        </w:tc>
        <w:tc>
          <w:tcPr>
            <w:tcW w:type="dxa" w:w="2880"/>
          </w:tcPr>
          <w:p>
            <w:r>
              <w:t>TYPE 1 ligation strategy: Expose the SFJ through an oblique groin incision. Identify and preserve the epigastric vessels and external pudendal vein. Ligate and divide all tributaries entering within 5cm of the junction. Ligate the GSV proximal to its junction but preserve the distal GSV for potentia...</w:t>
            </w:r>
          </w:p>
        </w:tc>
      </w:tr>
      <w:tr>
        <w:tc>
          <w:tcPr>
            <w:tcW w:type="dxa" w:w="2880"/>
          </w:tcPr>
          <w:p>
            <w:r>
              <w:t>Qwen2.5-7B V2</w:t>
            </w:r>
          </w:p>
        </w:tc>
        <w:tc>
          <w:tcPr>
            <w:tcW w:type="dxa" w:w="2880"/>
          </w:tcPr>
          <w:p>
            <w:r>
              <w:t>For TYPE 2A management: Identify the incompetent perforating vein using intraoperative duplex guidance. Perform selective fasciotomy or subfascial ligation at the perforator site. Preserve the saphenous vein. GSV can be left in situ if hemodynamically favorable. Compression stockings for 3-4 weeks p...</w:t>
            </w:r>
          </w:p>
        </w:tc>
        <w:tc>
          <w:tcPr>
            <w:tcW w:type="dxa" w:w="2880"/>
          </w:tcPr>
          <w:p>
            <w:r>
              <w:t>TYPE 2A perforator management: Use intraoperative B-mode ultrasound to localize the incompetent perforator precisely. Make a small incision directly over the perforator site. Perform subfascial ligation of the perforator vein. Minimize injury to surrounding tissues. Early ambulation and compression ...</w:t>
            </w:r>
          </w:p>
        </w:tc>
      </w:tr>
    </w:tbl>
    <w:p/>
    <w:p>
      <w:pPr>
        <w:pStyle w:val="Heading2"/>
      </w:pPr>
      <w:r>
        <w:t>Test Case: shunt type 2 - equal calibre, unequal distance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V1 Query (Raw Clips)</w:t>
            </w:r>
          </w:p>
        </w:tc>
        <w:tc>
          <w:tcPr>
            <w:tcW w:type="dxa" w:w="2880"/>
          </w:tcPr>
          <w:p>
            <w:r>
              <w:t>V2 Query (Medical NL)</w:t>
            </w:r>
          </w:p>
        </w:tc>
      </w:tr>
      <w:tr>
        <w:tc>
          <w:tcPr>
            <w:tcW w:type="dxa" w:w="2880"/>
          </w:tcPr>
          <w:p>
            <w:r>
              <w:t>LLAMA 70B</w:t>
            </w:r>
          </w:p>
        </w:tc>
        <w:tc>
          <w:tcPr>
            <w:tcW w:type="dxa" w:w="2880"/>
          </w:tcPr>
          <w:p>
            <w:r>
              <w:t>For TYPE 2A management: Identify the incompetent perforating vein using intraoperative duplex guidance. Perform selective fasciotomy or subfascial ligation at the perforator site. Preserve the saphenous vein. GSV can be left in situ if hemodynamically favorable. Compression stockings for 3-4 weeks p...</w:t>
            </w:r>
          </w:p>
        </w:tc>
        <w:tc>
          <w:tcPr>
            <w:tcW w:type="dxa" w:w="2880"/>
          </w:tcPr>
          <w:p>
            <w:r>
              <w:t>TYPE 2A perforator management: Use intraoperative B-mode ultrasound to localize the incompetent perforator precisely. Make a small incision directly over the perforator site. Perform subfascial ligation of the perforator vein. Minimize injury to surrounding tissues. Early ambulation and compression ...</w:t>
            </w:r>
          </w:p>
        </w:tc>
      </w:tr>
      <w:tr>
        <w:tc>
          <w:tcPr>
            <w:tcW w:type="dxa" w:w="2880"/>
          </w:tcPr>
          <w:p>
            <w:r>
              <w:t>Qwen2.5-7B V2</w:t>
            </w:r>
          </w:p>
        </w:tc>
        <w:tc>
          <w:tcPr>
            <w:tcW w:type="dxa" w:w="2880"/>
          </w:tcPr>
          <w:p>
            <w:r>
              <w:t>For TYPE 2B management: Conservative approach recommended initially with compression therapy. If intervention needed, perform selective perforator ligation using mini-invasive technique with fasciotomy. Preserve the saphenous system. Consider staged approach with future intervention based on symptom...</w:t>
            </w:r>
          </w:p>
        </w:tc>
        <w:tc>
          <w:tcPr>
            <w:tcW w:type="dxa" w:w="2880"/>
          </w:tcPr>
          <w:p>
            <w:r>
              <w:t>TYPE 2B approach: Begin with maximal compression therapy and lifestyle modifications. Reserve surgical intervention for refractory symptoms. If surgery indicated: selective perforator ligation using minimally invasive subfascial endoscopic perforator surgery (SEPS) technique. Avoid aggressive saphen...</w:t>
            </w:r>
          </w:p>
        </w:tc>
      </w:tr>
    </w:tbl>
    <w:p/>
    <w:p>
      <w:r>
        <w:br w:type="page"/>
      </w:r>
    </w:p>
    <w:p>
      <w:pPr>
        <w:pStyle w:val="Heading1"/>
      </w:pPr>
      <w:r>
        <w:t>Evaluation Scoring (To Be Completed)</w:t>
      </w:r>
    </w:p>
    <w:p>
      <w:r>
        <w:t>Score each response on a scale of 1-5 for accuracy and reasoning quality.</w:t>
      </w:r>
    </w:p>
    <w:p>
      <w:pPr>
        <w:pStyle w:val="Heading2"/>
      </w:pPr>
      <w:r>
        <w:t>Table 1: Shunt Classification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Accuracy V1</w:t>
            </w:r>
          </w:p>
        </w:tc>
        <w:tc>
          <w:tcPr>
            <w:tcW w:type="dxa" w:w="1728"/>
          </w:tcPr>
          <w:p>
            <w:r>
              <w:t>Accuracy V2</w:t>
            </w:r>
          </w:p>
        </w:tc>
        <w:tc>
          <w:tcPr>
            <w:tcW w:type="dxa" w:w="1728"/>
          </w:tcPr>
          <w:p>
            <w:r>
              <w:t>Reasoning V1</w:t>
            </w:r>
          </w:p>
        </w:tc>
        <w:tc>
          <w:tcPr>
            <w:tcW w:type="dxa" w:w="1728"/>
          </w:tcPr>
          <w:p>
            <w:r>
              <w:t>Reasoning V2</w:t>
            </w:r>
          </w:p>
        </w:tc>
      </w:tr>
      <w:tr>
        <w:tc>
          <w:tcPr>
            <w:tcW w:type="dxa" w:w="1728"/>
          </w:tcPr>
          <w:p>
            <w:r>
              <w:t>LLAMA 70B</w:t>
            </w:r>
          </w:p>
        </w:tc>
        <w:tc>
          <w:tcPr>
            <w:tcW w:type="dxa" w:w="1728"/>
          </w:tcPr>
          <w:p>
            <w:r>
              <w:t>[FILL]</w:t>
            </w:r>
          </w:p>
        </w:tc>
        <w:tc>
          <w:tcPr>
            <w:tcW w:type="dxa" w:w="1728"/>
          </w:tcPr>
          <w:p>
            <w:r>
              <w:t>[FILL]</w:t>
            </w:r>
          </w:p>
        </w:tc>
        <w:tc>
          <w:tcPr>
            <w:tcW w:type="dxa" w:w="1728"/>
          </w:tcPr>
          <w:p>
            <w:r>
              <w:t>[FILL]</w:t>
            </w:r>
          </w:p>
        </w:tc>
        <w:tc>
          <w:tcPr>
            <w:tcW w:type="dxa" w:w="1728"/>
          </w:tcPr>
          <w:p>
            <w:r>
              <w:t>[FILL]</w:t>
            </w:r>
          </w:p>
        </w:tc>
      </w:tr>
      <w:tr>
        <w:tc>
          <w:tcPr>
            <w:tcW w:type="dxa" w:w="1728"/>
          </w:tcPr>
          <w:p>
            <w:r>
              <w:t>Qwen2.5-7B V2</w:t>
            </w:r>
          </w:p>
        </w:tc>
        <w:tc>
          <w:tcPr>
            <w:tcW w:type="dxa" w:w="1728"/>
          </w:tcPr>
          <w:p>
            <w:r>
              <w:t>[FILL]</w:t>
            </w:r>
          </w:p>
        </w:tc>
        <w:tc>
          <w:tcPr>
            <w:tcW w:type="dxa" w:w="1728"/>
          </w:tcPr>
          <w:p>
            <w:r>
              <w:t>[FILL]</w:t>
            </w:r>
          </w:p>
        </w:tc>
        <w:tc>
          <w:tcPr>
            <w:tcW w:type="dxa" w:w="1728"/>
          </w:tcPr>
          <w:p>
            <w:r>
              <w:t>[FILL]</w:t>
            </w:r>
          </w:p>
        </w:tc>
        <w:tc>
          <w:tcPr>
            <w:tcW w:type="dxa" w:w="1728"/>
          </w:tcPr>
          <w:p>
            <w:r>
              <w:t>[FILL]</w:t>
            </w:r>
          </w:p>
        </w:tc>
      </w:tr>
    </w:tbl>
    <w:p/>
    <w:p>
      <w:pPr>
        <w:pStyle w:val="Heading2"/>
      </w:pPr>
      <w:r>
        <w:t>Table 2: Ligation Planning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Quality V1</w:t>
            </w:r>
          </w:p>
        </w:tc>
        <w:tc>
          <w:tcPr>
            <w:tcW w:type="dxa" w:w="1728"/>
          </w:tcPr>
          <w:p>
            <w:r>
              <w:t>Quality V2</w:t>
            </w:r>
          </w:p>
        </w:tc>
        <w:tc>
          <w:tcPr>
            <w:tcW w:type="dxa" w:w="1728"/>
          </w:tcPr>
          <w:p>
            <w:r>
              <w:t>Reasoning V1</w:t>
            </w:r>
          </w:p>
        </w:tc>
        <w:tc>
          <w:tcPr>
            <w:tcW w:type="dxa" w:w="1728"/>
          </w:tcPr>
          <w:p>
            <w:r>
              <w:t>Reasoning V2</w:t>
            </w:r>
          </w:p>
        </w:tc>
      </w:tr>
      <w:tr>
        <w:tc>
          <w:tcPr>
            <w:tcW w:type="dxa" w:w="1728"/>
          </w:tcPr>
          <w:p>
            <w:r>
              <w:t>LLAMA 70B</w:t>
            </w:r>
          </w:p>
        </w:tc>
        <w:tc>
          <w:tcPr>
            <w:tcW w:type="dxa" w:w="1728"/>
          </w:tcPr>
          <w:p>
            <w:r>
              <w:t>[FILL]</w:t>
            </w:r>
          </w:p>
        </w:tc>
        <w:tc>
          <w:tcPr>
            <w:tcW w:type="dxa" w:w="1728"/>
          </w:tcPr>
          <w:p>
            <w:r>
              <w:t>[FILL]</w:t>
            </w:r>
          </w:p>
        </w:tc>
        <w:tc>
          <w:tcPr>
            <w:tcW w:type="dxa" w:w="1728"/>
          </w:tcPr>
          <w:p>
            <w:r>
              <w:t>[FILL]</w:t>
            </w:r>
          </w:p>
        </w:tc>
        <w:tc>
          <w:tcPr>
            <w:tcW w:type="dxa" w:w="1728"/>
          </w:tcPr>
          <w:p>
            <w:r>
              <w:t>[FILL]</w:t>
            </w:r>
          </w:p>
        </w:tc>
      </w:tr>
      <w:tr>
        <w:tc>
          <w:tcPr>
            <w:tcW w:type="dxa" w:w="1728"/>
          </w:tcPr>
          <w:p>
            <w:r>
              <w:t>Qwen2.5-7B V2</w:t>
            </w:r>
          </w:p>
        </w:tc>
        <w:tc>
          <w:tcPr>
            <w:tcW w:type="dxa" w:w="1728"/>
          </w:tcPr>
          <w:p>
            <w:r>
              <w:t>[FILL]</w:t>
            </w:r>
          </w:p>
        </w:tc>
        <w:tc>
          <w:tcPr>
            <w:tcW w:type="dxa" w:w="1728"/>
          </w:tcPr>
          <w:p>
            <w:r>
              <w:t>[FILL]</w:t>
            </w:r>
          </w:p>
        </w:tc>
        <w:tc>
          <w:tcPr>
            <w:tcW w:type="dxa" w:w="1728"/>
          </w:tcPr>
          <w:p>
            <w:r>
              <w:t>[FILL]</w:t>
            </w:r>
          </w:p>
        </w:tc>
        <w:tc>
          <w:tcPr>
            <w:tcW w:type="dxa" w:w="1728"/>
          </w:tcPr>
          <w:p>
            <w:r>
              <w:t>[FILL]</w:t>
            </w:r>
          </w:p>
        </w:tc>
      </w:tr>
    </w:tbl>
    <w:p>
      <w:r>
        <w:br w:type="page"/>
      </w:r>
    </w:p>
    <w:p>
      <w:pPr>
        <w:pStyle w:val="Heading1"/>
      </w:pPr>
      <w:r>
        <w:t>Summary</w:t>
      </w:r>
    </w:p>
    <w:p>
      <w:r>
        <w:t>Total test cases evaluated: 5</w:t>
      </w:r>
    </w:p>
    <w:p>
      <w:r>
        <w:t>Models compared: LLAMA 70B (via Groq), Qwen2.5-7B V2 (Local LoRA)</w:t>
      </w:r>
    </w:p>
    <w:p>
      <w:r>
        <w:t>Query formats: V1 (raw clip notation) and V2 (natural language medical descriptions)</w:t>
      </w:r>
    </w:p>
    <w:p>
      <w:r>
        <w:t>This report includes full model responses for manual scoring and comparison.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