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2 — User Guide</w:t>
      </w:r>
    </w:p>
    <w:p>
      <w:r>
        <w:rPr>
          <w:i/>
          <w:color w:val="555555"/>
          <w:sz w:val="22"/>
        </w:rPr>
        <w:t>Probe Localisation &amp; Active Guidance — what the app does and how to use it</w:t>
      </w:r>
    </w:p>
    <w:p>
      <w:r>
        <w:rPr>
          <w:i/>
        </w:rPr>
        <w:t>This guide describes the app from a user's point of view. No code is covered here; see the Developer Guide for that.</w:t>
      </w:r>
    </w:p>
    <w:tbl>
      <w:tblPr>
        <w:tblStyle w:val="TableGrid"/>
        <w:tblW w:type="auto" w:w="0"/>
        <w:tblLook w:firstColumn="1" w:firstRow="1" w:lastColumn="0" w:lastRow="0" w:noHBand="0" w:noVBand="1" w:val="04A0"/>
      </w:tblPr>
      <w:tblGrid>
        <w:gridCol w:w="9360"/>
      </w:tblGrid>
      <w:tr>
        <w:tc>
          <w:tcPr>
            <w:tcW w:type="dxa" w:w="9360"/>
            <w:shd w:val="clear" w:color="auto" w:fill="EAF1FB"/>
          </w:tcPr>
          <w:p>
            <w:r/>
            <w:r>
              <w:rPr>
                <w:b/>
              </w:rPr>
              <w:t xml:space="preserve">Decision-support aid, not a diagnostic device.  </w:t>
            </w:r>
            <w:r>
              <w:t>The guidance and shunt classifications come from AI models and must be reviewed by a clinician. The app sends the findings you mark and reference ultrasound frames to an online AI service (Groq), so it needs an internet connection.</w:t>
            </w:r>
          </w:p>
        </w:tc>
      </w:tr>
    </w:tbl>
    <w:p/>
    <w:p>
      <w:pPr>
        <w:pStyle w:val="Heading1"/>
      </w:pPr>
      <w:r>
        <w:t>1. What This App Does</w:t>
      </w:r>
    </w:p>
    <w:p>
      <w:r>
        <w:rPr>
          <w:i w:val="0"/>
        </w:rPr>
        <w:t>During a CHIVA duplex ultrasound examination of the leg, the app follows where the probe is and what you have found so far, and tells you in one short sentence where to move the probe next. When the findings add up to a CHIVA shunt type, it tells you which type and why, and asks you to accept or reject it.</w:t>
      </w:r>
    </w:p>
    <w:tbl>
      <w:tblPr>
        <w:tblStyle w:val="TableGrid"/>
        <w:tblW w:type="auto" w:w="0"/>
        <w:tblLook w:firstColumn="1" w:firstRow="1" w:lastColumn="0" w:lastRow="0" w:noHBand="0" w:noVBand="1" w:val="04A0"/>
      </w:tblPr>
      <w:tblGrid>
        <w:gridCol w:w="4680"/>
        <w:gridCol w:w="4680"/>
      </w:tblGrid>
      <w:tr>
        <w:tc>
          <w:tcPr>
            <w:tcW w:type="dxa" w:w="4320"/>
            <w:shd w:val="clear" w:color="auto" w:fill="1F3864"/>
          </w:tcPr>
          <w:p>
            <w:r/>
            <w:r>
              <w:rPr>
                <w:b/>
                <w:color w:val="FFFFFF"/>
                <w:sz w:val="19"/>
              </w:rPr>
              <w:t>You provide</w:t>
            </w:r>
          </w:p>
        </w:tc>
        <w:tc>
          <w:tcPr>
            <w:tcW w:type="dxa" w:w="5040"/>
            <w:shd w:val="clear" w:color="auto" w:fill="1F3864"/>
          </w:tcPr>
          <w:p>
            <w:r/>
            <w:r>
              <w:rPr>
                <w:b/>
                <w:color w:val="FFFFFF"/>
                <w:sz w:val="19"/>
              </w:rPr>
              <w:t>The app returns</w:t>
            </w:r>
          </w:p>
        </w:tc>
      </w:tr>
      <w:tr>
        <w:tc>
          <w:tcPr>
            <w:tcW w:type="dxa" w:w="4320"/>
          </w:tcPr>
          <w:p>
            <w:r/>
            <w:r>
              <w:rPr>
                <w:sz w:val="19"/>
              </w:rPr>
              <w:t>The probe position (by moving the mouse over the leg diagram)</w:t>
            </w:r>
          </w:p>
        </w:tc>
        <w:tc>
          <w:tcPr>
            <w:tcW w:type="dxa" w:w="5040"/>
          </w:tcPr>
          <w:p>
            <w:r/>
            <w:r>
              <w:rPr>
                <w:sz w:val="19"/>
              </w:rPr>
              <w:t>A movement instruction, e.g. "Move distally toward Hunterian perforator on medial proximal thigh"</w:t>
            </w:r>
          </w:p>
        </w:tc>
      </w:tr>
      <w:tr>
        <w:tc>
          <w:tcPr>
            <w:tcW w:type="dxa" w:w="4320"/>
          </w:tcPr>
          <w:p>
            <w:r/>
            <w:r>
              <w:rPr>
                <w:sz w:val="19"/>
              </w:rPr>
              <w:t>Each flow finding you observe (entry or re-entry point, and between which vein levels)</w:t>
            </w:r>
          </w:p>
        </w:tc>
        <w:tc>
          <w:tcPr>
            <w:tcW w:type="dxa" w:w="5040"/>
          </w:tcPr>
          <w:p>
            <w:r/>
            <w:r>
              <w:rPr>
                <w:sz w:val="19"/>
              </w:rPr>
              <w:t>An updated instruction that takes the finding into account</w:t>
            </w:r>
          </w:p>
        </w:tc>
      </w:tr>
      <w:tr>
        <w:tc>
          <w:tcPr>
            <w:tcW w:type="dxa" w:w="4320"/>
          </w:tcPr>
          <w:p>
            <w:r/>
            <w:r>
              <w:rPr>
                <w:sz w:val="19"/>
              </w:rPr>
              <w:t>The elimination test result, when asked</w:t>
            </w:r>
          </w:p>
        </w:tc>
        <w:tc>
          <w:tcPr>
            <w:tcW w:type="dxa" w:w="5040"/>
          </w:tcPr>
          <w:p>
            <w:r/>
            <w:r>
              <w:rPr>
                <w:sz w:val="19"/>
              </w:rPr>
              <w:t>Type 3 or Type 1+2, depending on the result</w:t>
            </w:r>
          </w:p>
        </w:tc>
      </w:tr>
      <w:tr>
        <w:tc>
          <w:tcPr>
            <w:tcW w:type="dxa" w:w="4320"/>
          </w:tcPr>
          <w:p>
            <w:r/>
            <w:r>
              <w:rPr>
                <w:sz w:val="19"/>
              </w:rPr>
              <w:t>Accept / reject on each classification</w:t>
            </w:r>
          </w:p>
        </w:tc>
        <w:tc>
          <w:tcPr>
            <w:tcW w:type="dxa" w:w="5040"/>
          </w:tcPr>
          <w:p>
            <w:r/>
            <w:r>
              <w:rPr>
                <w:sz w:val="19"/>
              </w:rPr>
              <w:t>Continued guidance to look for further shunts, or a re-evaluation</w:t>
            </w:r>
          </w:p>
        </w:tc>
      </w:tr>
    </w:tbl>
    <w:p/>
    <w:p>
      <w:pPr>
        <w:pStyle w:val="Heading1"/>
      </w:pPr>
      <w:r>
        <w:t>2. Before You Start</w:t>
      </w:r>
    </w:p>
    <w:p>
      <w:pPr>
        <w:pStyle w:val="ListNumber"/>
      </w:pPr>
      <w:r>
        <w:t>Someone technical sets the app up once: a Groq API key goes into the .env file in the Code folder.</w:t>
      </w:r>
    </w:p>
    <w:p>
      <w:pPr>
        <w:pStyle w:val="ListNumber"/>
      </w:pPr>
      <w:r>
        <w:t>Double-click run.bat in the Code folder. The very first start installs what it needs and takes several minutes.</w:t>
      </w:r>
    </w:p>
    <w:p>
      <w:pPr>
        <w:pStyle w:val="ListNumber"/>
      </w:pPr>
      <w:r>
        <w:t>A black window stays open and your browser opens the app at http://127.0.0.1:7861/stream. Leave the black window open while you work; close it to stop the app.</w:t>
      </w:r>
    </w:p>
    <w:p>
      <w:pPr>
        <w:pStyle w:val="Heading1"/>
      </w:pPr>
      <w:r>
        <w:t>3. The Screen</w:t>
      </w:r>
    </w:p>
    <w:tbl>
      <w:tblPr>
        <w:tblStyle w:val="TableGrid"/>
        <w:tblW w:type="auto" w:w="0"/>
        <w:tblLook w:firstColumn="1" w:firstRow="1" w:lastColumn="0" w:lastRow="0" w:noHBand="0" w:noVBand="1" w:val="04A0"/>
      </w:tblPr>
      <w:tblGrid>
        <w:gridCol w:w="4680"/>
        <w:gridCol w:w="4680"/>
      </w:tblGrid>
      <w:tr>
        <w:tc>
          <w:tcPr>
            <w:tcW w:type="dxa" w:w="2880"/>
            <w:shd w:val="clear" w:color="auto" w:fill="1F3864"/>
          </w:tcPr>
          <w:p>
            <w:r/>
            <w:r>
              <w:rPr>
                <w:b/>
                <w:color w:val="FFFFFF"/>
                <w:sz w:val="19"/>
              </w:rPr>
              <w:t>Area</w:t>
            </w:r>
          </w:p>
        </w:tc>
        <w:tc>
          <w:tcPr>
            <w:tcW w:type="dxa" w:w="6480"/>
            <w:shd w:val="clear" w:color="auto" w:fill="1F3864"/>
          </w:tcPr>
          <w:p>
            <w:r/>
            <w:r>
              <w:rPr>
                <w:b/>
                <w:color w:val="FFFFFF"/>
                <w:sz w:val="19"/>
              </w:rPr>
              <w:t>What it is for</w:t>
            </w:r>
          </w:p>
        </w:tc>
      </w:tr>
      <w:tr>
        <w:tc>
          <w:tcPr>
            <w:tcW w:type="dxa" w:w="2880"/>
          </w:tcPr>
          <w:p>
            <w:r/>
            <w:r>
              <w:rPr>
                <w:sz w:val="19"/>
              </w:rPr>
              <w:t>Top bar</w:t>
            </w:r>
          </w:p>
        </w:tc>
        <w:tc>
          <w:tcPr>
            <w:tcW w:type="dxa" w:w="6480"/>
          </w:tcPr>
          <w:p>
            <w:r/>
            <w:r>
              <w:rPr>
                <w:sz w:val="19"/>
              </w:rPr>
              <w:t>Start Session / End Session buttons, a connection light (green when connected), and the status line.</w:t>
            </w:r>
          </w:p>
        </w:tc>
      </w:tr>
      <w:tr>
        <w:tc>
          <w:tcPr>
            <w:tcW w:type="dxa" w:w="2880"/>
          </w:tcPr>
          <w:p>
            <w:r/>
            <w:r>
              <w:rPr>
                <w:sz w:val="19"/>
              </w:rPr>
              <w:t>Left — leg diagram</w:t>
            </w:r>
          </w:p>
        </w:tc>
        <w:tc>
          <w:tcPr>
            <w:tcW w:type="dxa" w:w="6480"/>
          </w:tcPr>
          <w:p>
            <w:r/>
            <w:r>
              <w:rPr>
                <w:sz w:val="19"/>
              </w:rPr>
              <w:t>Both legs with the veins drawn in. Moving the mouse over it is moving the probe. Two fold-out legends explain the line colours and name the veins.</w:t>
            </w:r>
          </w:p>
        </w:tc>
      </w:tr>
      <w:tr>
        <w:tc>
          <w:tcPr>
            <w:tcW w:type="dxa" w:w="2880"/>
          </w:tcPr>
          <w:p>
            <w:r/>
            <w:r>
              <w:rPr>
                <w:sz w:val="19"/>
              </w:rPr>
              <w:t>Left — Mark Finding</w:t>
            </w:r>
          </w:p>
        </w:tc>
        <w:tc>
          <w:tcPr>
            <w:tcW w:type="dxa" w:w="6480"/>
          </w:tcPr>
          <w:p>
            <w:r/>
            <w:r>
              <w:rPr>
                <w:sz w:val="19"/>
              </w:rPr>
              <w:t>Record a flow finding at the position you clicked.</w:t>
            </w:r>
          </w:p>
        </w:tc>
      </w:tr>
      <w:tr>
        <w:tc>
          <w:tcPr>
            <w:tcW w:type="dxa" w:w="2880"/>
          </w:tcPr>
          <w:p>
            <w:r/>
            <w:r>
              <w:rPr>
                <w:sz w:val="19"/>
              </w:rPr>
              <w:t>Left — Elimination Test</w:t>
            </w:r>
          </w:p>
        </w:tc>
        <w:tc>
          <w:tcPr>
            <w:tcW w:type="dxa" w:w="6480"/>
          </w:tcPr>
          <w:p>
            <w:r/>
            <w:r>
              <w:rPr>
                <w:sz w:val="19"/>
              </w:rPr>
              <w:t>Record the elimination test result. Always available; highlighted when the test is needed.</w:t>
            </w:r>
          </w:p>
        </w:tc>
      </w:tr>
      <w:tr>
        <w:tc>
          <w:tcPr>
            <w:tcW w:type="dxa" w:w="2880"/>
          </w:tcPr>
          <w:p>
            <w:r/>
            <w:r>
              <w:rPr>
                <w:sz w:val="19"/>
              </w:rPr>
              <w:t>Left — Confirmed Findings</w:t>
            </w:r>
          </w:p>
        </w:tc>
        <w:tc>
          <w:tcPr>
            <w:tcW w:type="dxa" w:w="6480"/>
          </w:tcPr>
          <w:p>
            <w:r/>
            <w:r>
              <w:rPr>
                <w:sz w:val="19"/>
              </w:rPr>
              <w:t>Everything you have marked. Each entry can be deleted.</w:t>
            </w:r>
          </w:p>
        </w:tc>
      </w:tr>
      <w:tr>
        <w:tc>
          <w:tcPr>
            <w:tcW w:type="dxa" w:w="2880"/>
          </w:tcPr>
          <w:p>
            <w:r/>
            <w:r>
              <w:rPr>
                <w:sz w:val="19"/>
              </w:rPr>
              <w:t>Centre — Ultrasound Feed</w:t>
            </w:r>
          </w:p>
        </w:tc>
        <w:tc>
          <w:tcPr>
            <w:tcW w:type="dxa" w:w="6480"/>
          </w:tcPr>
          <w:p>
            <w:r/>
            <w:r>
              <w:rPr>
                <w:sz w:val="19"/>
              </w:rPr>
              <w:t>A reference ultrasound image for the current position, with the vein name beside the title.</w:t>
            </w:r>
          </w:p>
        </w:tc>
      </w:tr>
      <w:tr>
        <w:tc>
          <w:tcPr>
            <w:tcW w:type="dxa" w:w="2880"/>
          </w:tcPr>
          <w:p>
            <w:r/>
            <w:r>
              <w:rPr>
                <w:sz w:val="19"/>
              </w:rPr>
              <w:t>Centre — VLM Frame Analysis</w:t>
            </w:r>
          </w:p>
        </w:tc>
        <w:tc>
          <w:tcPr>
            <w:tcW w:type="dxa" w:w="6480"/>
          </w:tcPr>
          <w:p>
            <w:r/>
            <w:r>
              <w:rPr>
                <w:sz w:val="19"/>
              </w:rPr>
              <w:t>What the AI read from that image: quality, fascia visible, N1 / N2 / N3 present, vein names.</w:t>
            </w:r>
          </w:p>
        </w:tc>
      </w:tr>
      <w:tr>
        <w:tc>
          <w:tcPr>
            <w:tcW w:type="dxa" w:w="2880"/>
          </w:tcPr>
          <w:p>
            <w:r/>
            <w:r>
              <w:rPr>
                <w:sz w:val="19"/>
              </w:rPr>
              <w:t>Centre — Shunts Found</w:t>
            </w:r>
          </w:p>
        </w:tc>
        <w:tc>
          <w:tcPr>
            <w:tcW w:type="dxa" w:w="6480"/>
          </w:tcPr>
          <w:p>
            <w:r/>
            <w:r>
              <w:rPr>
                <w:sz w:val="19"/>
              </w:rPr>
              <w:t>Every shunt type confirmed in this session.</w:t>
            </w:r>
          </w:p>
        </w:tc>
      </w:tr>
      <w:tr>
        <w:tc>
          <w:tcPr>
            <w:tcW w:type="dxa" w:w="2880"/>
          </w:tcPr>
          <w:p>
            <w:r/>
            <w:r>
              <w:rPr>
                <w:sz w:val="19"/>
              </w:rPr>
              <w:t>Right — Active Guidance</w:t>
            </w:r>
          </w:p>
        </w:tc>
        <w:tc>
          <w:tcPr>
            <w:tcW w:type="dxa" w:w="6480"/>
          </w:tcPr>
          <w:p>
            <w:r/>
            <w:r>
              <w:rPr>
                <w:sz w:val="19"/>
              </w:rPr>
              <w:t>The current instruction. Above it: region, position, surface and leg of the probe.</w:t>
            </w:r>
          </w:p>
        </w:tc>
      </w:tr>
      <w:tr>
        <w:tc>
          <w:tcPr>
            <w:tcW w:type="dxa" w:w="2880"/>
          </w:tcPr>
          <w:p>
            <w:r/>
            <w:r>
              <w:rPr>
                <w:sz w:val="19"/>
              </w:rPr>
              <w:t>Right — Model Thinking Log</w:t>
            </w:r>
          </w:p>
        </w:tc>
        <w:tc>
          <w:tcPr>
            <w:tcW w:type="dxa" w:w="6480"/>
          </w:tcPr>
          <w:p>
            <w:r/>
            <w:r>
              <w:rPr>
                <w:sz w:val="19"/>
              </w:rPr>
              <w:t>One entry per instruction. Click an entry to see what each of the five AI agents said.</w:t>
            </w:r>
          </w:p>
        </w:tc>
      </w:tr>
    </w:tbl>
    <w:p/>
    <w:p>
      <w:pPr>
        <w:pStyle w:val="Heading1"/>
      </w:pPr>
      <w:r>
        <w:t>4. Running an Examination</w:t>
      </w:r>
    </w:p>
    <w:p>
      <w:pPr>
        <w:pStyle w:val="Heading2"/>
      </w:pPr>
      <w:r>
        <w:t>4.1 Start</w:t>
      </w:r>
    </w:p>
    <w:p>
      <w:pPr>
        <w:pStyle w:val="ListNumber"/>
      </w:pPr>
      <w:r>
        <w:t>Click Start Session.</w:t>
      </w:r>
    </w:p>
    <w:p>
      <w:pPr>
        <w:pStyle w:val="ListNumber"/>
      </w:pPr>
      <w:r>
        <w:t>Move the mouse over the leg diagram to where the probe is. A blue line follows the mouse and the reference image changes.</w:t>
      </w:r>
    </w:p>
    <w:p>
      <w:pPr>
        <w:pStyle w:val="ListNumber"/>
      </w:pPr>
      <w:r>
        <w:t>Wait for the first instruction in Active Guidance. It usually takes 5 to 15 seconds.</w:t>
      </w:r>
    </w:p>
    <w:p>
      <w:pPr>
        <w:pStyle w:val="Heading2"/>
      </w:pPr>
      <w:r>
        <w:t>4.2 Follow the guidance</w:t>
      </w:r>
    </w:p>
    <w:p>
      <w:r>
        <w:rPr>
          <w:i w:val="0"/>
        </w:rPr>
        <w:t>Move the mouse to where the instruction sends you. A new instruction is worked out when you have moved a meaningful distance or entered a different region; small movements keep the current instruction.</w:t>
      </w:r>
    </w:p>
    <w:p>
      <w:pPr>
        <w:pStyle w:val="Heading2"/>
      </w:pPr>
      <w:r>
        <w:t>4.3 Mark a finding</w:t>
      </w:r>
    </w:p>
    <w:p>
      <w:pPr>
        <w:pStyle w:val="ListNumber"/>
      </w:pPr>
      <w:r>
        <w:t>Click on the leg diagram at the level of the finding. An amber marker locks that position.</w:t>
      </w:r>
    </w:p>
    <w:p>
      <w:pPr>
        <w:pStyle w:val="ListNumber"/>
      </w:pPr>
      <w:r>
        <w:t>Choose EP — antegrade (entry point) or RP — retrograde (re-entry point).</w:t>
      </w:r>
    </w:p>
    <w:p>
      <w:pPr>
        <w:pStyle w:val="ListNumber"/>
      </w:pPr>
      <w:r>
        <w:t>Choose From and To: N1 (deep vein), N2 (trunk) or N3 (tributary).</w:t>
      </w:r>
    </w:p>
    <w:p>
      <w:pPr>
        <w:pStyle w:val="ListNumber"/>
      </w:pPr>
      <w:r>
        <w:t>Click Mark Clip at Locked Position. The finding appears under Confirmed Findings and on the diagram, and a new instruction follows.</w:t>
      </w:r>
    </w:p>
    <w:p>
      <w:r>
        <w:rPr>
          <w:i w:val="0"/>
        </w:rPr>
        <w:t>Made a mistake? Delete the finding from the Confirmed Findings list and mark it again.</w:t>
      </w:r>
    </w:p>
    <w:p>
      <w:pPr>
        <w:pStyle w:val="Heading2"/>
      </w:pPr>
      <w:r>
        <w:t>4.4 The elimination test</w:t>
      </w:r>
    </w:p>
    <w:p>
      <w:r>
        <w:rPr>
          <w:i w:val="0"/>
        </w:rPr>
        <w:t>When four findings are present — EP N1→N2, EP N2→N3, RP N3→N1 and RP N2→N1 — the app cannot tell Type 3 from Type 1+2 without the elimination test. The guidance reads "Perform elimination test at current zone", and a notice appears. Compress the tributary at the escape point, watch the trunk on Doppler, then click one of:</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1F3864"/>
          </w:tcPr>
          <w:p>
            <w:r/>
            <w:r>
              <w:rPr>
                <w:b/>
                <w:color w:val="FFFFFF"/>
                <w:sz w:val="19"/>
              </w:rPr>
              <w:t>Button</w:t>
            </w:r>
          </w:p>
        </w:tc>
        <w:tc>
          <w:tcPr>
            <w:tcW w:type="dxa" w:w="4176"/>
            <w:shd w:val="clear" w:color="auto" w:fill="1F3864"/>
          </w:tcPr>
          <w:p>
            <w:r/>
            <w:r>
              <w:rPr>
                <w:b/>
                <w:color w:val="FFFFFF"/>
                <w:sz w:val="19"/>
              </w:rPr>
              <w:t>Meaning</w:t>
            </w:r>
          </w:p>
        </w:tc>
        <w:tc>
          <w:tcPr>
            <w:tcW w:type="dxa" w:w="1728"/>
            <w:shd w:val="clear" w:color="auto" w:fill="1F3864"/>
          </w:tcPr>
          <w:p>
            <w:r/>
            <w:r>
              <w:rPr>
                <w:b/>
                <w:color w:val="FFFFFF"/>
                <w:sz w:val="19"/>
              </w:rPr>
              <w:t>Result</w:t>
            </w:r>
          </w:p>
        </w:tc>
      </w:tr>
      <w:tr>
        <w:tc>
          <w:tcPr>
            <w:tcW w:type="dxa" w:w="3456"/>
          </w:tcPr>
          <w:p>
            <w:r/>
            <w:r>
              <w:rPr>
                <w:sz w:val="19"/>
              </w:rPr>
              <w:t>No Reflux — reflux abolished</w:t>
            </w:r>
          </w:p>
        </w:tc>
        <w:tc>
          <w:tcPr>
            <w:tcW w:type="dxa" w:w="4176"/>
          </w:tcPr>
          <w:p>
            <w:r/>
            <w:r>
              <w:rPr>
                <w:sz w:val="19"/>
              </w:rPr>
              <w:t>Trunk reflux stops under compression</w:t>
            </w:r>
          </w:p>
        </w:tc>
        <w:tc>
          <w:tcPr>
            <w:tcW w:type="dxa" w:w="1728"/>
          </w:tcPr>
          <w:p>
            <w:r/>
            <w:r>
              <w:rPr>
                <w:sz w:val="19"/>
              </w:rPr>
              <w:t>Type 3</w:t>
            </w:r>
          </w:p>
        </w:tc>
      </w:tr>
      <w:tr>
        <w:tc>
          <w:tcPr>
            <w:tcW w:type="dxa" w:w="3456"/>
          </w:tcPr>
          <w:p>
            <w:r/>
            <w:r>
              <w:rPr>
                <w:sz w:val="19"/>
              </w:rPr>
              <w:t>Reflux — reflux persists</w:t>
            </w:r>
          </w:p>
        </w:tc>
        <w:tc>
          <w:tcPr>
            <w:tcW w:type="dxa" w:w="4176"/>
          </w:tcPr>
          <w:p>
            <w:r/>
            <w:r>
              <w:rPr>
                <w:sz w:val="19"/>
              </w:rPr>
              <w:t>Trunk reflux continues under compression</w:t>
            </w:r>
          </w:p>
        </w:tc>
        <w:tc>
          <w:tcPr>
            <w:tcW w:type="dxa" w:w="1728"/>
          </w:tcPr>
          <w:p>
            <w:r/>
            <w:r>
              <w:rPr>
                <w:sz w:val="19"/>
              </w:rPr>
              <w:t>Type 1+2</w:t>
            </w:r>
          </w:p>
        </w:tc>
      </w:tr>
    </w:tbl>
    <w:p/>
    <w:p>
      <w:pPr>
        <w:pStyle w:val="Heading2"/>
      </w:pPr>
      <w:r>
        <w:t>4.5 When a shunt is confirmed</w:t>
      </w:r>
    </w:p>
    <w:p>
      <w:r>
        <w:rPr>
          <w:i w:val="0"/>
        </w:rPr>
        <w:t>A notice appears above the thinking log with the CHIVA type, the leg, and one sentence of evidence. The guidance reads "Circuit complete — classification confirmed". Choose:</w:t>
      </w:r>
    </w:p>
    <w:tbl>
      <w:tblPr>
        <w:tblStyle w:val="TableGrid"/>
        <w:tblW w:type="auto" w:w="0"/>
        <w:tblLook w:firstColumn="1" w:firstRow="1" w:lastColumn="0" w:lastRow="0" w:noHBand="0" w:noVBand="1" w:val="04A0"/>
      </w:tblPr>
      <w:tblGrid>
        <w:gridCol w:w="4680"/>
        <w:gridCol w:w="4680"/>
      </w:tblGrid>
      <w:tr>
        <w:tc>
          <w:tcPr>
            <w:tcW w:type="dxa" w:w="4032"/>
            <w:shd w:val="clear" w:color="auto" w:fill="1F3864"/>
          </w:tcPr>
          <w:p>
            <w:r/>
            <w:r>
              <w:rPr>
                <w:b/>
                <w:color w:val="FFFFFF"/>
                <w:sz w:val="19"/>
              </w:rPr>
              <w:t>Button</w:t>
            </w:r>
          </w:p>
        </w:tc>
        <w:tc>
          <w:tcPr>
            <w:tcW w:type="dxa" w:w="5328"/>
            <w:shd w:val="clear" w:color="auto" w:fill="1F3864"/>
          </w:tcPr>
          <w:p>
            <w:r/>
            <w:r>
              <w:rPr>
                <w:b/>
                <w:color w:val="FFFFFF"/>
                <w:sz w:val="19"/>
              </w:rPr>
              <w:t>What happens</w:t>
            </w:r>
          </w:p>
        </w:tc>
      </w:tr>
      <w:tr>
        <w:tc>
          <w:tcPr>
            <w:tcW w:type="dxa" w:w="4032"/>
          </w:tcPr>
          <w:p>
            <w:r/>
            <w:r>
              <w:rPr>
                <w:sz w:val="19"/>
              </w:rPr>
              <w:t>Accept Classification &amp; Continue Scanning</w:t>
            </w:r>
          </w:p>
        </w:tc>
        <w:tc>
          <w:tcPr>
            <w:tcW w:type="dxa" w:w="5328"/>
          </w:tcPr>
          <w:p>
            <w:r/>
            <w:r>
              <w:rPr>
                <w:sz w:val="19"/>
              </w:rPr>
              <w:t>The type is kept in Shunts Found and is not announced again. Guidance carries on so you can look for further shunts.</w:t>
            </w:r>
          </w:p>
        </w:tc>
      </w:tr>
      <w:tr>
        <w:tc>
          <w:tcPr>
            <w:tcW w:type="dxa" w:w="4032"/>
          </w:tcPr>
          <w:p>
            <w:r/>
            <w:r>
              <w:rPr>
                <w:sz w:val="19"/>
              </w:rPr>
              <w:t>Accept &amp; End Session</w:t>
            </w:r>
          </w:p>
        </w:tc>
        <w:tc>
          <w:tcPr>
            <w:tcW w:type="dxa" w:w="5328"/>
          </w:tcPr>
          <w:p>
            <w:r/>
            <w:r>
              <w:rPr>
                <w:sz w:val="19"/>
              </w:rPr>
              <w:t>Ends the session.</w:t>
            </w:r>
          </w:p>
        </w:tc>
      </w:tr>
      <w:tr>
        <w:tc>
          <w:tcPr>
            <w:tcW w:type="dxa" w:w="4032"/>
          </w:tcPr>
          <w:p>
            <w:r/>
            <w:r>
              <w:rPr>
                <w:sz w:val="19"/>
              </w:rPr>
              <w:t>Reject Classification</w:t>
            </w:r>
          </w:p>
        </w:tc>
        <w:tc>
          <w:tcPr>
            <w:tcW w:type="dxa" w:w="5328"/>
          </w:tcPr>
          <w:p>
            <w:r/>
            <w:r>
              <w:rPr>
                <w:sz w:val="19"/>
              </w:rPr>
              <w:t>The app is told the classification was wrong and re-evaluates; it will only confirm that type again on stronger evidence.</w:t>
            </w:r>
          </w:p>
        </w:tc>
      </w:tr>
    </w:tbl>
    <w:p/>
    <w:p>
      <w:pPr>
        <w:pStyle w:val="Heading2"/>
      </w:pPr>
      <w:r>
        <w:t>4.6 Finish</w:t>
      </w:r>
    </w:p>
    <w:p>
      <w:r>
        <w:rPr>
          <w:i w:val="0"/>
        </w:rPr>
        <w:t>Click End Session. The status line shows how many findings were recorded. Nothing is saved to disk; note the findings and shunt types before closing the page.</w:t>
      </w:r>
    </w:p>
    <w:p>
      <w:pPr>
        <w:pStyle w:val="Heading1"/>
      </w:pPr>
      <w:r>
        <w:t>5. Reading the Guidance</w:t>
      </w:r>
    </w:p>
    <w:tbl>
      <w:tblPr>
        <w:tblStyle w:val="TableGrid"/>
        <w:tblW w:type="auto" w:w="0"/>
        <w:tblLook w:firstColumn="1" w:firstRow="1" w:lastColumn="0" w:lastRow="0" w:noHBand="0" w:noVBand="1" w:val="04A0"/>
      </w:tblPr>
      <w:tblGrid>
        <w:gridCol w:w="4680"/>
        <w:gridCol w:w="4680"/>
      </w:tblGrid>
      <w:tr>
        <w:tc>
          <w:tcPr>
            <w:tcW w:type="dxa" w:w="4320"/>
            <w:shd w:val="clear" w:color="auto" w:fill="1F3864"/>
          </w:tcPr>
          <w:p>
            <w:r/>
            <w:r>
              <w:rPr>
                <w:b/>
                <w:color w:val="FFFFFF"/>
                <w:sz w:val="19"/>
              </w:rPr>
              <w:t>What you see</w:t>
            </w:r>
          </w:p>
        </w:tc>
        <w:tc>
          <w:tcPr>
            <w:tcW w:type="dxa" w:w="5040"/>
            <w:shd w:val="clear" w:color="auto" w:fill="1F3864"/>
          </w:tcPr>
          <w:p>
            <w:r/>
            <w:r>
              <w:rPr>
                <w:b/>
                <w:color w:val="FFFFFF"/>
                <w:sz w:val="19"/>
              </w:rPr>
              <w:t>Meaning</w:t>
            </w:r>
          </w:p>
        </w:tc>
      </w:tr>
      <w:tr>
        <w:tc>
          <w:tcPr>
            <w:tcW w:type="dxa" w:w="4320"/>
          </w:tcPr>
          <w:p>
            <w:r/>
            <w:r>
              <w:rPr>
                <w:sz w:val="19"/>
              </w:rPr>
              <w:t>A sentence starting with "Move …"</w:t>
            </w:r>
          </w:p>
        </w:tc>
        <w:tc>
          <w:tcPr>
            <w:tcW w:type="dxa" w:w="5040"/>
          </w:tcPr>
          <w:p>
            <w:r/>
            <w:r>
              <w:rPr>
                <w:sz w:val="19"/>
              </w:rPr>
              <w:t>Where to take the probe: a direction plus the structure and its location on the leg.</w:t>
            </w:r>
          </w:p>
        </w:tc>
      </w:tr>
      <w:tr>
        <w:tc>
          <w:tcPr>
            <w:tcW w:type="dxa" w:w="4320"/>
          </w:tcPr>
          <w:p>
            <w:r/>
            <w:r>
              <w:rPr>
                <w:sz w:val="19"/>
              </w:rPr>
              <w:t>"Perform elimination test at current zone" (amber)</w:t>
            </w:r>
          </w:p>
        </w:tc>
        <w:tc>
          <w:tcPr>
            <w:tcW w:type="dxa" w:w="5040"/>
          </w:tcPr>
          <w:p>
            <w:r/>
            <w:r>
              <w:rPr>
                <w:sz w:val="19"/>
              </w:rPr>
              <w:t>The four-finding pattern is complete; do the test (Section 4.4).</w:t>
            </w:r>
          </w:p>
        </w:tc>
      </w:tr>
      <w:tr>
        <w:tc>
          <w:tcPr>
            <w:tcW w:type="dxa" w:w="4320"/>
          </w:tcPr>
          <w:p>
            <w:r/>
            <w:r>
              <w:rPr>
                <w:sz w:val="19"/>
              </w:rPr>
              <w:t>"Circuit complete — classification confirmed" (green)</w:t>
            </w:r>
          </w:p>
        </w:tc>
        <w:tc>
          <w:tcPr>
            <w:tcW w:type="dxa" w:w="5040"/>
          </w:tcPr>
          <w:p>
            <w:r/>
            <w:r>
              <w:rPr>
                <w:sz w:val="19"/>
              </w:rPr>
              <w:t>A shunt type is confirmed; see the notice (Section 4.5).</w:t>
            </w:r>
          </w:p>
        </w:tc>
      </w:tr>
      <w:tr>
        <w:tc>
          <w:tcPr>
            <w:tcW w:type="dxa" w:w="4320"/>
          </w:tcPr>
          <w:p>
            <w:r/>
            <w:r>
              <w:rPr>
                <w:sz w:val="19"/>
              </w:rPr>
              <w:t>"Continue scanning distally to locate anatomical junction" again and again</w:t>
            </w:r>
          </w:p>
        </w:tc>
        <w:tc>
          <w:tcPr>
            <w:tcW w:type="dxa" w:w="5040"/>
          </w:tcPr>
          <w:p>
            <w:r/>
            <w:r>
              <w:rPr>
                <w:sz w:val="19"/>
              </w:rPr>
              <w:t>The AI service did not answer. Tell your technical contact (Section 7).</w:t>
            </w:r>
          </w:p>
        </w:tc>
      </w:tr>
    </w:tbl>
    <w:p/>
    <w:p>
      <w:pPr>
        <w:pStyle w:val="Heading1"/>
      </w:pPr>
      <w:r>
        <w:t>6. The Two Other Pages</w:t>
      </w:r>
    </w:p>
    <w:tbl>
      <w:tblPr>
        <w:tblStyle w:val="TableGrid"/>
        <w:tblW w:type="auto" w:w="0"/>
        <w:tblLook w:firstColumn="1" w:firstRow="1" w:lastColumn="0" w:lastRow="0" w:noHBand="0" w:noVBand="1" w:val="04A0"/>
      </w:tblPr>
      <w:tblGrid>
        <w:gridCol w:w="4680"/>
        <w:gridCol w:w="4680"/>
      </w:tblGrid>
      <w:tr>
        <w:tc>
          <w:tcPr>
            <w:tcW w:type="dxa" w:w="3456"/>
            <w:shd w:val="clear" w:color="auto" w:fill="1F3864"/>
          </w:tcPr>
          <w:p>
            <w:r/>
            <w:r>
              <w:rPr>
                <w:b/>
                <w:color w:val="FFFFFF"/>
                <w:sz w:val="19"/>
              </w:rPr>
              <w:t>Address</w:t>
            </w:r>
          </w:p>
        </w:tc>
        <w:tc>
          <w:tcPr>
            <w:tcW w:type="dxa" w:w="5904"/>
            <w:shd w:val="clear" w:color="auto" w:fill="1F3864"/>
          </w:tcPr>
          <w:p>
            <w:r/>
            <w:r>
              <w:rPr>
                <w:b/>
                <w:color w:val="FFFFFF"/>
                <w:sz w:val="19"/>
              </w:rPr>
              <w:t>Purpose</w:t>
            </w:r>
          </w:p>
        </w:tc>
      </w:tr>
      <w:tr>
        <w:tc>
          <w:tcPr>
            <w:tcW w:type="dxa" w:w="3456"/>
          </w:tcPr>
          <w:p>
            <w:r/>
            <w:r>
              <w:rPr>
                <w:sz w:val="19"/>
              </w:rPr>
              <w:t>http://127.0.0.1:7861/</w:t>
            </w:r>
          </w:p>
        </w:tc>
        <w:tc>
          <w:tcPr>
            <w:tcW w:type="dxa" w:w="5904"/>
          </w:tcPr>
          <w:p>
            <w:r/>
            <w:r>
              <w:rPr>
                <w:sz w:val="19"/>
              </w:rPr>
              <w:t>Enter one scanner reading by hand (segment, distance, front/back) to see which region it maps to, and get a single guidance line.</w:t>
            </w:r>
          </w:p>
        </w:tc>
      </w:tr>
      <w:tr>
        <w:tc>
          <w:tcPr>
            <w:tcW w:type="dxa" w:w="3456"/>
          </w:tcPr>
          <w:p>
            <w:r/>
            <w:r>
              <w:rPr>
                <w:sz w:val="19"/>
              </w:rPr>
              <w:t>http://127.0.0.1:7861/test</w:t>
            </w:r>
          </w:p>
        </w:tc>
        <w:tc>
          <w:tcPr>
            <w:tcW w:type="dxa" w:w="5904"/>
          </w:tcPr>
          <w:p>
            <w:r/>
            <w:r>
              <w:rPr>
                <w:sz w:val="19"/>
              </w:rPr>
              <w:t>Upload one ultrasound image with a scanner reading to see how the AI reads the image and what it advises.</w:t>
            </w:r>
          </w:p>
        </w:tc>
      </w:tr>
    </w:tbl>
    <w:p/>
    <w:p>
      <w:r>
        <w:rPr>
          <w:i w:val="0"/>
        </w:rPr>
        <w:t>These are for checking single cases. Examinations are run on the /stream page.</w:t>
      </w:r>
    </w:p>
    <w:p>
      <w:pPr>
        <w:pStyle w:val="Heading1"/>
      </w:pPr>
      <w:r>
        <w:t>7. If Something Goes Wrong</w:t>
      </w:r>
    </w:p>
    <w:tbl>
      <w:tblPr>
        <w:tblStyle w:val="TableGrid"/>
        <w:tblW w:type="auto" w:w="0"/>
        <w:tblLook w:firstColumn="1" w:firstRow="1" w:lastColumn="0" w:lastRow="0" w:noHBand="0" w:noVBand="1" w:val="04A0"/>
      </w:tblPr>
      <w:tblGrid>
        <w:gridCol w:w="4680"/>
        <w:gridCol w:w="4680"/>
      </w:tblGrid>
      <w:tr>
        <w:tc>
          <w:tcPr>
            <w:tcW w:type="dxa" w:w="4032"/>
            <w:shd w:val="clear" w:color="auto" w:fill="1F3864"/>
          </w:tcPr>
          <w:p>
            <w:r/>
            <w:r>
              <w:rPr>
                <w:b/>
                <w:color w:val="FFFFFF"/>
                <w:sz w:val="19"/>
              </w:rPr>
              <w:t>Problem</w:t>
            </w:r>
          </w:p>
        </w:tc>
        <w:tc>
          <w:tcPr>
            <w:tcW w:type="dxa" w:w="5328"/>
            <w:shd w:val="clear" w:color="auto" w:fill="1F3864"/>
          </w:tcPr>
          <w:p>
            <w:r/>
            <w:r>
              <w:rPr>
                <w:b/>
                <w:color w:val="FFFFFF"/>
                <w:sz w:val="19"/>
              </w:rPr>
              <w:t>What to do</w:t>
            </w:r>
          </w:p>
        </w:tc>
      </w:tr>
      <w:tr>
        <w:tc>
          <w:tcPr>
            <w:tcW w:type="dxa" w:w="4032"/>
          </w:tcPr>
          <w:p>
            <w:r/>
            <w:r>
              <w:rPr>
                <w:sz w:val="19"/>
              </w:rPr>
              <w:t>The page says it is connecting and never connects</w:t>
            </w:r>
          </w:p>
        </w:tc>
        <w:tc>
          <w:tcPr>
            <w:tcW w:type="dxa" w:w="5328"/>
          </w:tcPr>
          <w:p>
            <w:r/>
            <w:r>
              <w:rPr>
                <w:sz w:val="19"/>
              </w:rPr>
              <w:t>Check the black window is still open. If not, start run.bat again and reload the page.</w:t>
            </w:r>
          </w:p>
        </w:tc>
      </w:tr>
      <w:tr>
        <w:tc>
          <w:tcPr>
            <w:tcW w:type="dxa" w:w="4032"/>
          </w:tcPr>
          <w:p>
            <w:r/>
            <w:r>
              <w:rPr>
                <w:sz w:val="19"/>
              </w:rPr>
              <w:t>run.bat says GROQ_API_KEY is not set</w:t>
            </w:r>
          </w:p>
        </w:tc>
        <w:tc>
          <w:tcPr>
            <w:tcW w:type="dxa" w:w="5328"/>
          </w:tcPr>
          <w:p>
            <w:r/>
            <w:r>
              <w:rPr>
                <w:sz w:val="19"/>
              </w:rPr>
              <w:t>Open the .env file in the Code folder with Notepad, put the key after GROQ_API_KEY=, save, run again.</w:t>
            </w:r>
          </w:p>
        </w:tc>
      </w:tr>
      <w:tr>
        <w:tc>
          <w:tcPr>
            <w:tcW w:type="dxa" w:w="4032"/>
          </w:tcPr>
          <w:p>
            <w:r/>
            <w:r>
              <w:rPr>
                <w:sz w:val="19"/>
              </w:rPr>
              <w:t>The same generic instruction keeps repeating</w:t>
            </w:r>
          </w:p>
        </w:tc>
        <w:tc>
          <w:tcPr>
            <w:tcW w:type="dxa" w:w="5328"/>
          </w:tcPr>
          <w:p>
            <w:r/>
            <w:r>
              <w:rPr>
                <w:sz w:val="19"/>
              </w:rPr>
              <w:t>The AI service is unreachable, out of quota, or a model was withdrawn. Pass the text in the black window to your technical contact.</w:t>
            </w:r>
          </w:p>
        </w:tc>
      </w:tr>
      <w:tr>
        <w:tc>
          <w:tcPr>
            <w:tcW w:type="dxa" w:w="4032"/>
          </w:tcPr>
          <w:p>
            <w:r/>
            <w:r>
              <w:rPr>
                <w:sz w:val="19"/>
              </w:rPr>
              <w:t>No instruction appears</w:t>
            </w:r>
          </w:p>
        </w:tc>
        <w:tc>
          <w:tcPr>
            <w:tcW w:type="dxa" w:w="5328"/>
          </w:tcPr>
          <w:p>
            <w:r/>
            <w:r>
              <w:rPr>
                <w:sz w:val="19"/>
              </w:rPr>
              <w:t>Make sure you clicked Start Session, then move the mouse further along the leg.</w:t>
            </w:r>
          </w:p>
        </w:tc>
      </w:tr>
      <w:tr>
        <w:tc>
          <w:tcPr>
            <w:tcW w:type="dxa" w:w="4032"/>
          </w:tcPr>
          <w:p>
            <w:r/>
            <w:r>
              <w:rPr>
                <w:sz w:val="19"/>
              </w:rPr>
              <w:t>Mark Clip at Locked Position is greyed out</w:t>
            </w:r>
          </w:p>
        </w:tc>
        <w:tc>
          <w:tcPr>
            <w:tcW w:type="dxa" w:w="5328"/>
          </w:tcPr>
          <w:p>
            <w:r/>
            <w:r>
              <w:rPr>
                <w:sz w:val="19"/>
              </w:rPr>
              <w:t>Start a session and click on the leg diagram to lock a position first.</w:t>
            </w:r>
          </w:p>
        </w:tc>
      </w:tr>
      <w:tr>
        <w:tc>
          <w:tcPr>
            <w:tcW w:type="dxa" w:w="4032"/>
          </w:tcPr>
          <w:p>
            <w:r/>
            <w:r>
              <w:rPr>
                <w:sz w:val="19"/>
              </w:rPr>
              <w:t>The reference image does not match the position</w:t>
            </w:r>
          </w:p>
        </w:tc>
        <w:tc>
          <w:tcPr>
            <w:tcW w:type="dxa" w:w="5328"/>
          </w:tcPr>
          <w:p>
            <w:r/>
            <w:r>
              <w:rPr>
                <w:sz w:val="19"/>
              </w:rPr>
              <w:t>Click the refresh button beside Ultrasound Feed.</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