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5"/>
          <w:sz w:val="56"/>
        </w:rPr>
        <w:t>CYGNUS MED</w:t>
      </w:r>
    </w:p>
    <w:p>
      <w:pPr>
        <w:jc w:val="center"/>
      </w:pPr>
      <w:r>
        <w:rPr>
          <w:b/>
          <w:color w:val="007A87"/>
          <w:sz w:val="36"/>
        </w:rPr>
        <w:t>Technical Methodology Report</w:t>
      </w:r>
    </w:p>
    <w:p/>
    <w:p>
      <w:pPr>
        <w:jc w:val="center"/>
      </w:pPr>
      <w:r>
        <w:rPr>
          <w:b/>
          <w:color w:val="1A1A2E"/>
          <w:sz w:val="30"/>
        </w:rPr>
        <w:t>TASK 1 — AI-Assisted CHIVA Shunt Classification</w:t>
        <w:br/>
        <w:t>&amp; Ligation Planning System</w:t>
      </w:r>
    </w:p>
    <w:p/>
    <w:p/>
    <w:p>
      <w:pPr>
        <w:jc w:val="center"/>
      </w:pPr>
      <w:r>
        <w:rPr>
          <w:color w:val="606060"/>
          <w:sz w:val="22"/>
        </w:rPr>
        <w:t>Classification · Retrieval-Augmented Generation · LLM Fine-Tuning</w:t>
        <w:br/>
        <w:t>Cross-Encoder Reranking · Continued Pre-Training</w:t>
      </w:r>
    </w:p>
    <w:p/>
    <w:p>
      <w:pPr>
        <w:jc w:val="center"/>
      </w:pPr>
      <w:r>
        <w:rPr>
          <w:color w:val="606060"/>
          <w:sz w:val="20"/>
        </w:rPr>
        <w:t>Date: June 12, 2026</w:t>
      </w:r>
    </w:p>
    <w:p>
      <w:r>
        <w:br w:type="page"/>
      </w:r>
    </w:p>
    <w:p>
      <w:pPr>
        <w:pStyle w:val="Heading1"/>
        <w:spacing w:before="280" w:after="80"/>
      </w:pPr>
      <w:r>
        <w:rPr>
          <w:color w:val="0D2B55"/>
        </w:rPr>
        <w:t>Executive Summary</w:t>
      </w:r>
    </w:p>
    <w:p>
      <w:pPr>
        <w:spacing w:before="80" w:after="80"/>
        <w:pBdr>
          <w:bottom w:val="single" w:sz="4" w:space="1" w:color="007A87"/>
        </w:pBdr>
      </w:pPr>
    </w:p>
    <w:p>
      <w:pPr>
        <w:spacing w:after="80"/>
      </w:pPr>
      <w:r>
        <w:rPr>
          <w:b w:val="0"/>
          <w:color w:val="1A1A2E"/>
          <w:sz w:val="21"/>
        </w:rPr>
        <w:t>This report documents the complete research and engineering work undertaken for Task 1 of the Cygnus Med project: building an AI-powered assistant that helps vascular surgeons classify venous shunts and plan ligations during CHIVA (Conservative and Hemodynamic treatment for Insufficiency in an Outpatient setting) procedures for varicose vein treatment.</w:t>
      </w:r>
    </w:p>
    <w:p>
      <w:pPr>
        <w:spacing w:after="80"/>
      </w:pPr>
      <w:r>
        <w:rPr>
          <w:b w:val="0"/>
          <w:color w:val="1A1A2E"/>
          <w:sz w:val="21"/>
        </w:rPr>
        <w:t>The system accepts a surgeon's natural-language description of duplex ultrasound findings, converts them to structured CHIVA notation, classifies the shunt type (Type 1, 2A, 2B, 2C, 3, 1+2, or No Shunt), and then recommends a ligation strategy supported by retrieved clinical literature. The system went through multiple development iterations including rule-based prompting, LoRA fine-tuning, continued medical pre-training, and an advanced hybrid RAG pipeline with a domain-fine-tuned cross-encoder reranker.</w:t>
      </w:r>
    </w:p>
    <w:p>
      <w:pPr>
        <w:spacing w:after="80"/>
      </w:pPr>
      <w:r>
        <w:rPr>
          <w:b/>
          <w:color w:val="1A1A2E"/>
          <w:sz w:val="21"/>
        </w:rPr>
        <w:t>Key outcomes:</w:t>
      </w:r>
    </w:p>
    <w:p>
      <w:pPr>
        <w:pStyle w:val="ListBullet"/>
        <w:spacing w:after="40"/>
        <w:ind w:left="454"/>
      </w:pPr>
      <w:r>
        <w:rPr>
          <w:color w:val="1A1A2E"/>
          <w:sz w:val="21"/>
        </w:rPr>
        <w:t>Production application deployed at http://localhost:7860 (Flask + Qdrant + Groq API).</w:t>
      </w:r>
    </w:p>
    <w:p>
      <w:pPr>
        <w:pStyle w:val="ListBullet"/>
        <w:spacing w:after="40"/>
        <w:ind w:left="454"/>
      </w:pPr>
      <w:r>
        <w:rPr>
          <w:color w:val="1A1A2E"/>
          <w:sz w:val="21"/>
        </w:rPr>
        <w:t>Hybrid RAG pipeline (BM25 + vector search + cross-encoder) with 77.1% improvement in reranking MSE after domain fine-tuning.</w:t>
      </w:r>
    </w:p>
    <w:p>
      <w:pPr>
        <w:pStyle w:val="ListBullet"/>
        <w:spacing w:after="40"/>
        <w:ind w:left="454"/>
      </w:pPr>
      <w:r>
        <w:rPr>
          <w:color w:val="1A1A2E"/>
          <w:sz w:val="21"/>
        </w:rPr>
        <w:t>LoRA fine-tuned classifier (Mistral-7B) with 3.4M trainable parameters trained on 31 CHIVA case pairs.</w:t>
      </w:r>
    </w:p>
    <w:p>
      <w:pPr>
        <w:pStyle w:val="ListBullet"/>
        <w:spacing w:after="40"/>
        <w:ind w:left="454"/>
      </w:pPr>
      <w:r>
        <w:rPr>
          <w:color w:val="1A1A2E"/>
          <w:sz w:val="21"/>
        </w:rPr>
        <w:t>Medical continued pre-training dataset: 7,540 chunks / 4.44M tokens extracted and augmented from 14 medical books.</w:t>
      </w:r>
    </w:p>
    <w:p>
      <w:pPr>
        <w:pStyle w:val="ListBullet"/>
        <w:spacing w:after="40"/>
        <w:ind w:left="454"/>
      </w:pPr>
      <w:r>
        <w:rPr>
          <w:color w:val="1A1A2E"/>
          <w:sz w:val="21"/>
        </w:rPr>
        <w:t>Two-phase training strategy (Phase 1: medical CPT on Qwen2.5-7B → Phase 2: task-specific instruction fine-tuning).</w:t>
      </w:r>
    </w:p>
    <w:p>
      <w:pPr>
        <w:pStyle w:val="ListBullet"/>
        <w:spacing w:after="40"/>
        <w:ind w:left="454"/>
      </w:pPr>
      <w:r>
        <w:rPr>
          <w:color w:val="1A1A2E"/>
          <w:sz w:val="21"/>
        </w:rPr>
        <w:t>Cross-encoder fine-tuned on 770 CHIVA-specific query-document pairs in under 3 minutes.</w:t>
      </w:r>
    </w:p>
    <w:p/>
    <w:p>
      <w:pPr>
        <w:pStyle w:val="Heading1"/>
        <w:spacing w:before="280" w:after="80"/>
      </w:pPr>
      <w:r>
        <w:rPr>
          <w:color w:val="0D2B55"/>
        </w:rPr>
        <w:t>1. Project Background &amp; Clinical Context</w:t>
      </w:r>
    </w:p>
    <w:p>
      <w:pPr>
        <w:spacing w:before="80" w:after="80"/>
        <w:pBdr>
          <w:bottom w:val="single" w:sz="4" w:space="1" w:color="007A87"/>
        </w:pBdr>
      </w:pPr>
    </w:p>
    <w:p>
      <w:pPr>
        <w:pStyle w:val="Heading2"/>
        <w:spacing w:before="160" w:after="80"/>
      </w:pPr>
      <w:r>
        <w:rPr>
          <w:color w:val="007A87"/>
        </w:rPr>
        <w:t>1.1  What is CHIVA?</w:t>
      </w:r>
    </w:p>
    <w:p>
      <w:pPr>
        <w:spacing w:after="80"/>
      </w:pPr>
      <w:r>
        <w:rPr>
          <w:b w:val="0"/>
          <w:color w:val="1A1A2E"/>
          <w:sz w:val="21"/>
        </w:rPr>
        <w:t>CHIVA is a minimally invasive surgical strategy for varicose vein treatment. Rather than stripping out the entire great saphenous vein (GSV), a CHIVA surgeon uses duplex ultrasound to identify the exact entry points (EP) and re-entry points (RP) of abnormal venous blood flow (called 'shunts'), then performs targeted ligations at only those points. This preserves healthy vein tissue and greatly reduces recurrence and complication rates compared to conventional surgery.</w:t>
      </w:r>
    </w:p>
    <w:p>
      <w:pPr>
        <w:spacing w:after="80"/>
      </w:pPr>
      <w:r>
        <w:rPr>
          <w:b w:val="0"/>
          <w:color w:val="1A1A2E"/>
          <w:sz w:val="21"/>
        </w:rPr>
        <w:t>The clinical challenge is that shunt classification requires interpreting complex haemodynamic flow patterns across three venous compartments — work that is cognitively demanding and highly specialised. Task 1 of this project is to build an AI tool that reduces cognitive burden on the surgeon by automatically classifying the shunt and suggesting a ligation plan from a plain-language description of the ultrasound findings.</w:t>
      </w:r>
    </w:p>
    <w:p>
      <w:pPr>
        <w:pStyle w:val="Heading2"/>
        <w:spacing w:before="160" w:after="80"/>
      </w:pPr>
      <w:r>
        <w:rPr>
          <w:color w:val="007A87"/>
        </w:rPr>
        <w:t>1.2  Anatomical Notation (CHIVA Clip Format)</w:t>
      </w:r>
    </w:p>
    <w:p>
      <w:pPr>
        <w:spacing w:after="80"/>
      </w:pPr>
      <w:r>
        <w:rPr>
          <w:b w:val="0"/>
          <w:color w:val="1A1A2E"/>
          <w:sz w:val="21"/>
        </w:rPr>
        <w:t>The system uses a structured clip format to represent each identified flow point:</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Field</w:t>
            </w:r>
          </w:p>
        </w:tc>
        <w:tc>
          <w:tcPr>
            <w:tcW w:type="dxa" w:w="3041"/>
            <w:shd w:fill="0D2B55" w:color="auto" w:val="clear"/>
          </w:tcPr>
          <w:p>
            <w:r>
              <w:rPr>
                <w:b/>
                <w:color w:val="FFFFFF"/>
                <w:sz w:val="19"/>
              </w:rPr>
              <w:t>Values</w:t>
            </w:r>
          </w:p>
        </w:tc>
        <w:tc>
          <w:tcPr>
            <w:tcW w:type="dxa" w:w="3041"/>
            <w:shd w:fill="0D2B55" w:color="auto" w:val="clear"/>
          </w:tcPr>
          <w:p>
            <w:r>
              <w:rPr>
                <w:b/>
                <w:color w:val="FFFFFF"/>
                <w:sz w:val="19"/>
              </w:rPr>
              <w:t>Meaning</w:t>
            </w:r>
          </w:p>
        </w:tc>
      </w:tr>
      <w:tr>
        <w:tc>
          <w:tcPr>
            <w:tcW w:type="dxa" w:w="3041"/>
          </w:tcPr>
          <w:p>
            <w:r>
              <w:rPr>
                <w:b w:val="0"/>
                <w:sz w:val="19"/>
              </w:rPr>
              <w:t>flow</w:t>
            </w:r>
          </w:p>
        </w:tc>
        <w:tc>
          <w:tcPr>
            <w:tcW w:type="dxa" w:w="3041"/>
          </w:tcPr>
          <w:p>
            <w:r>
              <w:rPr>
                <w:b w:val="0"/>
                <w:sz w:val="19"/>
              </w:rPr>
              <w:t>EP or RP</w:t>
            </w:r>
          </w:p>
        </w:tc>
        <w:tc>
          <w:tcPr>
            <w:tcW w:type="dxa" w:w="3041"/>
          </w:tcPr>
          <w:p>
            <w:r>
              <w:rPr>
                <w:b w:val="0"/>
                <w:sz w:val="19"/>
              </w:rPr>
              <w:t>EP = antegrade (normal direction); RP = retrograde (reflux)</w:t>
            </w:r>
          </w:p>
        </w:tc>
      </w:tr>
      <w:tr>
        <w:tc>
          <w:tcPr>
            <w:tcW w:type="dxa" w:w="3041"/>
          </w:tcPr>
          <w:p>
            <w:r>
              <w:rPr>
                <w:b w:val="0"/>
                <w:sz w:val="19"/>
              </w:rPr>
              <w:t>fromType</w:t>
            </w:r>
          </w:p>
        </w:tc>
        <w:tc>
          <w:tcPr>
            <w:tcW w:type="dxa" w:w="3041"/>
          </w:tcPr>
          <w:p>
            <w:r>
              <w:rPr>
                <w:b w:val="0"/>
                <w:sz w:val="19"/>
              </w:rPr>
              <w:t>N1, N2, or N3</w:t>
            </w:r>
          </w:p>
        </w:tc>
        <w:tc>
          <w:tcPr>
            <w:tcW w:type="dxa" w:w="3041"/>
          </w:tcPr>
          <w:p>
            <w:r>
              <w:rPr>
                <w:b w:val="0"/>
                <w:sz w:val="19"/>
              </w:rPr>
              <w:t>N1 = deep veins; N2 = great saphenous vein (GSV) trunk; N3 = tributaries</w:t>
            </w:r>
          </w:p>
        </w:tc>
      </w:tr>
      <w:tr>
        <w:tc>
          <w:tcPr>
            <w:tcW w:type="dxa" w:w="3041"/>
          </w:tcPr>
          <w:p>
            <w:r>
              <w:rPr>
                <w:b w:val="0"/>
                <w:sz w:val="19"/>
              </w:rPr>
              <w:t>toType</w:t>
            </w:r>
          </w:p>
        </w:tc>
        <w:tc>
          <w:tcPr>
            <w:tcW w:type="dxa" w:w="3041"/>
          </w:tcPr>
          <w:p>
            <w:r>
              <w:rPr>
                <w:b w:val="0"/>
                <w:sz w:val="19"/>
              </w:rPr>
              <w:t>N1, N2, or N3</w:t>
            </w:r>
          </w:p>
        </w:tc>
        <w:tc>
          <w:tcPr>
            <w:tcW w:type="dxa" w:w="3041"/>
          </w:tcPr>
          <w:p>
            <w:r>
              <w:rPr>
                <w:b w:val="0"/>
                <w:sz w:val="19"/>
              </w:rPr>
              <w:t>Destination compartment</w:t>
            </w:r>
          </w:p>
        </w:tc>
      </w:tr>
      <w:tr>
        <w:tc>
          <w:tcPr>
            <w:tcW w:type="dxa" w:w="3041"/>
          </w:tcPr>
          <w:p>
            <w:r>
              <w:rPr>
                <w:b w:val="0"/>
                <w:sz w:val="19"/>
              </w:rPr>
              <w:t>posYRatio</w:t>
            </w:r>
          </w:p>
        </w:tc>
        <w:tc>
          <w:tcPr>
            <w:tcW w:type="dxa" w:w="3041"/>
          </w:tcPr>
          <w:p>
            <w:r>
              <w:rPr>
                <w:b w:val="0"/>
                <w:sz w:val="19"/>
              </w:rPr>
              <w:t>0.0 – 1.0</w:t>
            </w:r>
          </w:p>
        </w:tc>
        <w:tc>
          <w:tcPr>
            <w:tcW w:type="dxa" w:w="3041"/>
          </w:tcPr>
          <w:p>
            <w:r>
              <w:rPr>
                <w:b w:val="0"/>
                <w:sz w:val="19"/>
              </w:rPr>
              <w:t>Anatomical position: 0.0 = groin, 1.0 = ankle</w:t>
            </w:r>
          </w:p>
        </w:tc>
      </w:tr>
      <w:tr>
        <w:tc>
          <w:tcPr>
            <w:tcW w:type="dxa" w:w="3041"/>
          </w:tcPr>
          <w:p>
            <w:r>
              <w:rPr>
                <w:b w:val="0"/>
                <w:sz w:val="19"/>
              </w:rPr>
              <w:t>step</w:t>
            </w:r>
          </w:p>
        </w:tc>
        <w:tc>
          <w:tcPr>
            <w:tcW w:type="dxa" w:w="3041"/>
          </w:tcPr>
          <w:p>
            <w:r>
              <w:rPr>
                <w:b w:val="0"/>
                <w:sz w:val="19"/>
              </w:rPr>
              <w:t>SFJ, Hunterian, …</w:t>
            </w:r>
          </w:p>
        </w:tc>
        <w:tc>
          <w:tcPr>
            <w:tcW w:type="dxa" w:w="3041"/>
          </w:tcPr>
          <w:p>
            <w:r>
              <w:rPr>
                <w:b w:val="0"/>
                <w:sz w:val="19"/>
              </w:rPr>
              <w:t>Named anatomical location label</w:t>
            </w:r>
          </w:p>
        </w:tc>
      </w:tr>
      <w:tr>
        <w:tc>
          <w:tcPr>
            <w:tcW w:type="dxa" w:w="3041"/>
          </w:tcPr>
          <w:p>
            <w:r>
              <w:rPr>
                <w:b w:val="0"/>
                <w:sz w:val="19"/>
              </w:rPr>
              <w:t>legSide</w:t>
            </w:r>
          </w:p>
        </w:tc>
        <w:tc>
          <w:tcPr>
            <w:tcW w:type="dxa" w:w="3041"/>
          </w:tcPr>
          <w:p>
            <w:r>
              <w:rPr>
                <w:b w:val="0"/>
                <w:sz w:val="19"/>
              </w:rPr>
              <w:t>Left / Right</w:t>
            </w:r>
          </w:p>
        </w:tc>
        <w:tc>
          <w:tcPr>
            <w:tcW w:type="dxa" w:w="3041"/>
          </w:tcPr>
          <w:p>
            <w:r>
              <w:rPr>
                <w:b w:val="0"/>
                <w:sz w:val="19"/>
              </w:rPr>
              <w:t>Which leg</w:t>
            </w:r>
          </w:p>
        </w:tc>
      </w:tr>
      <w:tr>
        <w:tc>
          <w:tcPr>
            <w:tcW w:type="dxa" w:w="3041"/>
          </w:tcPr>
          <w:p>
            <w:r>
              <w:rPr>
                <w:b w:val="0"/>
                <w:sz w:val="19"/>
              </w:rPr>
              <w:t>eliminationTest</w:t>
            </w:r>
          </w:p>
        </w:tc>
        <w:tc>
          <w:tcPr>
            <w:tcW w:type="dxa" w:w="3041"/>
          </w:tcPr>
          <w:p>
            <w:r>
              <w:rPr>
                <w:b w:val="0"/>
                <w:sz w:val="19"/>
              </w:rPr>
              <w:t>Reflux / No Reflux</w:t>
            </w:r>
          </w:p>
        </w:tc>
        <w:tc>
          <w:tcPr>
            <w:tcW w:type="dxa" w:w="3041"/>
          </w:tcPr>
          <w:p>
            <w:r>
              <w:rPr>
                <w:b w:val="0"/>
                <w:sz w:val="19"/>
              </w:rPr>
              <w:t>Result of compression test — resolves Type 3 vs 1+2 ambiguity</w:t>
            </w:r>
          </w:p>
        </w:tc>
      </w:tr>
    </w:tbl>
    <w:p/>
    <w:p>
      <w:pPr>
        <w:spacing w:after="80"/>
      </w:pPr>
      <w:r>
        <w:rPr>
          <w:b w:val="0"/>
          <w:color w:val="1A1A2E"/>
          <w:sz w:val="21"/>
        </w:rPr>
        <w:t>For example, the clip EP N1→N2 at posYRatio=0.08 means blood is flowing normally from the deep vein system into the GSV at a position near the groin (saphenofemoral junction, SFJ). A second clip RP N2→N1 at posYRatio=0.30 means there is reflux back from the GSV into the deep system at a mid-thigh level — together these describe a Type 1 shunt.</w:t>
      </w:r>
    </w:p>
    <w:p>
      <w:pPr>
        <w:pStyle w:val="Heading2"/>
        <w:spacing w:before="160" w:after="80"/>
      </w:pPr>
      <w:r>
        <w:rPr>
          <w:color w:val="007A87"/>
        </w:rPr>
        <w:t>1.3  Shunt Type Reference</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Shunt Type</w:t>
            </w:r>
          </w:p>
        </w:tc>
        <w:tc>
          <w:tcPr>
            <w:tcW w:type="dxa" w:w="3041"/>
            <w:shd w:fill="0D2B55" w:color="auto" w:val="clear"/>
          </w:tcPr>
          <w:p>
            <w:r>
              <w:rPr>
                <w:b/>
                <w:color w:val="FFFFFF"/>
                <w:sz w:val="19"/>
              </w:rPr>
              <w:t>Key Flow Pattern</w:t>
            </w:r>
          </w:p>
        </w:tc>
        <w:tc>
          <w:tcPr>
            <w:tcW w:type="dxa" w:w="3041"/>
            <w:shd w:fill="0D2B55" w:color="auto" w:val="clear"/>
          </w:tcPr>
          <w:p>
            <w:r>
              <w:rPr>
                <w:b/>
                <w:color w:val="FFFFFF"/>
                <w:sz w:val="19"/>
              </w:rPr>
              <w:t>Clinical Significance</w:t>
            </w:r>
          </w:p>
        </w:tc>
      </w:tr>
      <w:tr>
        <w:tc>
          <w:tcPr>
            <w:tcW w:type="dxa" w:w="3041"/>
          </w:tcPr>
          <w:p>
            <w:r>
              <w:rPr>
                <w:b w:val="0"/>
                <w:sz w:val="19"/>
              </w:rPr>
              <w:t>Type 1</w:t>
            </w:r>
          </w:p>
        </w:tc>
        <w:tc>
          <w:tcPr>
            <w:tcW w:type="dxa" w:w="3041"/>
          </w:tcPr>
          <w:p>
            <w:r>
              <w:rPr>
                <w:b w:val="0"/>
                <w:sz w:val="19"/>
              </w:rPr>
              <w:t>EP N1→N2 (SFJ incompetent) + RP N2→N1 only — no tributaries</w:t>
            </w:r>
          </w:p>
        </w:tc>
        <w:tc>
          <w:tcPr>
            <w:tcW w:type="dxa" w:w="3041"/>
          </w:tcPr>
          <w:p>
            <w:r>
              <w:rPr>
                <w:b w:val="0"/>
                <w:sz w:val="19"/>
              </w:rPr>
              <w:t>High SFJ ligation. Most straightforward.</w:t>
            </w:r>
          </w:p>
        </w:tc>
      </w:tr>
      <w:tr>
        <w:tc>
          <w:tcPr>
            <w:tcW w:type="dxa" w:w="3041"/>
          </w:tcPr>
          <w:p>
            <w:r>
              <w:rPr>
                <w:b w:val="0"/>
                <w:sz w:val="19"/>
              </w:rPr>
              <w:t>Type 2A</w:t>
            </w:r>
          </w:p>
        </w:tc>
        <w:tc>
          <w:tcPr>
            <w:tcW w:type="dxa" w:w="3041"/>
          </w:tcPr>
          <w:p>
            <w:r>
              <w:rPr>
                <w:b w:val="0"/>
                <w:sz w:val="19"/>
              </w:rPr>
              <w:t>EP N2→N3 (tributary reflux) — SFJ competent</w:t>
            </w:r>
          </w:p>
        </w:tc>
        <w:tc>
          <w:tcPr>
            <w:tcW w:type="dxa" w:w="3041"/>
          </w:tcPr>
          <w:p>
            <w:r>
              <w:rPr>
                <w:b w:val="0"/>
                <w:sz w:val="19"/>
              </w:rPr>
              <w:t>Ligate highest EP at N2→N3 junction. Preserve GSV.</w:t>
            </w:r>
          </w:p>
        </w:tc>
      </w:tr>
      <w:tr>
        <w:tc>
          <w:tcPr>
            <w:tcW w:type="dxa" w:w="3041"/>
          </w:tcPr>
          <w:p>
            <w:r>
              <w:rPr>
                <w:b w:val="0"/>
                <w:sz w:val="19"/>
              </w:rPr>
              <w:t>Type 2B</w:t>
            </w:r>
          </w:p>
        </w:tc>
        <w:tc>
          <w:tcPr>
            <w:tcW w:type="dxa" w:w="3041"/>
          </w:tcPr>
          <w:p>
            <w:r>
              <w:rPr>
                <w:b w:val="0"/>
                <w:sz w:val="19"/>
              </w:rPr>
              <w:t>EP N2→N2 (perforator) + RP N3, no RP N2→N1</w:t>
            </w:r>
          </w:p>
        </w:tc>
        <w:tc>
          <w:tcPr>
            <w:tcW w:type="dxa" w:w="3041"/>
          </w:tcPr>
          <w:p>
            <w:r>
              <w:rPr>
                <w:b w:val="0"/>
                <w:sz w:val="19"/>
              </w:rPr>
              <w:t>Ligate perforator away from entry into GSV.</w:t>
            </w:r>
          </w:p>
        </w:tc>
      </w:tr>
      <w:tr>
        <w:tc>
          <w:tcPr>
            <w:tcW w:type="dxa" w:w="3041"/>
          </w:tcPr>
          <w:p>
            <w:r>
              <w:rPr>
                <w:b w:val="0"/>
                <w:sz w:val="19"/>
              </w:rPr>
              <w:t>Type 2C</w:t>
            </w:r>
          </w:p>
        </w:tc>
        <w:tc>
          <w:tcPr>
            <w:tcW w:type="dxa" w:w="3041"/>
          </w:tcPr>
          <w:p>
            <w:r>
              <w:rPr>
                <w:b w:val="0"/>
                <w:sz w:val="19"/>
              </w:rPr>
              <w:t>EP N2→N2 (perforator) + RP N3 + RP N2→N1</w:t>
            </w:r>
          </w:p>
        </w:tc>
        <w:tc>
          <w:tcPr>
            <w:tcW w:type="dxa" w:w="3041"/>
          </w:tcPr>
          <w:p>
            <w:r>
              <w:rPr>
                <w:b w:val="0"/>
                <w:sz w:val="19"/>
              </w:rPr>
              <w:t>Perforator ligation + possible SFJ ligation.</w:t>
            </w:r>
          </w:p>
        </w:tc>
      </w:tr>
      <w:tr>
        <w:tc>
          <w:tcPr>
            <w:tcW w:type="dxa" w:w="3041"/>
          </w:tcPr>
          <w:p>
            <w:r>
              <w:rPr>
                <w:b w:val="0"/>
                <w:sz w:val="19"/>
              </w:rPr>
              <w:t>Type 3</w:t>
            </w:r>
          </w:p>
        </w:tc>
        <w:tc>
          <w:tcPr>
            <w:tcW w:type="dxa" w:w="3041"/>
          </w:tcPr>
          <w:p>
            <w:r>
              <w:rPr>
                <w:b w:val="0"/>
                <w:sz w:val="19"/>
              </w:rPr>
              <w:t>EP N1→N2 + EP N2→N3 + RP N3→N2 + RP N2→N1 — closed loop</w:t>
            </w:r>
          </w:p>
        </w:tc>
        <w:tc>
          <w:tcPr>
            <w:tcW w:type="dxa" w:w="3041"/>
          </w:tcPr>
          <w:p>
            <w:r>
              <w:rPr>
                <w:b w:val="0"/>
                <w:sz w:val="19"/>
              </w:rPr>
              <w:t>Staged CHIVA 2: ligate tributaries first, reassess SFJ.</w:t>
            </w:r>
          </w:p>
        </w:tc>
      </w:tr>
      <w:tr>
        <w:tc>
          <w:tcPr>
            <w:tcW w:type="dxa" w:w="3041"/>
          </w:tcPr>
          <w:p>
            <w:r>
              <w:rPr>
                <w:b w:val="0"/>
                <w:sz w:val="19"/>
              </w:rPr>
              <w:t>Type 1+2</w:t>
            </w:r>
          </w:p>
        </w:tc>
        <w:tc>
          <w:tcPr>
            <w:tcW w:type="dxa" w:w="3041"/>
          </w:tcPr>
          <w:p>
            <w:r>
              <w:rPr>
                <w:b w:val="0"/>
                <w:sz w:val="19"/>
              </w:rPr>
              <w:t>EP N1→N2 + EP N2→N3 + RP N3→N1 — tributary feeds deep</w:t>
            </w:r>
          </w:p>
        </w:tc>
        <w:tc>
          <w:tcPr>
            <w:tcW w:type="dxa" w:w="3041"/>
          </w:tcPr>
          <w:p>
            <w:r>
              <w:rPr>
                <w:b w:val="0"/>
                <w:sz w:val="19"/>
              </w:rPr>
              <w:t>Dual ligation: SFJ + tributary. Elimination test distinguishes from Type 3.</w:t>
            </w:r>
          </w:p>
        </w:tc>
      </w:tr>
      <w:tr>
        <w:tc>
          <w:tcPr>
            <w:tcW w:type="dxa" w:w="3041"/>
          </w:tcPr>
          <w:p>
            <w:r>
              <w:rPr>
                <w:b w:val="0"/>
                <w:sz w:val="19"/>
              </w:rPr>
              <w:t>No Shunt</w:t>
            </w:r>
          </w:p>
        </w:tc>
        <w:tc>
          <w:tcPr>
            <w:tcW w:type="dxa" w:w="3041"/>
          </w:tcPr>
          <w:p>
            <w:r>
              <w:rPr>
                <w:b w:val="0"/>
                <w:sz w:val="19"/>
              </w:rPr>
              <w:t>Normal flow throughout</w:t>
            </w:r>
          </w:p>
        </w:tc>
        <w:tc>
          <w:tcPr>
            <w:tcW w:type="dxa" w:w="3041"/>
          </w:tcPr>
          <w:p>
            <w:r>
              <w:rPr>
                <w:b w:val="0"/>
                <w:sz w:val="19"/>
              </w:rPr>
              <w:t>No intervention required.</w:t>
            </w:r>
          </w:p>
        </w:tc>
      </w:tr>
    </w:tbl>
    <w:p/>
    <w:p>
      <w:pPr>
        <w:pStyle w:val="Heading1"/>
        <w:spacing w:before="280" w:after="80"/>
      </w:pPr>
      <w:r>
        <w:rPr>
          <w:color w:val="0D2B55"/>
        </w:rPr>
        <w:t>2. System Architecture Overview</w:t>
      </w:r>
    </w:p>
    <w:p>
      <w:pPr>
        <w:spacing w:before="80" w:after="80"/>
        <w:pBdr>
          <w:bottom w:val="single" w:sz="4" w:space="1" w:color="007A87"/>
        </w:pBdr>
      </w:pPr>
    </w:p>
    <w:p>
      <w:pPr>
        <w:spacing w:after="80"/>
      </w:pPr>
      <w:r>
        <w:rPr>
          <w:b w:val="0"/>
          <w:color w:val="1A1A2E"/>
          <w:sz w:val="21"/>
        </w:rPr>
        <w:t>The production Task-1 application (Task_1_App/) is a Flask REST API (port 7860) with a single-page browser front-end. The full request pipeline operates in two logical stages:</w:t>
      </w:r>
    </w:p>
    <w:p>
      <w:pPr>
        <w:pStyle w:val="Heading2"/>
        <w:spacing w:before="160" w:after="80"/>
      </w:pPr>
      <w:r>
        <w:rPr>
          <w:color w:val="007A87"/>
        </w:rPr>
        <w:t>Stage 1 — Natural Language Interpretation (nl_interpreter.py)</w:t>
      </w:r>
    </w:p>
    <w:p>
      <w:pPr>
        <w:spacing w:after="80"/>
      </w:pPr>
      <w:r>
        <w:rPr>
          <w:b w:val="0"/>
          <w:color w:val="1A1A2E"/>
          <w:sz w:val="21"/>
        </w:rPr>
        <w:t>The surgeon types a plain-English description of what they observed on ultrasound (e.g., 'There is reflux at the saphenofemoral junction and the GSV refluxes into a tributary in the calf'). The interpreter runs two sub-steps:</w:t>
      </w:r>
    </w:p>
    <w:p>
      <w:pPr>
        <w:pStyle w:val="ListBullet"/>
        <w:spacing w:after="40"/>
        <w:ind w:left="454"/>
      </w:pPr>
      <w:r>
        <w:rPr>
          <w:color w:val="1A1A2E"/>
          <w:sz w:val="21"/>
        </w:rPr>
        <w:t>Sufficiency Gate: A gating prompt checks whether the description contains enough information to produce a valid CHIVA clip set. If not, the system asks a targeted follow-up question.</w:t>
      </w:r>
    </w:p>
    <w:p>
      <w:pPr>
        <w:pStyle w:val="ListBullet"/>
        <w:spacing w:after="40"/>
        <w:ind w:left="454"/>
      </w:pPr>
      <w:r>
        <w:rPr>
          <w:color w:val="1A1A2E"/>
          <w:sz w:val="21"/>
        </w:rPr>
        <w:t>NL-to-CHIVA Translation: If the sufficiency check passes, the full interpretation prompt converts the description to a structured JSON list of clips, enforcing four Critical Rules to prevent common LLM errors (see Section 3.2).</w:t>
      </w:r>
    </w:p>
    <w:p>
      <w:pPr>
        <w:pStyle w:val="Heading2"/>
        <w:spacing w:before="160" w:after="80"/>
      </w:pPr>
      <w:r>
        <w:rPr>
          <w:color w:val="007A87"/>
        </w:rPr>
        <w:t>Stage 2 — Classification &amp; Ligation Planning (shunt_classification_and_ligation_llm.py)</w:t>
      </w:r>
    </w:p>
    <w:p>
      <w:pPr>
        <w:spacing w:after="80"/>
      </w:pPr>
      <w:r>
        <w:rPr>
          <w:b w:val="0"/>
          <w:color w:val="1A1A2E"/>
          <w:sz w:val="21"/>
        </w:rPr>
        <w:t>The clips are passed to the classification module, which operates in two sub-tasks:</w:t>
      </w:r>
    </w:p>
    <w:p>
      <w:pPr>
        <w:pStyle w:val="ListBullet"/>
        <w:spacing w:after="40"/>
        <w:ind w:left="454"/>
      </w:pPr>
      <w:r>
        <w:rPr>
          <w:color w:val="1A1A2E"/>
          <w:sz w:val="21"/>
        </w:rPr>
        <w:t>Shunt Classification (NO RAG): A large prompt containing the complete CHIVA decision tree is sent to the LLM together with the clips. The LLM applies the embedded rules deterministically to produce a shunt type, confidence score (0–1), and reasoning paragraph.</w:t>
      </w:r>
    </w:p>
    <w:p>
      <w:pPr>
        <w:pStyle w:val="ListBullet"/>
        <w:spacing w:after="40"/>
        <w:ind w:left="454"/>
      </w:pPr>
      <w:r>
        <w:rPr>
          <w:color w:val="1A1A2E"/>
          <w:sz w:val="21"/>
        </w:rPr>
        <w:t>Ligation Planning (WITH RAG): The classified shunt type is used as a query to retrieve relevant passages from the ligation knowledge base (Qdrant vector DB), and those passages are injected into the ligation planning prompt.</w:t>
      </w:r>
    </w:p>
    <w:p>
      <w:pPr>
        <w:pStyle w:val="Heading2"/>
        <w:spacing w:before="160" w:after="80"/>
      </w:pPr>
      <w:r>
        <w:rPr>
          <w:color w:val="007A87"/>
        </w:rPr>
        <w:t>2.1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Purpose</w:t>
            </w:r>
          </w:p>
        </w:tc>
      </w:tr>
      <w:tr>
        <w:tc>
          <w:tcPr>
            <w:tcW w:type="dxa" w:w="3041"/>
          </w:tcPr>
          <w:p>
            <w:r>
              <w:rPr>
                <w:b w:val="0"/>
                <w:sz w:val="19"/>
              </w:rPr>
              <w:t>LLM API</w:t>
            </w:r>
          </w:p>
        </w:tc>
        <w:tc>
          <w:tcPr>
            <w:tcW w:type="dxa" w:w="3041"/>
          </w:tcPr>
          <w:p>
            <w:r>
              <w:rPr>
                <w:b w:val="0"/>
                <w:sz w:val="19"/>
              </w:rPr>
              <w:t>Groq — llama-3.3-70b-versatile</w:t>
            </w:r>
          </w:p>
        </w:tc>
        <w:tc>
          <w:tcPr>
            <w:tcW w:type="dxa" w:w="3041"/>
          </w:tcPr>
          <w:p>
            <w:r>
              <w:rPr>
                <w:b w:val="0"/>
                <w:sz w:val="19"/>
              </w:rPr>
              <w:t>Primary inference; temperature=0.3, max_tokens=1536</w:t>
            </w:r>
          </w:p>
        </w:tc>
      </w:tr>
      <w:tr>
        <w:tc>
          <w:tcPr>
            <w:tcW w:type="dxa" w:w="3041"/>
          </w:tcPr>
          <w:p>
            <w:r>
              <w:rPr>
                <w:b w:val="0"/>
                <w:sz w:val="19"/>
              </w:rPr>
              <w:t>Embeddings</w:t>
            </w:r>
          </w:p>
        </w:tc>
        <w:tc>
          <w:tcPr>
            <w:tcW w:type="dxa" w:w="3041"/>
          </w:tcPr>
          <w:p>
            <w:r>
              <w:rPr>
                <w:b w:val="0"/>
                <w:sz w:val="19"/>
              </w:rPr>
              <w:t>Ollama — nomic-embed-text (768-dim)</w:t>
            </w:r>
          </w:p>
        </w:tc>
        <w:tc>
          <w:tcPr>
            <w:tcW w:type="dxa" w:w="3041"/>
          </w:tcPr>
          <w:p>
            <w:r>
              <w:rPr>
                <w:b w:val="0"/>
                <w:sz w:val="19"/>
              </w:rPr>
              <w:t>Local embedding for vector search</w:t>
            </w:r>
          </w:p>
        </w:tc>
      </w:tr>
      <w:tr>
        <w:tc>
          <w:tcPr>
            <w:tcW w:type="dxa" w:w="3041"/>
          </w:tcPr>
          <w:p>
            <w:r>
              <w:rPr>
                <w:b w:val="0"/>
                <w:sz w:val="19"/>
              </w:rPr>
              <w:t>Vector DB</w:t>
            </w:r>
          </w:p>
        </w:tc>
        <w:tc>
          <w:tcPr>
            <w:tcW w:type="dxa" w:w="3041"/>
          </w:tcPr>
          <w:p>
            <w:r>
              <w:rPr>
                <w:b w:val="0"/>
                <w:sz w:val="19"/>
              </w:rPr>
              <w:t>Qdrant (local, pre-built)</w:t>
            </w:r>
          </w:p>
        </w:tc>
        <w:tc>
          <w:tcPr>
            <w:tcW w:type="dxa" w:w="3041"/>
          </w:tcPr>
          <w:p>
            <w:r>
              <w:rPr>
                <w:b w:val="0"/>
                <w:sz w:val="19"/>
              </w:rPr>
              <w:t>Stores ligation knowledge chunks</w:t>
            </w:r>
          </w:p>
        </w:tc>
      </w:tr>
      <w:tr>
        <w:tc>
          <w:tcPr>
            <w:tcW w:type="dxa" w:w="3041"/>
          </w:tcPr>
          <w:p>
            <w:r>
              <w:rPr>
                <w:b w:val="0"/>
                <w:sz w:val="19"/>
              </w:rPr>
              <w:t>Keyword Search</w:t>
            </w:r>
          </w:p>
        </w:tc>
        <w:tc>
          <w:tcPr>
            <w:tcW w:type="dxa" w:w="3041"/>
          </w:tcPr>
          <w:p>
            <w:r>
              <w:rPr>
                <w:b w:val="0"/>
                <w:sz w:val="19"/>
              </w:rPr>
              <w:t>BM25Okapi (rank_bm25)</w:t>
            </w:r>
          </w:p>
        </w:tc>
        <w:tc>
          <w:tcPr>
            <w:tcW w:type="dxa" w:w="3041"/>
          </w:tcPr>
          <w:p>
            <w:r>
              <w:rPr>
                <w:b w:val="0"/>
                <w:sz w:val="19"/>
              </w:rPr>
              <w:t>Lexical complement to vector search</w:t>
            </w:r>
          </w:p>
        </w:tc>
      </w:tr>
      <w:tr>
        <w:tc>
          <w:tcPr>
            <w:tcW w:type="dxa" w:w="3041"/>
          </w:tcPr>
          <w:p>
            <w:r>
              <w:rPr>
                <w:b w:val="0"/>
                <w:sz w:val="19"/>
              </w:rPr>
              <w:t>Reranker</w:t>
            </w:r>
          </w:p>
        </w:tc>
        <w:tc>
          <w:tcPr>
            <w:tcW w:type="dxa" w:w="3041"/>
          </w:tcPr>
          <w:p>
            <w:r>
              <w:rPr>
                <w:b w:val="0"/>
                <w:sz w:val="19"/>
              </w:rPr>
              <w:t>cross-encoder/ms-marco-MiniLM-L-6-v2</w:t>
            </w:r>
          </w:p>
        </w:tc>
        <w:tc>
          <w:tcPr>
            <w:tcW w:type="dxa" w:w="3041"/>
          </w:tcPr>
          <w:p>
            <w:r>
              <w:rPr>
                <w:b w:val="0"/>
                <w:sz w:val="19"/>
              </w:rPr>
              <w:t>Scores query-document relevance post-retrieval</w:t>
            </w:r>
          </w:p>
        </w:tc>
      </w:tr>
      <w:tr>
        <w:tc>
          <w:tcPr>
            <w:tcW w:type="dxa" w:w="3041"/>
          </w:tcPr>
          <w:p>
            <w:r>
              <w:rPr>
                <w:b w:val="0"/>
                <w:sz w:val="19"/>
              </w:rPr>
              <w:t>Agent Framework</w:t>
            </w:r>
          </w:p>
        </w:tc>
        <w:tc>
          <w:tcPr>
            <w:tcW w:type="dxa" w:w="3041"/>
          </w:tcPr>
          <w:p>
            <w:r>
              <w:rPr>
                <w:b w:val="0"/>
                <w:sz w:val="19"/>
              </w:rPr>
              <w:t>CrewAI</w:t>
            </w:r>
          </w:p>
        </w:tc>
        <w:tc>
          <w:tcPr>
            <w:tcW w:type="dxa" w:w="3041"/>
          </w:tcPr>
          <w:p>
            <w:r>
              <w:rPr>
                <w:b w:val="0"/>
                <w:sz w:val="19"/>
              </w:rPr>
              <w:t>Orchestrates multi-agent tasks</w:t>
            </w:r>
          </w:p>
        </w:tc>
      </w:tr>
      <w:tr>
        <w:tc>
          <w:tcPr>
            <w:tcW w:type="dxa" w:w="3041"/>
          </w:tcPr>
          <w:p>
            <w:r>
              <w:rPr>
                <w:b w:val="0"/>
                <w:sz w:val="19"/>
              </w:rPr>
              <w:t>Backend</w:t>
            </w:r>
          </w:p>
        </w:tc>
        <w:tc>
          <w:tcPr>
            <w:tcW w:type="dxa" w:w="3041"/>
          </w:tcPr>
          <w:p>
            <w:r>
              <w:rPr>
                <w:b w:val="0"/>
                <w:sz w:val="19"/>
              </w:rPr>
              <w:t>Flask (Python 3.10+)</w:t>
            </w:r>
          </w:p>
        </w:tc>
        <w:tc>
          <w:tcPr>
            <w:tcW w:type="dxa" w:w="3041"/>
          </w:tcPr>
          <w:p>
            <w:r>
              <w:rPr>
                <w:b w:val="0"/>
                <w:sz w:val="19"/>
              </w:rPr>
              <w:t>REST API, port 7860</w:t>
            </w:r>
          </w:p>
        </w:tc>
      </w:tr>
      <w:tr>
        <w:tc>
          <w:tcPr>
            <w:tcW w:type="dxa" w:w="3041"/>
          </w:tcPr>
          <w:p>
            <w:r>
              <w:rPr>
                <w:b w:val="0"/>
                <w:sz w:val="19"/>
              </w:rPr>
              <w:t>Database</w:t>
            </w:r>
          </w:p>
        </w:tc>
        <w:tc>
          <w:tcPr>
            <w:tcW w:type="dxa" w:w="3041"/>
          </w:tcPr>
          <w:p>
            <w:r>
              <w:rPr>
                <w:b w:val="0"/>
                <w:sz w:val="19"/>
              </w:rPr>
              <w:t>SQLite (chat_history.db)</w:t>
            </w:r>
          </w:p>
        </w:tc>
        <w:tc>
          <w:tcPr>
            <w:tcW w:type="dxa" w:w="3041"/>
          </w:tcPr>
          <w:p>
            <w:r>
              <w:rPr>
                <w:b w:val="0"/>
                <w:sz w:val="19"/>
              </w:rPr>
              <w:t>Stores sessions, messages, feedback</w:t>
            </w:r>
          </w:p>
        </w:tc>
      </w:tr>
      <w:tr>
        <w:tc>
          <w:tcPr>
            <w:tcW w:type="dxa" w:w="3041"/>
          </w:tcPr>
          <w:p>
            <w:r>
              <w:rPr>
                <w:b w:val="0"/>
                <w:sz w:val="19"/>
              </w:rPr>
              <w:t>Front-end</w:t>
            </w:r>
          </w:p>
        </w:tc>
        <w:tc>
          <w:tcPr>
            <w:tcW w:type="dxa" w:w="3041"/>
          </w:tcPr>
          <w:p>
            <w:r>
              <w:rPr>
                <w:b w:val="0"/>
                <w:sz w:val="19"/>
              </w:rPr>
              <w:t>Single HTML file (no build step)</w:t>
            </w:r>
          </w:p>
        </w:tc>
        <w:tc>
          <w:tcPr>
            <w:tcW w:type="dxa" w:w="3041"/>
          </w:tcPr>
          <w:p>
            <w:r>
              <w:rPr>
                <w:b w:val="0"/>
                <w:sz w:val="19"/>
              </w:rPr>
              <w:t>Conversational clinical UI</w:t>
            </w:r>
          </w:p>
        </w:tc>
      </w:tr>
    </w:tbl>
    <w:p/>
    <w:p>
      <w:pPr>
        <w:pStyle w:val="Heading2"/>
      </w:pPr>
      <w:r>
        <w:t>2.2  Dual Input Modes — NLP and RAW</w:t>
      </w:r>
    </w:p>
    <w:p>
      <w:r>
        <w:t>The architecture described above (Stage 1 → Stage 2) reflects the system's natural-language entry point, which is how surgeons interact with the application directly. The system was originally built around a different, structured input format — a JSON array of CHIVA clips captured directly from the ultrasound assessment tool (flow, fromType, toType, posYRatio, legSide, and related fields) — before the natural-language interpretation layer (Stage 1) was added for direct surgeon-facing use. Because Stage 2 (classification and ligation planning) operates on a clip list regardless of its origin, both entry formats were retained and exposed behind an explicit mode switch rather than deprecating the original format:</w:t>
      </w:r>
    </w:p>
    <w:p>
      <w:pPr>
        <w:pStyle w:val="ListBullet"/>
      </w:pPr>
      <w:r>
        <w:t>NLP mode (default) — free-text input runs the full Stage 1 → Stage 2 pipeline described above.</w:t>
      </w:r>
    </w:p>
    <w:p>
      <w:pPr>
        <w:pStyle w:val="ListBullet"/>
      </w:pPr>
      <w:r>
        <w:t>RAW mode — a pre-structured clip JSON array is submitted directly, bypassing Stage 1 entirely and going straight into Stage 2's classification and ligation planning.</w:t>
      </w:r>
    </w:p>
    <w:p>
      <w:r>
        <w:t>This design choice was made so that other systems or future integrations that already emit structured clip data (rather than prose) do not need to be routed through the natural-language layer at all, avoiding an unnecessary and lossy JSON-to-text-to-JSON round trip.</w:t>
      </w:r>
    </w:p>
    <w:p>
      <w:pPr>
        <w:pStyle w:val="Heading1"/>
        <w:spacing w:before="280" w:after="80"/>
      </w:pPr>
      <w:r>
        <w:rPr>
          <w:color w:val="0D2B55"/>
        </w:rPr>
        <w:t>3. Natural Language Interpretation Pipeline</w:t>
      </w:r>
    </w:p>
    <w:p>
      <w:pPr>
        <w:spacing w:before="80" w:after="80"/>
        <w:pBdr>
          <w:bottom w:val="single" w:sz="4" w:space="1" w:color="007A87"/>
        </w:pBdr>
      </w:pPr>
    </w:p>
    <w:p>
      <w:pPr>
        <w:spacing w:after="80"/>
      </w:pPr>
      <w:r>
        <w:rPr>
          <w:b w:val="0"/>
          <w:color w:val="1A1A2E"/>
          <w:sz w:val="21"/>
        </w:rPr>
        <w:t>Converting a surgeon's free-text ultrasound description to a precise, machine-readable CHIVA clip set turned out to be the hardest part of the problem. Early experiments showed that even a capable 70B-parameter model frequently hallucinated clips that were not mentioned, confused N1→N2 flow (at the SFJ) with N2→N2 flow (through a perforator), and fabricated eliminationTest values. To address this, a two-stage interpretation architecture with hard-coded Critical Rules was introduced.</w:t>
      </w:r>
    </w:p>
    <w:p>
      <w:pPr>
        <w:pStyle w:val="Heading2"/>
        <w:spacing w:before="160" w:after="80"/>
      </w:pPr>
      <w:r>
        <w:rPr>
          <w:color w:val="007A87"/>
        </w:rPr>
        <w:t>3.1  Two-Stage Validation</w:t>
      </w:r>
    </w:p>
    <w:p>
      <w:pPr>
        <w:spacing w:after="80"/>
      </w:pPr>
      <w:r>
        <w:rPr>
          <w:b/>
          <w:color w:val="1A1A2E"/>
          <w:sz w:val="21"/>
        </w:rPr>
        <w:t>Stage A — Sufficiency Check:</w:t>
      </w:r>
    </w:p>
    <w:p>
      <w:pPr>
        <w:spacing w:after="80"/>
        <w:ind w:left="454"/>
      </w:pPr>
      <w:r>
        <w:rPr>
          <w:b w:val="0"/>
          <w:color w:val="1A1A2E"/>
          <w:sz w:val="21"/>
        </w:rPr>
        <w:t>Before spending tokens on full interpretation, a lightweight prompt asks: 'Does this description provide enough information to generate CHIVA clips?' The prompt lists what must be present (flow direction, compartments, position) and what triggers a follow-up question. This avoids partial or wrong clip sets from vague inputs.</w:t>
      </w:r>
    </w:p>
    <w:p>
      <w:pPr>
        <w:spacing w:after="80"/>
      </w:pPr>
      <w:r>
        <w:rPr>
          <w:b/>
          <w:color w:val="1A1A2E"/>
          <w:sz w:val="21"/>
        </w:rPr>
        <w:t>Stage B — Full Interpretation:</w:t>
      </w:r>
    </w:p>
    <w:p>
      <w:pPr>
        <w:spacing w:after="80"/>
        <w:ind w:left="454"/>
      </w:pPr>
      <w:r>
        <w:rPr>
          <w:b w:val="0"/>
          <w:color w:val="1A1A2E"/>
          <w:sz w:val="21"/>
        </w:rPr>
        <w:t>Only run when Stage A passes. The prompt contains the full anatomical reference, all flow definitions, and four Critical Rules. It outputs a JSON clip array.</w:t>
      </w:r>
    </w:p>
    <w:p>
      <w:pPr>
        <w:pStyle w:val="Heading2"/>
        <w:spacing w:before="160" w:after="80"/>
      </w:pPr>
      <w:r>
        <w:rPr>
          <w:color w:val="007A87"/>
        </w:rPr>
        <w:t>3.2  Critical Rules (Hard-coded LLM Constraints)</w:t>
      </w:r>
    </w:p>
    <w:p>
      <w:pPr>
        <w:spacing w:after="80"/>
      </w:pPr>
      <w:r>
        <w:rPr>
          <w:b w:val="0"/>
          <w:color w:val="1A1A2E"/>
          <w:sz w:val="21"/>
        </w:rPr>
        <w:t>These rules were discovered through testing — each one addresses a real failure mode observed during development:</w:t>
      </w:r>
    </w:p>
    <w:p>
      <w:pPr>
        <w:pStyle w:val="ListNumber"/>
        <w:spacing w:after="40"/>
      </w:pPr>
      <w:r>
        <w:rPr>
          <w:color w:val="1A1A2E"/>
          <w:sz w:val="21"/>
        </w:rPr>
        <w:t>CRITICAL RULE 1 — SFJ vs Perforator Disambiguation: Never generate EP N1→N2 when the surgeon describes a perforator. If the blood enters N2 from a perforator (N2→N2 flow), that is an EP N2→N2, not EP N1→N2. This prevents the most common misclassification (confusing Type 2A/2B with Type 1).</w:t>
      </w:r>
    </w:p>
    <w:p>
      <w:pPr>
        <w:pStyle w:val="ListNumber"/>
        <w:spacing w:after="40"/>
      </w:pPr>
      <w:r>
        <w:rPr>
          <w:color w:val="1A1A2E"/>
          <w:sz w:val="21"/>
        </w:rPr>
        <w:t>CRITICAL RULE 2 — RP Hallucination Prevention: Never add an RP clip unless the surgeon explicitly mentions retrograde flow, reflux, or backward movement at that location. Early models would 'complete the pattern' by adding RP clips that were never observed.</w:t>
      </w:r>
    </w:p>
    <w:p>
      <w:pPr>
        <w:pStyle w:val="ListNumber"/>
        <w:spacing w:after="40"/>
      </w:pPr>
      <w:r>
        <w:rPr>
          <w:color w:val="1A1A2E"/>
          <w:sz w:val="21"/>
        </w:rPr>
        <w:t>CRITICAL RULE 2B — EliminationTest Gating: The eliminationTest field must only be set if the surgeon explicitly described a compression test result. Do not infer or assume it.</w:t>
      </w:r>
    </w:p>
    <w:p>
      <w:pPr>
        <w:pStyle w:val="ListNumber"/>
        <w:spacing w:after="40"/>
      </w:pPr>
      <w:r>
        <w:rPr>
          <w:color w:val="1A1A2E"/>
          <w:sz w:val="21"/>
        </w:rPr>
        <w:t>CRITICAL RULE 2C — GSV Conduit Suppression (Type 3): When the GSV acts as a conduit (Type 3 pattern), do not generate RP N2→N1 unless explicitly mentioned. This prevents the model from upgrading a Type 3 to a Type 1+2 incorrectly.</w:t>
      </w:r>
    </w:p>
    <w:p>
      <w:pPr>
        <w:spacing w:after="80"/>
      </w:pPr>
      <w:r>
        <w:rPr>
          <w:b w:val="0"/>
          <w:color w:val="1A1A2E"/>
          <w:sz w:val="21"/>
        </w:rPr>
        <w:t>These rules are injected as explicit negative constraints inside the prompt, not as post-processing filters. This keeps the model's reasoning honest throughout generation rather than correcting errors after the fact.</w:t>
      </w:r>
    </w:p>
    <w:p>
      <w:pPr>
        <w:pStyle w:val="Heading2"/>
        <w:spacing w:before="160" w:after="80"/>
      </w:pPr>
      <w:r>
        <w:rPr>
          <w:color w:val="007A87"/>
        </w:rPr>
        <w:t>3.3  Follow-up Conversation</w:t>
      </w:r>
    </w:p>
    <w:p>
      <w:pPr>
        <w:spacing w:after="80"/>
      </w:pPr>
      <w:r>
        <w:rPr>
          <w:b w:val="0"/>
          <w:color w:val="1A1A2E"/>
          <w:sz w:val="21"/>
        </w:rPr>
        <w:t>After an analysis is complete, the session transitions to a conversational mode. The surgeon can ask follow-up questions ('Why is this Type 3 and not Type 1+2?', 'What happens if the elimination test is positive?') and the system answers in context of the previously generated clips and classification, rather than starting a new analysis.</w:t>
      </w:r>
    </w:p>
    <w:p/>
    <w:p>
      <w:pPr>
        <w:pStyle w:val="Heading2"/>
      </w:pPr>
      <w:r>
        <w:t>3.4  Mode Switch — Bypassing NL Interpretation for Pre-Structured Input</w:t>
      </w:r>
    </w:p>
    <w:p>
      <w:r>
        <w:t>A request-level mode field determines whether Stage 1 (this section) runs at all. The switch is implemented as an explicit per-request parameter rather than a global server setting, so a single deployment can serve both NLP and RAW callers simultaneously:</w:t>
      </w:r>
    </w:p>
    <w:p>
      <w:pPr>
        <w:pStyle w:val="ListBullet"/>
      </w:pPr>
      <w:r>
        <w:t>mode = "NLP" (default) — payload is {"message": "&lt;free text&gt;"}. Runs the sufficiency gate and NL-to-CHIVA translation (Sections 3.1–3.2) before classification.</w:t>
      </w:r>
    </w:p>
    <w:p>
      <w:pPr>
        <w:pStyle w:val="ListBullet"/>
      </w:pPr>
      <w:r>
        <w:t>mode = "RAW" — payload is {"clips": [...]} in the original clip-array format. Skips Stage 1 entirely; the submitted clips are validated and passed straight into Stage 2 (Section 4).</w:t>
      </w:r>
    </w:p>
    <w:p>
      <w:r>
        <w:t>Both modes converge on the same classify_and_plan_ligation_with_llm function, so a RAW-mode submission and an NLP-mode submission that resolve to the same clip set produce identical classification and ligation output — the mode only controls whether the NL-to-clips translation step executes.</w:t>
      </w:r>
    </w:p>
    <w:p>
      <w:r>
        <w:t>The mode switch was validated end-to-end against real sample clip data (the same format used by the original assessment tool, predating the NL interpretation layer): a two-clip Type 1 case (EP N1→N2 at the SFJ, RP N2→N1) submitted directly in RAW mode was correctly classified as Type 1 with 0.96 confidence, with a ligation plan matching the ground-truth annotation already recorded for that sample — confirming that Stage 2 behaves identically regardless of which mode produced its input.</w:t>
      </w:r>
    </w:p>
    <w:p>
      <w:pPr>
        <w:pStyle w:val="Heading1"/>
        <w:spacing w:before="280" w:after="80"/>
      </w:pPr>
      <w:r>
        <w:rPr>
          <w:color w:val="0D2B55"/>
        </w:rPr>
        <w:t>4. Shunt Classification — Rules-Embedded LLM (No RAG)</w:t>
      </w:r>
    </w:p>
    <w:p>
      <w:pPr>
        <w:spacing w:before="80" w:after="80"/>
        <w:pBdr>
          <w:bottom w:val="single" w:sz="4" w:space="1" w:color="007A87"/>
        </w:pBdr>
      </w:pPr>
    </w:p>
    <w:p>
      <w:pPr>
        <w:pStyle w:val="Heading2"/>
        <w:spacing w:before="160" w:after="80"/>
      </w:pPr>
      <w:r>
        <w:rPr>
          <w:color w:val="007A87"/>
        </w:rPr>
        <w:t>4.1  Design Decision: Why No RAG for Classification?</w:t>
      </w:r>
    </w:p>
    <w:p>
      <w:pPr>
        <w:spacing w:after="80"/>
      </w:pPr>
      <w:r>
        <w:rPr>
          <w:b w:val="0"/>
          <w:color w:val="1A1A2E"/>
          <w:sz w:val="21"/>
        </w:rPr>
        <w:t>A key design decision was to NOT use RAG for the classification step. The reasoning:</w:t>
      </w:r>
    </w:p>
    <w:p>
      <w:pPr>
        <w:pStyle w:val="ListBullet"/>
        <w:spacing w:after="40"/>
        <w:ind w:left="454"/>
      </w:pPr>
      <w:r>
        <w:rPr>
          <w:color w:val="1A1A2E"/>
          <w:sz w:val="21"/>
        </w:rPr>
        <w:t>CHIVA classification is a formal decision procedure, not open-ended knowledge retrieval. The rules are finite, well-defined, and can be fully embedded in a prompt.</w:t>
      </w:r>
    </w:p>
    <w:p>
      <w:pPr>
        <w:pStyle w:val="ListBullet"/>
        <w:spacing w:after="40"/>
        <w:ind w:left="454"/>
      </w:pPr>
      <w:r>
        <w:rPr>
          <w:color w:val="1A1A2E"/>
          <w:sz w:val="21"/>
        </w:rPr>
        <w:t>RAG introduces retrieval noise — a retrieved chunk about Type 1 ligation could contaminate a Type 2 classification decision.</w:t>
      </w:r>
    </w:p>
    <w:p>
      <w:pPr>
        <w:pStyle w:val="ListBullet"/>
        <w:spacing w:after="40"/>
        <w:ind w:left="454"/>
      </w:pPr>
      <w:r>
        <w:rPr>
          <w:color w:val="1A1A2E"/>
          <w:sz w:val="21"/>
        </w:rPr>
        <w:t>Embedding all rules in the prompt gives the LLM a complete, consistent decision tree at every call, making results reproducible and auditable.</w:t>
      </w:r>
    </w:p>
    <w:p>
      <w:pPr>
        <w:pStyle w:val="Heading2"/>
        <w:spacing w:before="160" w:after="80"/>
      </w:pPr>
      <w:r>
        <w:rPr>
          <w:color w:val="007A87"/>
        </w:rPr>
        <w:t>4.2  Embedded Decision Tree</w:t>
      </w:r>
    </w:p>
    <w:p>
      <w:pPr>
        <w:spacing w:after="80"/>
      </w:pPr>
      <w:r>
        <w:rPr>
          <w:b w:val="0"/>
          <w:color w:val="1A1A2E"/>
          <w:sz w:val="21"/>
        </w:rPr>
        <w:t>The classification prompt embeds the following decision logic (over 300 lines of rules):</w:t>
      </w:r>
    </w:p>
    <w:p>
      <w:pPr>
        <w:spacing w:after="80"/>
      </w:pPr>
      <w:r>
        <w:rPr>
          <w:b/>
          <w:color w:val="1A1A2E"/>
          <w:sz w:val="21"/>
        </w:rPr>
        <w:t>Case A — SFJ Incompetent, No Tributary Entry (EP N1→N2 present, no EP N2→N3):</w:t>
      </w:r>
    </w:p>
    <w:p>
      <w:pPr>
        <w:pStyle w:val="ListBullet"/>
        <w:spacing w:after="40"/>
        <w:ind w:left="454"/>
      </w:pPr>
      <w:r>
        <w:rPr>
          <w:color w:val="1A1A2E"/>
          <w:sz w:val="21"/>
        </w:rPr>
        <w:t>If only RP N2→N1 present → TYPE 1 (simple SFJ reflux)</w:t>
      </w:r>
    </w:p>
    <w:p>
      <w:pPr>
        <w:spacing w:after="80"/>
      </w:pPr>
      <w:r>
        <w:rPr>
          <w:b/>
          <w:color w:val="1A1A2E"/>
          <w:sz w:val="21"/>
        </w:rPr>
        <w:t>Case B — SFJ Incompetent + Tributary Entry (both EP N1→N2 and EP N2→N3 present):</w:t>
      </w:r>
    </w:p>
    <w:p>
      <w:pPr>
        <w:pStyle w:val="ListBullet"/>
        <w:spacing w:after="40"/>
        <w:ind w:left="454"/>
      </w:pPr>
      <w:r>
        <w:rPr>
          <w:color w:val="1A1A2E"/>
          <w:sz w:val="21"/>
        </w:rPr>
        <w:t>RP N3→N2 + RP N2→N1 → TYPE 3 (closed superficial loop)</w:t>
      </w:r>
    </w:p>
    <w:p>
      <w:pPr>
        <w:pStyle w:val="ListBullet"/>
        <w:spacing w:after="40"/>
        <w:ind w:left="454"/>
      </w:pPr>
      <w:r>
        <w:rPr>
          <w:color w:val="1A1A2E"/>
          <w:sz w:val="21"/>
        </w:rPr>
        <w:t>RP N3→N1 + RP N2→N1 + eliminationTest = 'Reflux' → TYPE 1+2</w:t>
      </w:r>
    </w:p>
    <w:p>
      <w:pPr>
        <w:pStyle w:val="ListBullet"/>
        <w:spacing w:after="40"/>
        <w:ind w:left="454"/>
      </w:pPr>
      <w:r>
        <w:rPr>
          <w:color w:val="1A1A2E"/>
          <w:sz w:val="21"/>
        </w:rPr>
        <w:t>RP N3→N1 + RP N2→N1 + eliminationTest = 'No Reflux' → TYPE 3</w:t>
      </w:r>
    </w:p>
    <w:p>
      <w:pPr>
        <w:pStyle w:val="ListBullet"/>
        <w:spacing w:after="40"/>
        <w:ind w:left="454"/>
      </w:pPr>
      <w:r>
        <w:rPr>
          <w:color w:val="1A1A2E"/>
          <w:sz w:val="21"/>
        </w:rPr>
        <w:t>RP N3→N1, no RP N2→N1 → TYPE 3</w:t>
      </w:r>
    </w:p>
    <w:p>
      <w:pPr>
        <w:spacing w:after="80"/>
      </w:pPr>
      <w:r>
        <w:rPr>
          <w:b/>
          <w:color w:val="1A1A2E"/>
          <w:sz w:val="21"/>
        </w:rPr>
        <w:t>Case C — SFJ Competent (No EP N1→N2):</w:t>
      </w:r>
    </w:p>
    <w:p>
      <w:pPr>
        <w:pStyle w:val="ListBullet"/>
        <w:spacing w:after="40"/>
        <w:ind w:left="454"/>
      </w:pPr>
      <w:r>
        <w:rPr>
          <w:color w:val="1A1A2E"/>
          <w:sz w:val="21"/>
        </w:rPr>
        <w:t>EP N2→N3 only → TYPE 2A</w:t>
      </w:r>
    </w:p>
    <w:p>
      <w:pPr>
        <w:pStyle w:val="ListBullet"/>
        <w:spacing w:after="40"/>
        <w:ind w:left="454"/>
      </w:pPr>
      <w:r>
        <w:rPr>
          <w:color w:val="1A1A2E"/>
          <w:sz w:val="21"/>
        </w:rPr>
        <w:t>EP N2→N2 (perforator) + RP N3, no RP N2→N1 → TYPE 2B</w:t>
      </w:r>
    </w:p>
    <w:p>
      <w:pPr>
        <w:pStyle w:val="ListBullet"/>
        <w:spacing w:after="40"/>
        <w:ind w:left="454"/>
      </w:pPr>
      <w:r>
        <w:rPr>
          <w:color w:val="1A1A2E"/>
          <w:sz w:val="21"/>
        </w:rPr>
        <w:t>EP N2→N2 + RP N3 + RP N2→N1 → TYPE 2C</w:t>
      </w:r>
    </w:p>
    <w:p>
      <w:pPr>
        <w:pStyle w:val="Heading2"/>
        <w:spacing w:before="160" w:after="80"/>
      </w:pPr>
      <w:r>
        <w:rPr>
          <w:color w:val="007A87"/>
        </w:rPr>
        <w:t>4.3  Output Format</w:t>
      </w:r>
    </w:p>
    <w:p>
      <w:pPr>
        <w:spacing w:after="80"/>
      </w:pPr>
      <w:r>
        <w:rPr>
          <w:b w:val="0"/>
          <w:color w:val="1A1A2E"/>
          <w:sz w:val="21"/>
        </w:rPr>
        <w:t>Every classification response is structured as:</w:t>
      </w:r>
    </w:p>
    <w:p>
      <w:pPr>
        <w:pStyle w:val="ListBullet"/>
        <w:spacing w:after="40"/>
        <w:ind w:left="454"/>
      </w:pPr>
      <w:r>
        <w:rPr>
          <w:color w:val="1A1A2E"/>
          <w:sz w:val="21"/>
        </w:rPr>
        <w:t>Shunt Type: e.g., 'Type 1', 'Type 2A', 'Type 3', 'Type 1+2', 'No Shunt', 'Undetermined'</w:t>
      </w:r>
    </w:p>
    <w:p>
      <w:pPr>
        <w:pStyle w:val="ListBullet"/>
        <w:spacing w:after="40"/>
        <w:ind w:left="454"/>
      </w:pPr>
      <w:r>
        <w:rPr>
          <w:color w:val="1A1A2E"/>
          <w:sz w:val="21"/>
        </w:rPr>
        <w:t>Confidence: float 0.0–1.0 (well-calibrated: 0.85–0.95 on correct predictions)</w:t>
      </w:r>
    </w:p>
    <w:p>
      <w:pPr>
        <w:pStyle w:val="ListBullet"/>
        <w:spacing w:after="40"/>
        <w:ind w:left="454"/>
      </w:pPr>
      <w:r>
        <w:rPr>
          <w:color w:val="1A1A2E"/>
          <w:sz w:val="21"/>
        </w:rPr>
        <w:t>Reasoning: Paragraph-form explanation referencing specific clips and rules</w:t>
      </w:r>
    </w:p>
    <w:p>
      <w:pPr>
        <w:pStyle w:val="Heading2"/>
        <w:spacing w:before="160" w:after="80"/>
      </w:pPr>
      <w:r>
        <w:rPr>
          <w:color w:val="007A87"/>
        </w:rPr>
        <w:t>4.4  Inference Performance</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Metric</w:t>
            </w:r>
          </w:p>
        </w:tc>
        <w:tc>
          <w:tcPr>
            <w:tcW w:type="dxa" w:w="4561"/>
            <w:shd w:fill="0D2B55" w:color="auto" w:val="clear"/>
          </w:tcPr>
          <w:p>
            <w:r>
              <w:rPr>
                <w:b/>
                <w:color w:val="FFFFFF"/>
                <w:sz w:val="19"/>
              </w:rPr>
              <w:t>Value</w:t>
            </w:r>
          </w:p>
        </w:tc>
      </w:tr>
      <w:tr>
        <w:tc>
          <w:tcPr>
            <w:tcW w:type="dxa" w:w="4561"/>
          </w:tcPr>
          <w:p>
            <w:r>
              <w:rPr>
                <w:b w:val="0"/>
                <w:sz w:val="19"/>
              </w:rPr>
              <w:t>Inference time (per case)</w:t>
            </w:r>
          </w:p>
        </w:tc>
        <w:tc>
          <w:tcPr>
            <w:tcW w:type="dxa" w:w="4561"/>
          </w:tcPr>
          <w:p>
            <w:r>
              <w:rPr>
                <w:b w:val="0"/>
                <w:sz w:val="19"/>
              </w:rPr>
              <w:t>2–3 seconds (Groq API)</w:t>
            </w:r>
          </w:p>
        </w:tc>
      </w:tr>
      <w:tr>
        <w:tc>
          <w:tcPr>
            <w:tcW w:type="dxa" w:w="4561"/>
          </w:tcPr>
          <w:p>
            <w:r>
              <w:rPr>
                <w:b w:val="0"/>
                <w:sz w:val="19"/>
              </w:rPr>
              <w:t>Accuracy on training cases</w:t>
            </w:r>
          </w:p>
        </w:tc>
        <w:tc>
          <w:tcPr>
            <w:tcW w:type="dxa" w:w="4561"/>
          </w:tcPr>
          <w:p>
            <w:r>
              <w:rPr>
                <w:b w:val="0"/>
                <w:sz w:val="19"/>
              </w:rPr>
              <w:t>~95% (31 training pairs)</w:t>
            </w:r>
          </w:p>
        </w:tc>
      </w:tr>
      <w:tr>
        <w:tc>
          <w:tcPr>
            <w:tcW w:type="dxa" w:w="4561"/>
          </w:tcPr>
          <w:p>
            <w:r>
              <w:rPr>
                <w:b w:val="0"/>
                <w:sz w:val="19"/>
              </w:rPr>
              <w:t>Expected accuracy on held-out</w:t>
            </w:r>
          </w:p>
        </w:tc>
        <w:tc>
          <w:tcPr>
            <w:tcW w:type="dxa" w:w="4561"/>
          </w:tcPr>
          <w:p>
            <w:r>
              <w:rPr>
                <w:b w:val="0"/>
                <w:sz w:val="19"/>
              </w:rPr>
              <w:t>~70–85% (Phase 2 fine-tune projection)</w:t>
            </w:r>
          </w:p>
        </w:tc>
      </w:tr>
      <w:tr>
        <w:tc>
          <w:tcPr>
            <w:tcW w:type="dxa" w:w="4561"/>
          </w:tcPr>
          <w:p>
            <w:r>
              <w:rPr>
                <w:b w:val="0"/>
                <w:sz w:val="19"/>
              </w:rPr>
              <w:t>Confidence on correct predictions</w:t>
            </w:r>
          </w:p>
        </w:tc>
        <w:tc>
          <w:tcPr>
            <w:tcW w:type="dxa" w:w="4561"/>
          </w:tcPr>
          <w:p>
            <w:r>
              <w:rPr>
                <w:b w:val="0"/>
                <w:sz w:val="19"/>
              </w:rPr>
              <w:t>0.85–0.95</w:t>
            </w:r>
          </w:p>
        </w:tc>
      </w:tr>
      <w:tr>
        <w:tc>
          <w:tcPr>
            <w:tcW w:type="dxa" w:w="4561"/>
          </w:tcPr>
          <w:p>
            <w:r>
              <w:rPr>
                <w:b w:val="0"/>
                <w:sz w:val="19"/>
              </w:rPr>
              <w:t>VRAM (local inference)</w:t>
            </w:r>
          </w:p>
        </w:tc>
        <w:tc>
          <w:tcPr>
            <w:tcW w:type="dxa" w:w="4561"/>
          </w:tcPr>
          <w:p>
            <w:r>
              <w:rPr>
                <w:b w:val="0"/>
                <w:sz w:val="19"/>
              </w:rPr>
              <w:t>~12 GB (bfloat16)</w:t>
            </w:r>
          </w:p>
        </w:tc>
      </w:tr>
    </w:tbl>
    <w:p/>
    <w:p>
      <w:pPr>
        <w:pStyle w:val="Heading1"/>
        <w:spacing w:before="280" w:after="80"/>
      </w:pPr>
      <w:r>
        <w:rPr>
          <w:color w:val="0D2B55"/>
        </w:rPr>
        <w:t>5. Retrieval-Augmented Generation (RAG) Pipeline</w:t>
      </w:r>
    </w:p>
    <w:p>
      <w:pPr>
        <w:spacing w:before="80" w:after="80"/>
        <w:pBdr>
          <w:bottom w:val="single" w:sz="4" w:space="1" w:color="007A87"/>
        </w:pBdr>
      </w:pPr>
    </w:p>
    <w:p>
      <w:pPr>
        <w:spacing w:after="80"/>
      </w:pPr>
      <w:r>
        <w:rPr>
          <w:b w:val="0"/>
          <w:color w:val="1A1A2E"/>
          <w:sz w:val="21"/>
        </w:rPr>
        <w:t>RAG is used exclusively for the ligation planning step — after the shunt type is known, relevant passages from clinical literature are retrieved and injected into the ligation prompt to ground the recommendation in published evidence.</w:t>
      </w:r>
    </w:p>
    <w:p>
      <w:pPr>
        <w:pStyle w:val="Heading2"/>
        <w:spacing w:before="160" w:after="80"/>
      </w:pPr>
      <w:r>
        <w:rPr>
          <w:color w:val="007A87"/>
        </w:rPr>
        <w:t>5.1  Knowledge Base Construction</w:t>
      </w:r>
    </w:p>
    <w:p>
      <w:pPr>
        <w:spacing w:after="80"/>
      </w:pPr>
      <w:r>
        <w:rPr>
          <w:b w:val="0"/>
          <w:color w:val="1A1A2E"/>
          <w:sz w:val="21"/>
        </w:rPr>
        <w:t>The knowledge base is stored in a pre-built Qdrant collection named 'ligation_knowledgebase_db_v2'. It was constructed from clinical literature on CHIVA ligation strategies and venous surgery. The collection uses nomic-embed-text embeddings (768 dimensions). The collection is pre-built — no ingest step is required when deploying the application. A second collection 'final_structured_rag' serves the general medical Q&amp;A chat mode.</w:t>
      </w:r>
    </w:p>
    <w:p>
      <w:pPr>
        <w:pStyle w:val="Heading2"/>
        <w:spacing w:before="160" w:after="80"/>
      </w:pPr>
      <w:r>
        <w:rPr>
          <w:color w:val="007A87"/>
        </w:rPr>
        <w:t>5.2  Hybrid Retrieval Architecture</w:t>
      </w:r>
    </w:p>
    <w:p>
      <w:pPr>
        <w:spacing w:after="80"/>
      </w:pPr>
      <w:r>
        <w:rPr>
          <w:b w:val="0"/>
          <w:color w:val="1A1A2E"/>
          <w:sz w:val="21"/>
        </w:rPr>
        <w:t>The retrieval pipeline runs three stages on every query:</w:t>
      </w:r>
    </w:p>
    <w:p>
      <w:pPr>
        <w:spacing w:after="80"/>
      </w:pPr>
      <w:r>
        <w:rPr>
          <w:b/>
          <w:color w:val="1A1A2E"/>
          <w:sz w:val="21"/>
        </w:rPr>
        <w:t>Stage 1a — Vector Search:</w:t>
      </w:r>
    </w:p>
    <w:p>
      <w:pPr>
        <w:spacing w:after="80"/>
        <w:ind w:left="454"/>
      </w:pPr>
      <w:r>
        <w:rPr>
          <w:b w:val="0"/>
          <w:color w:val="1A1A2E"/>
          <w:sz w:val="21"/>
        </w:rPr>
        <w:t>The query is embedded using nomic-embed-text via Ollama (running locally on port 11434). The top-50 candidates are retrieved from Qdrant by cosine similarity.</w:t>
      </w:r>
    </w:p>
    <w:p>
      <w:pPr>
        <w:spacing w:after="80"/>
      </w:pPr>
      <w:r>
        <w:rPr>
          <w:b/>
          <w:color w:val="1A1A2E"/>
          <w:sz w:val="21"/>
        </w:rPr>
        <w:t>Stage 1b — BM25 Keyword Search:</w:t>
      </w:r>
    </w:p>
    <w:p>
      <w:pPr>
        <w:spacing w:after="80"/>
        <w:ind w:left="454"/>
      </w:pPr>
      <w:r>
        <w:rPr>
          <w:b w:val="0"/>
          <w:color w:val="1A1A2E"/>
          <w:sz w:val="21"/>
        </w:rPr>
        <w:t>Simultaneously, all chunk texts are scored with BM25Okapi (a probabilistic keyword retrieval model). The top-50 BM25 results are merged with the vector results and deduplicated, giving a combined candidate pool. BM25 catches exact clinical term matches that semantic embeddings might miss (e.g., 'SFJ', 'Hunterian perforator').</w:t>
      </w:r>
    </w:p>
    <w:p>
      <w:pPr>
        <w:spacing w:after="80"/>
      </w:pPr>
      <w:r>
        <w:rPr>
          <w:b/>
          <w:color w:val="1A1A2E"/>
          <w:sz w:val="21"/>
        </w:rPr>
        <w:t>Stage 2 — Cross-Encoder Reranking:</w:t>
      </w:r>
    </w:p>
    <w:p>
      <w:pPr>
        <w:spacing w:after="80"/>
        <w:ind w:left="454"/>
      </w:pPr>
      <w:r>
        <w:rPr>
          <w:b w:val="0"/>
          <w:color w:val="1A1A2E"/>
          <w:sz w:val="21"/>
        </w:rPr>
        <w:t>All merged candidates are passed as (query, chunk) pairs to the cross-encoder model (cross-encoder/ms-marco-MiniLM-L-6-v2). The cross-encoder reads the query and each candidate together (rather than independently) and outputs a relevance score. The top-5 highest-scoring chunks are returned. This is significantly more accurate than bi-encoder ranking alone because the cross-encoder can attend to query-document interactions.</w:t>
      </w:r>
    </w:p>
    <w:p>
      <w:pPr>
        <w:spacing w:after="120"/>
      </w:pPr>
      <w:r>
        <w:rPr>
          <w:i/>
          <w:color w:val="606060"/>
          <w:sz w:val="18"/>
        </w:rPr>
        <w:t>Figure: Stage 1a (Vector, top-50) + Stage 1b (BM25, top-50) → merged pool (deduplicated) → Stage 2 (Cross-encoder) → top-5 returned to LLM.</w:t>
      </w:r>
    </w:p>
    <w:p>
      <w:pPr>
        <w:pStyle w:val="Heading2"/>
        <w:spacing w:before="160" w:after="80"/>
      </w:pPr>
      <w:r>
        <w:rPr>
          <w:color w:val="007A87"/>
        </w:rPr>
        <w:t>5.3  Configuration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Parameter</w:t>
            </w:r>
          </w:p>
        </w:tc>
        <w:tc>
          <w:tcPr>
            <w:tcW w:type="dxa" w:w="3041"/>
            <w:shd w:fill="0D2B55" w:color="auto" w:val="clear"/>
          </w:tcPr>
          <w:p>
            <w:r>
              <w:rPr>
                <w:b/>
                <w:color w:val="FFFFFF"/>
                <w:sz w:val="19"/>
              </w:rPr>
              <w:t>Value</w:t>
            </w:r>
          </w:p>
        </w:tc>
        <w:tc>
          <w:tcPr>
            <w:tcW w:type="dxa" w:w="3041"/>
            <w:shd w:fill="0D2B55" w:color="auto" w:val="clear"/>
          </w:tcPr>
          <w:p>
            <w:r>
              <w:rPr>
                <w:b/>
                <w:color w:val="FFFFFF"/>
                <w:sz w:val="19"/>
              </w:rPr>
              <w:t>Location</w:t>
            </w:r>
          </w:p>
        </w:tc>
      </w:tr>
      <w:tr>
        <w:tc>
          <w:tcPr>
            <w:tcW w:type="dxa" w:w="3041"/>
          </w:tcPr>
          <w:p>
            <w:r>
              <w:rPr>
                <w:b w:val="0"/>
                <w:sz w:val="19"/>
              </w:rPr>
              <w:t>Embedding model</w:t>
            </w:r>
          </w:p>
        </w:tc>
        <w:tc>
          <w:tcPr>
            <w:tcW w:type="dxa" w:w="3041"/>
          </w:tcPr>
          <w:p>
            <w:r>
              <w:rPr>
                <w:b w:val="0"/>
                <w:sz w:val="19"/>
              </w:rPr>
              <w:t>nomic-embed-text</w:t>
            </w:r>
          </w:p>
        </w:tc>
        <w:tc>
          <w:tcPr>
            <w:tcW w:type="dxa" w:w="3041"/>
          </w:tcPr>
          <w:p>
            <w:r>
              <w:rPr>
                <w:b w:val="0"/>
                <w:sz w:val="19"/>
              </w:rPr>
              <w:t>config.py / OLLAMA_EMBEDDING_MODEL</w:t>
            </w:r>
          </w:p>
        </w:tc>
      </w:tr>
      <w:tr>
        <w:tc>
          <w:tcPr>
            <w:tcW w:type="dxa" w:w="3041"/>
          </w:tcPr>
          <w:p>
            <w:r>
              <w:rPr>
                <w:b w:val="0"/>
                <w:sz w:val="19"/>
              </w:rPr>
              <w:t>Embedding dimension</w:t>
            </w:r>
          </w:p>
        </w:tc>
        <w:tc>
          <w:tcPr>
            <w:tcW w:type="dxa" w:w="3041"/>
          </w:tcPr>
          <w:p>
            <w:r>
              <w:rPr>
                <w:b w:val="0"/>
                <w:sz w:val="19"/>
              </w:rPr>
              <w:t>768</w:t>
            </w:r>
          </w:p>
        </w:tc>
        <w:tc>
          <w:tcPr>
            <w:tcW w:type="dxa" w:w="3041"/>
          </w:tcPr>
          <w:p>
            <w:r>
              <w:rPr>
                <w:b w:val="0"/>
                <w:sz w:val="19"/>
              </w:rPr>
              <w:t>config.py / EMBEDDING_DIMENSION</w:t>
            </w:r>
          </w:p>
        </w:tc>
      </w:tr>
      <w:tr>
        <w:tc>
          <w:tcPr>
            <w:tcW w:type="dxa" w:w="3041"/>
          </w:tcPr>
          <w:p>
            <w:r>
              <w:rPr>
                <w:b w:val="0"/>
                <w:sz w:val="19"/>
              </w:rPr>
              <w:t>Vector top-K</w:t>
            </w:r>
          </w:p>
        </w:tc>
        <w:tc>
          <w:tcPr>
            <w:tcW w:type="dxa" w:w="3041"/>
          </w:tcPr>
          <w:p>
            <w:r>
              <w:rPr>
                <w:b w:val="0"/>
                <w:sz w:val="19"/>
              </w:rPr>
              <w:t>50</w:t>
            </w:r>
          </w:p>
        </w:tc>
        <w:tc>
          <w:tcPr>
            <w:tcW w:type="dxa" w:w="3041"/>
          </w:tcPr>
          <w:p>
            <w:r>
              <w:rPr>
                <w:b w:val="0"/>
                <w:sz w:val="19"/>
              </w:rPr>
              <w:t>config.py / VECTOR_TOP_K</w:t>
            </w:r>
          </w:p>
        </w:tc>
      </w:tr>
      <w:tr>
        <w:tc>
          <w:tcPr>
            <w:tcW w:type="dxa" w:w="3041"/>
          </w:tcPr>
          <w:p>
            <w:r>
              <w:rPr>
                <w:b w:val="0"/>
                <w:sz w:val="19"/>
              </w:rPr>
              <w:t>Rerank top-N</w:t>
            </w:r>
          </w:p>
        </w:tc>
        <w:tc>
          <w:tcPr>
            <w:tcW w:type="dxa" w:w="3041"/>
          </w:tcPr>
          <w:p>
            <w:r>
              <w:rPr>
                <w:b w:val="0"/>
                <w:sz w:val="19"/>
              </w:rPr>
              <w:t>15 (expanded for context richness)</w:t>
            </w:r>
          </w:p>
        </w:tc>
        <w:tc>
          <w:tcPr>
            <w:tcW w:type="dxa" w:w="3041"/>
          </w:tcPr>
          <w:p>
            <w:r>
              <w:rPr>
                <w:b w:val="0"/>
                <w:sz w:val="19"/>
              </w:rPr>
              <w:t>config.py / RERANK_TOP_N</w:t>
            </w:r>
          </w:p>
        </w:tc>
      </w:tr>
      <w:tr>
        <w:tc>
          <w:tcPr>
            <w:tcW w:type="dxa" w:w="3041"/>
          </w:tcPr>
          <w:p>
            <w:r>
              <w:rPr>
                <w:b w:val="0"/>
                <w:sz w:val="19"/>
              </w:rPr>
              <w:t>Cross-encoder model</w:t>
            </w:r>
          </w:p>
        </w:tc>
        <w:tc>
          <w:tcPr>
            <w:tcW w:type="dxa" w:w="3041"/>
          </w:tcPr>
          <w:p>
            <w:r>
              <w:rPr>
                <w:b w:val="0"/>
                <w:sz w:val="19"/>
              </w:rPr>
              <w:t>ms-marco-MiniLM-L-6-v2</w:t>
            </w:r>
          </w:p>
        </w:tc>
        <w:tc>
          <w:tcPr>
            <w:tcW w:type="dxa" w:w="3041"/>
          </w:tcPr>
          <w:p>
            <w:r>
              <w:rPr>
                <w:b w:val="0"/>
                <w:sz w:val="19"/>
              </w:rPr>
              <w:t>config.py / CROSS_ENCODER_MODEL</w:t>
            </w:r>
          </w:p>
        </w:tc>
      </w:tr>
      <w:tr>
        <w:tc>
          <w:tcPr>
            <w:tcW w:type="dxa" w:w="3041"/>
          </w:tcPr>
          <w:p>
            <w:r>
              <w:rPr>
                <w:b w:val="0"/>
                <w:sz w:val="19"/>
              </w:rPr>
              <w:t>Cross-encoder enabled</w:t>
            </w:r>
          </w:p>
        </w:tc>
        <w:tc>
          <w:tcPr>
            <w:tcW w:type="dxa" w:w="3041"/>
          </w:tcPr>
          <w:p>
            <w:r>
              <w:rPr>
                <w:b w:val="0"/>
                <w:sz w:val="19"/>
              </w:rPr>
              <w:t>True</w:t>
            </w:r>
          </w:p>
        </w:tc>
        <w:tc>
          <w:tcPr>
            <w:tcW w:type="dxa" w:w="3041"/>
          </w:tcPr>
          <w:p>
            <w:r>
              <w:rPr>
                <w:b w:val="0"/>
                <w:sz w:val="19"/>
              </w:rPr>
              <w:t>config.py / CROSS_ENCODER_ENABLED</w:t>
            </w:r>
          </w:p>
        </w:tc>
      </w:tr>
      <w:tr>
        <w:tc>
          <w:tcPr>
            <w:tcW w:type="dxa" w:w="3041"/>
          </w:tcPr>
          <w:p>
            <w:r>
              <w:rPr>
                <w:b w:val="0"/>
                <w:sz w:val="19"/>
              </w:rPr>
              <w:t>Collection name</w:t>
            </w:r>
          </w:p>
        </w:tc>
        <w:tc>
          <w:tcPr>
            <w:tcW w:type="dxa" w:w="3041"/>
          </w:tcPr>
          <w:p>
            <w:r>
              <w:rPr>
                <w:b w:val="0"/>
                <w:sz w:val="19"/>
              </w:rPr>
              <w:t>ligation_knowledgebase_db_v2</w:t>
            </w:r>
          </w:p>
        </w:tc>
        <w:tc>
          <w:tcPr>
            <w:tcW w:type="dxa" w:w="3041"/>
          </w:tcPr>
          <w:p>
            <w:r>
              <w:rPr>
                <w:b w:val="0"/>
                <w:sz w:val="19"/>
              </w:rPr>
              <w:t>config.py / QDRANT_COLLECTION</w:t>
            </w:r>
          </w:p>
        </w:tc>
      </w:tr>
    </w:tbl>
    <w:p/>
    <w:p>
      <w:pPr>
        <w:pStyle w:val="Heading1"/>
        <w:spacing w:before="280" w:after="80"/>
      </w:pPr>
      <w:r>
        <w:rPr>
          <w:color w:val="0D2B55"/>
        </w:rPr>
        <w:t>6. Cross-Encoder Fine-Tuning — Improving Retrieval Quality</w:t>
      </w:r>
    </w:p>
    <w:p>
      <w:pPr>
        <w:spacing w:before="80" w:after="80"/>
        <w:pBdr>
          <w:bottom w:val="single" w:sz="4" w:space="1" w:color="007A87"/>
        </w:pBdr>
      </w:pPr>
    </w:p>
    <w:p>
      <w:pPr>
        <w:spacing w:after="80"/>
      </w:pPr>
      <w:r>
        <w:rPr>
          <w:b w:val="0"/>
          <w:color w:val="1A1A2E"/>
          <w:sz w:val="21"/>
        </w:rPr>
        <w:t>The off-the-shelf cross-encoder (ms-marco-MiniLM-L-6-v2) was trained on general web search data (MS MARCO passages). When applied to CHIVA ligation queries, it performed poorly because it had never seen CHIVA clinical terminology. To fix this, the cross-encoder was fine-tuned on a synthetic domain-specific dataset.</w:t>
      </w:r>
    </w:p>
    <w:p>
      <w:pPr>
        <w:pStyle w:val="Heading2"/>
        <w:spacing w:before="160" w:after="80"/>
      </w:pPr>
      <w:r>
        <w:rPr>
          <w:color w:val="007A87"/>
        </w:rPr>
        <w:t>6.1  Synthetic Training Data Generation</w:t>
      </w:r>
    </w:p>
    <w:p>
      <w:pPr>
        <w:spacing w:after="80"/>
      </w:pPr>
      <w:r>
        <w:rPr>
          <w:b w:val="0"/>
          <w:color w:val="1A1A2E"/>
          <w:sz w:val="21"/>
        </w:rPr>
        <w:t>A script (cross_encoder_finetuning/generate_synthetic_data.py) generated 770 labelled query-document pairs:</w:t>
      </w:r>
    </w:p>
    <w:p>
      <w:pPr>
        <w:pStyle w:val="ListBullet"/>
        <w:spacing w:after="40"/>
        <w:ind w:left="454"/>
      </w:pPr>
      <w:r>
        <w:rPr>
          <w:color w:val="1A1A2E"/>
          <w:sz w:val="21"/>
        </w:rPr>
        <w:t>Queries: Clinical questions such as 'How to classify Type 1 venous shunt?', 'Type 2A ligation: step-by-step procedure', 'Surgical steps for Type 2B ligation'.</w:t>
      </w:r>
    </w:p>
    <w:p>
      <w:pPr>
        <w:pStyle w:val="ListBullet"/>
        <w:spacing w:after="40"/>
        <w:ind w:left="454"/>
      </w:pPr>
      <w:r>
        <w:rPr>
          <w:color w:val="1A1A2E"/>
          <w:sz w:val="21"/>
        </w:rPr>
        <w:t>Documents: Ligation procedure descriptions for each shunt type.</w:t>
      </w:r>
    </w:p>
    <w:p>
      <w:pPr>
        <w:pStyle w:val="ListBullet"/>
        <w:spacing w:after="40"/>
        <w:ind w:left="454"/>
      </w:pPr>
      <w:r>
        <w:rPr>
          <w:color w:val="1A1A2E"/>
          <w:sz w:val="21"/>
        </w:rPr>
        <w:t>Labels: Relevance scores between 0.0 (irrelevant) and 1.0 (highly relevant). Matching query-type pairs scored 1.0; mismatched pairs scored 0.1.</w:t>
      </w:r>
    </w:p>
    <w:p>
      <w:pPr>
        <w:pStyle w:val="ListBullet"/>
        <w:spacing w:after="40"/>
        <w:ind w:left="454"/>
      </w:pPr>
      <w:r>
        <w:rPr>
          <w:color w:val="1A1A2E"/>
          <w:sz w:val="21"/>
        </w:rPr>
        <w:t>Split: 70% train (539 samples), 15% validation (115), 15% test (116).</w:t>
      </w:r>
    </w:p>
    <w:p>
      <w:pPr>
        <w:pStyle w:val="ListBullet"/>
        <w:spacing w:after="40"/>
        <w:ind w:left="454"/>
      </w:pPr>
      <w:r>
        <w:rPr>
          <w:color w:val="1A1A2E"/>
          <w:sz w:val="21"/>
        </w:rPr>
        <w:t>Source documents: 10 distinct ligation procedure descriptions across all shunt types.</w:t>
      </w:r>
    </w:p>
    <w:p>
      <w:pPr>
        <w:pStyle w:val="Heading2"/>
        <w:spacing w:before="160" w:after="80"/>
      </w:pPr>
      <w:r>
        <w:rPr>
          <w:color w:val="007A87"/>
        </w:rPr>
        <w:t>6.2  Training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cross-encoder/ms-marco-MiniLM-L-6-v2</w:t>
            </w:r>
          </w:p>
        </w:tc>
      </w:tr>
      <w:tr>
        <w:tc>
          <w:tcPr>
            <w:tcW w:type="dxa" w:w="4561"/>
          </w:tcPr>
          <w:p>
            <w:r>
              <w:rPr>
                <w:b w:val="0"/>
                <w:sz w:val="19"/>
              </w:rPr>
              <w:t>Architecture</w:t>
            </w:r>
          </w:p>
        </w:tc>
        <w:tc>
          <w:tcPr>
            <w:tcW w:type="dxa" w:w="4561"/>
          </w:tcPr>
          <w:p>
            <w:r>
              <w:rPr>
                <w:b w:val="0"/>
                <w:sz w:val="19"/>
              </w:rPr>
              <w:t>BertForSequenceClassification</w:t>
            </w:r>
          </w:p>
        </w:tc>
      </w:tr>
      <w:tr>
        <w:tc>
          <w:tcPr>
            <w:tcW w:type="dxa" w:w="4561"/>
          </w:tcPr>
          <w:p>
            <w:r>
              <w:rPr>
                <w:b w:val="0"/>
                <w:sz w:val="19"/>
              </w:rPr>
              <w:t>Dataset size</w:t>
            </w:r>
          </w:p>
        </w:tc>
        <w:tc>
          <w:tcPr>
            <w:tcW w:type="dxa" w:w="4561"/>
          </w:tcPr>
          <w:p>
            <w:r>
              <w:rPr>
                <w:b w:val="0"/>
                <w:sz w:val="19"/>
              </w:rPr>
              <w:t>770 total (539 train / 115 val / 116 test)</w:t>
            </w:r>
          </w:p>
        </w:tc>
      </w:tr>
      <w:tr>
        <w:tc>
          <w:tcPr>
            <w:tcW w:type="dxa" w:w="4561"/>
          </w:tcPr>
          <w:p>
            <w:r>
              <w:rPr>
                <w:b w:val="0"/>
                <w:sz w:val="19"/>
              </w:rPr>
              <w:t>Loss function</w:t>
            </w:r>
          </w:p>
        </w:tc>
        <w:tc>
          <w:tcPr>
            <w:tcW w:type="dxa" w:w="4561"/>
          </w:tcPr>
          <w:p>
            <w:r>
              <w:rPr>
                <w:b w:val="0"/>
                <w:sz w:val="19"/>
              </w:rPr>
              <w:t>BinaryCrossEntropyLoss (CosineSimilarityLoss in report)</w:t>
            </w:r>
          </w:p>
        </w:tc>
      </w:tr>
      <w:tr>
        <w:tc>
          <w:tcPr>
            <w:tcW w:type="dxa" w:w="4561"/>
          </w:tcPr>
          <w:p>
            <w:r>
              <w:rPr>
                <w:b w:val="0"/>
                <w:sz w:val="19"/>
              </w:rPr>
              <w:t>Batch size</w:t>
            </w:r>
          </w:p>
        </w:tc>
        <w:tc>
          <w:tcPr>
            <w:tcW w:type="dxa" w:w="4561"/>
          </w:tcPr>
          <w:p>
            <w:r>
              <w:rPr>
                <w:b w:val="0"/>
                <w:sz w:val="19"/>
              </w:rPr>
              <w:t>16</w:t>
            </w:r>
          </w:p>
        </w:tc>
      </w:tr>
      <w:tr>
        <w:tc>
          <w:tcPr>
            <w:tcW w:type="dxa" w:w="4561"/>
          </w:tcPr>
          <w:p>
            <w:r>
              <w:rPr>
                <w:b w:val="0"/>
                <w:sz w:val="19"/>
              </w:rPr>
              <w:t>Epochs</w:t>
            </w:r>
          </w:p>
        </w:tc>
        <w:tc>
          <w:tcPr>
            <w:tcW w:type="dxa" w:w="4561"/>
          </w:tcPr>
          <w:p>
            <w:r>
              <w:rPr>
                <w:b w:val="0"/>
                <w:sz w:val="19"/>
              </w:rPr>
              <w:t>10</w:t>
            </w:r>
          </w:p>
        </w:tc>
      </w:tr>
      <w:tr>
        <w:tc>
          <w:tcPr>
            <w:tcW w:type="dxa" w:w="4561"/>
          </w:tcPr>
          <w:p>
            <w:r>
              <w:rPr>
                <w:b w:val="0"/>
                <w:sz w:val="19"/>
              </w:rPr>
              <w:t>Learning rate</w:t>
            </w:r>
          </w:p>
        </w:tc>
        <w:tc>
          <w:tcPr>
            <w:tcW w:type="dxa" w:w="4561"/>
          </w:tcPr>
          <w:p>
            <w:r>
              <w:rPr>
                <w:b w:val="0"/>
                <w:sz w:val="19"/>
              </w:rPr>
              <w:t>5e-5 (initial) / corrected to 2e-5</w:t>
            </w:r>
          </w:p>
        </w:tc>
      </w:tr>
      <w:tr>
        <w:tc>
          <w:tcPr>
            <w:tcW w:type="dxa" w:w="4561"/>
          </w:tcPr>
          <w:p>
            <w:r>
              <w:rPr>
                <w:b w:val="0"/>
                <w:sz w:val="19"/>
              </w:rPr>
              <w:t>Optimizer</w:t>
            </w:r>
          </w:p>
        </w:tc>
        <w:tc>
          <w:tcPr>
            <w:tcW w:type="dxa" w:w="4561"/>
          </w:tcPr>
          <w:p>
            <w:r>
              <w:rPr>
                <w:b w:val="0"/>
                <w:sz w:val="19"/>
              </w:rPr>
              <w:t>AdamW (fused)</w:t>
            </w:r>
          </w:p>
        </w:tc>
      </w:tr>
      <w:tr>
        <w:tc>
          <w:tcPr>
            <w:tcW w:type="dxa" w:w="4561"/>
          </w:tcPr>
          <w:p>
            <w:r>
              <w:rPr>
                <w:b w:val="0"/>
                <w:sz w:val="19"/>
              </w:rPr>
              <w:t>Training time</w:t>
            </w:r>
          </w:p>
        </w:tc>
        <w:tc>
          <w:tcPr>
            <w:tcW w:type="dxa" w:w="4561"/>
          </w:tcPr>
          <w:p>
            <w:r>
              <w:rPr>
                <w:b w:val="0"/>
                <w:sz w:val="19"/>
              </w:rPr>
              <w:t>2.7 minutes</w:t>
            </w:r>
          </w:p>
        </w:tc>
      </w:tr>
      <w:tr>
        <w:tc>
          <w:tcPr>
            <w:tcW w:type="dxa" w:w="4561"/>
          </w:tcPr>
          <w:p>
            <w:r>
              <w:rPr>
                <w:b w:val="0"/>
                <w:sz w:val="19"/>
              </w:rPr>
              <w:t>Max sequence</w:t>
            </w:r>
          </w:p>
        </w:tc>
        <w:tc>
          <w:tcPr>
            <w:tcW w:type="dxa" w:w="4561"/>
          </w:tcPr>
          <w:p>
            <w:r>
              <w:rPr>
                <w:b w:val="0"/>
                <w:sz w:val="19"/>
              </w:rPr>
              <w:t>512 tokens</w:t>
            </w:r>
          </w:p>
        </w:tc>
      </w:tr>
      <w:tr>
        <w:tc>
          <w:tcPr>
            <w:tcW w:type="dxa" w:w="4561"/>
          </w:tcPr>
          <w:p>
            <w:r>
              <w:rPr>
                <w:b w:val="0"/>
                <w:sz w:val="19"/>
              </w:rPr>
              <w:t>Framework</w:t>
            </w:r>
          </w:p>
        </w:tc>
        <w:tc>
          <w:tcPr>
            <w:tcW w:type="dxa" w:w="4561"/>
          </w:tcPr>
          <w:p>
            <w:r>
              <w:rPr>
                <w:b w:val="0"/>
                <w:sz w:val="19"/>
              </w:rPr>
              <w:t>sentence-transformers 5.4.1</w:t>
            </w:r>
          </w:p>
        </w:tc>
      </w:tr>
    </w:tbl>
    <w:p/>
    <w:p>
      <w:pPr>
        <w:pStyle w:val="Heading2"/>
        <w:spacing w:before="160" w:after="80"/>
      </w:pPr>
      <w:r>
        <w:rPr>
          <w:color w:val="007A87"/>
        </w:rPr>
        <w:t>6.3  Results: Baseline vs Fine-Tuned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0D2B55" w:color="auto" w:val="clear"/>
          </w:tcPr>
          <w:p>
            <w:r>
              <w:rPr>
                <w:b/>
                <w:color w:val="FFFFFF"/>
                <w:sz w:val="19"/>
              </w:rPr>
              <w:t>Metric</w:t>
            </w:r>
          </w:p>
        </w:tc>
        <w:tc>
          <w:tcPr>
            <w:tcW w:type="dxa" w:w="2280"/>
            <w:shd w:fill="0D2B55" w:color="auto" w:val="clear"/>
          </w:tcPr>
          <w:p>
            <w:r>
              <w:rPr>
                <w:b/>
                <w:color w:val="FFFFFF"/>
                <w:sz w:val="19"/>
              </w:rPr>
              <w:t>Baseline</w:t>
            </w:r>
          </w:p>
        </w:tc>
        <w:tc>
          <w:tcPr>
            <w:tcW w:type="dxa" w:w="2280"/>
            <w:shd w:fill="0D2B55" w:color="auto" w:val="clear"/>
          </w:tcPr>
          <w:p>
            <w:r>
              <w:rPr>
                <w:b/>
                <w:color w:val="FFFFFF"/>
                <w:sz w:val="19"/>
              </w:rPr>
              <w:t>Fine-Tuned</w:t>
            </w:r>
          </w:p>
        </w:tc>
        <w:tc>
          <w:tcPr>
            <w:tcW w:type="dxa" w:w="2280"/>
            <w:shd w:fill="0D2B55" w:color="auto" w:val="clear"/>
          </w:tcPr>
          <w:p>
            <w:r>
              <w:rPr>
                <w:b/>
                <w:color w:val="FFFFFF"/>
                <w:sz w:val="19"/>
              </w:rPr>
              <w:t>Improvement</w:t>
            </w:r>
          </w:p>
        </w:tc>
      </w:tr>
      <w:tr>
        <w:tc>
          <w:tcPr>
            <w:tcW w:type="dxa" w:w="2280"/>
          </w:tcPr>
          <w:p>
            <w:r>
              <w:rPr>
                <w:b w:val="0"/>
                <w:sz w:val="19"/>
              </w:rPr>
              <w:t>MSE (Test)</w:t>
            </w:r>
          </w:p>
        </w:tc>
        <w:tc>
          <w:tcPr>
            <w:tcW w:type="dxa" w:w="2280"/>
          </w:tcPr>
          <w:p>
            <w:r>
              <w:rPr>
                <w:b w:val="0"/>
                <w:sz w:val="19"/>
              </w:rPr>
              <w:t>18.1677</w:t>
            </w:r>
          </w:p>
        </w:tc>
        <w:tc>
          <w:tcPr>
            <w:tcW w:type="dxa" w:w="2280"/>
          </w:tcPr>
          <w:p>
            <w:r>
              <w:rPr>
                <w:b w:val="0"/>
                <w:sz w:val="19"/>
              </w:rPr>
              <w:t>4.1586</w:t>
            </w:r>
          </w:p>
        </w:tc>
        <w:tc>
          <w:tcPr>
            <w:tcW w:type="dxa" w:w="2280"/>
          </w:tcPr>
          <w:p>
            <w:r>
              <w:rPr>
                <w:b w:val="0"/>
                <w:sz w:val="19"/>
              </w:rPr>
              <w:t>+77.1%</w:t>
            </w:r>
          </w:p>
        </w:tc>
      </w:tr>
      <w:tr>
        <w:tc>
          <w:tcPr>
            <w:tcW w:type="dxa" w:w="2280"/>
          </w:tcPr>
          <w:p>
            <w:r>
              <w:rPr>
                <w:b w:val="0"/>
                <w:sz w:val="19"/>
              </w:rPr>
              <w:t>MAE (Test)</w:t>
            </w:r>
          </w:p>
        </w:tc>
        <w:tc>
          <w:tcPr>
            <w:tcW w:type="dxa" w:w="2280"/>
          </w:tcPr>
          <w:p>
            <w:r>
              <w:rPr>
                <w:b w:val="0"/>
                <w:sz w:val="19"/>
              </w:rPr>
              <w:t>3.6832</w:t>
            </w:r>
          </w:p>
        </w:tc>
        <w:tc>
          <w:tcPr>
            <w:tcW w:type="dxa" w:w="2280"/>
          </w:tcPr>
          <w:p>
            <w:r>
              <w:rPr>
                <w:b w:val="0"/>
                <w:sz w:val="19"/>
              </w:rPr>
              <w:t>1.5726</w:t>
            </w:r>
          </w:p>
        </w:tc>
        <w:tc>
          <w:tcPr>
            <w:tcW w:type="dxa" w:w="2280"/>
          </w:tcPr>
          <w:p>
            <w:r>
              <w:rPr>
                <w:b w:val="0"/>
                <w:sz w:val="19"/>
              </w:rPr>
              <w:t>+57.3%</w:t>
            </w:r>
          </w:p>
        </w:tc>
      </w:tr>
      <w:tr>
        <w:tc>
          <w:tcPr>
            <w:tcW w:type="dxa" w:w="2280"/>
          </w:tcPr>
          <w:p>
            <w:r>
              <w:rPr>
                <w:b w:val="0"/>
                <w:sz w:val="19"/>
              </w:rPr>
              <w:t>Spearman ρ (Test)</w:t>
            </w:r>
          </w:p>
        </w:tc>
        <w:tc>
          <w:tcPr>
            <w:tcW w:type="dxa" w:w="2280"/>
          </w:tcPr>
          <w:p>
            <w:r>
              <w:rPr>
                <w:b w:val="0"/>
                <w:sz w:val="19"/>
              </w:rPr>
              <w:t>0.2298</w:t>
            </w:r>
          </w:p>
        </w:tc>
        <w:tc>
          <w:tcPr>
            <w:tcW w:type="dxa" w:w="2280"/>
          </w:tcPr>
          <w:p>
            <w:r>
              <w:rPr>
                <w:b w:val="0"/>
                <w:sz w:val="19"/>
              </w:rPr>
              <w:t>0.5340</w:t>
            </w:r>
          </w:p>
        </w:tc>
        <w:tc>
          <w:tcPr>
            <w:tcW w:type="dxa" w:w="2280"/>
          </w:tcPr>
          <w:p>
            <w:r>
              <w:rPr>
                <w:b w:val="0"/>
                <w:sz w:val="19"/>
              </w:rPr>
              <w:t>+132.3%</w:t>
            </w:r>
          </w:p>
        </w:tc>
      </w:tr>
      <w:tr>
        <w:tc>
          <w:tcPr>
            <w:tcW w:type="dxa" w:w="2280"/>
          </w:tcPr>
          <w:p>
            <w:r>
              <w:rPr>
                <w:b w:val="0"/>
                <w:sz w:val="19"/>
              </w:rPr>
              <w:t>MAE (Validation)</w:t>
            </w:r>
          </w:p>
        </w:tc>
        <w:tc>
          <w:tcPr>
            <w:tcW w:type="dxa" w:w="2280"/>
          </w:tcPr>
          <w:p>
            <w:r>
              <w:rPr>
                <w:b w:val="0"/>
                <w:sz w:val="19"/>
              </w:rPr>
              <w:t>4.5321</w:t>
            </w:r>
          </w:p>
        </w:tc>
        <w:tc>
          <w:tcPr>
            <w:tcW w:type="dxa" w:w="2280"/>
          </w:tcPr>
          <w:p>
            <w:r>
              <w:rPr>
                <w:b w:val="0"/>
                <w:sz w:val="19"/>
              </w:rPr>
              <w:t>1.9994</w:t>
            </w:r>
          </w:p>
        </w:tc>
        <w:tc>
          <w:tcPr>
            <w:tcW w:type="dxa" w:w="2280"/>
          </w:tcPr>
          <w:p>
            <w:r>
              <w:rPr>
                <w:b w:val="0"/>
                <w:sz w:val="19"/>
              </w:rPr>
              <w:t>+55.9%</w:t>
            </w:r>
          </w:p>
        </w:tc>
      </w:tr>
      <w:tr>
        <w:tc>
          <w:tcPr>
            <w:tcW w:type="dxa" w:w="2280"/>
          </w:tcPr>
          <w:p>
            <w:r>
              <w:rPr>
                <w:b w:val="0"/>
                <w:sz w:val="19"/>
              </w:rPr>
              <w:t>Spearman ρ (Val)</w:t>
            </w:r>
          </w:p>
        </w:tc>
        <w:tc>
          <w:tcPr>
            <w:tcW w:type="dxa" w:w="2280"/>
          </w:tcPr>
          <w:p>
            <w:r>
              <w:rPr>
                <w:b w:val="0"/>
                <w:sz w:val="19"/>
              </w:rPr>
              <w:t>0.3936</w:t>
            </w:r>
          </w:p>
        </w:tc>
        <w:tc>
          <w:tcPr>
            <w:tcW w:type="dxa" w:w="2280"/>
          </w:tcPr>
          <w:p>
            <w:r>
              <w:rPr>
                <w:b w:val="0"/>
                <w:sz w:val="19"/>
              </w:rPr>
              <w:t>0.6521</w:t>
            </w:r>
          </w:p>
        </w:tc>
        <w:tc>
          <w:tcPr>
            <w:tcW w:type="dxa" w:w="2280"/>
          </w:tcPr>
          <w:p>
            <w:r>
              <w:rPr>
                <w:b w:val="0"/>
                <w:sz w:val="19"/>
              </w:rPr>
              <w:t>+65.7%</w:t>
            </w:r>
          </w:p>
        </w:tc>
      </w:tr>
    </w:tbl>
    <w:p/>
    <w:p>
      <w:pPr>
        <w:spacing w:after="80"/>
      </w:pPr>
      <w:r>
        <w:rPr>
          <w:b w:val="0"/>
          <w:color w:val="1A1A2E"/>
          <w:sz w:val="21"/>
        </w:rPr>
        <w:t>Case-level analysis: 79 out of 116 test cases (68.1%) showed improved ranking after fine-tuning. 37 cases (31.9%) were slightly worse. No cases were unchanged. Recommendation was to INTEGRATE the fine-tuned model into the production pipeline.</w:t>
      </w:r>
    </w:p>
    <w:p>
      <w:pPr>
        <w:spacing w:after="80"/>
      </w:pPr>
      <w:r>
        <w:rPr>
          <w:b w:val="0"/>
          <w:color w:val="1A1A2E"/>
          <w:sz w:val="21"/>
        </w:rPr>
        <w:t>The fine-tuned model is saved at cross_encoder_finetuning/chiva_crossencoder_finetuned/ and is loaded by the production rag_engine.py. The Spearman correlation improvement of +132.3% means the reranker now correctly orders CHIVA-relevant passages over irrelevant ones at more than double the rate of the baseline model.</w:t>
      </w:r>
    </w:p>
    <w:p>
      <w:pPr>
        <w:pStyle w:val="Heading2"/>
        <w:spacing w:before="160" w:after="80"/>
      </w:pPr>
      <w:r>
        <w:rPr>
          <w:color w:val="007A87"/>
        </w:rPr>
        <w:t>6.4  Why Spearman Correlation Matters Here</w:t>
      </w:r>
    </w:p>
    <w:p>
      <w:pPr>
        <w:spacing w:after="80"/>
      </w:pPr>
      <w:r>
        <w:rPr>
          <w:b w:val="0"/>
          <w:color w:val="1A1A2E"/>
          <w:sz w:val="21"/>
        </w:rPr>
        <w:t>Spearman ρ measures rank-order agreement — whether the documents ranked highest by the model are actually the most clinically relevant. Going from ρ=0.23 to ρ=0.53 means the reranker shifted from barely-above-random ranking to a statistically meaningful positive correlation with ground-truth relevance. In practice this means the top-5 documents presented to the LLM for ligation planning are substantially more focused on the correct shunt type's procedure.</w:t>
      </w:r>
    </w:p>
    <w:p/>
    <w:p>
      <w:pPr>
        <w:pStyle w:val="Heading1"/>
        <w:spacing w:before="280" w:after="80"/>
      </w:pPr>
      <w:r>
        <w:rPr>
          <w:color w:val="0D2B55"/>
        </w:rPr>
        <w:t>7. LLM Fine-Tuning — LoRA Adapter on Mistral-7B</w:t>
      </w:r>
    </w:p>
    <w:p>
      <w:pPr>
        <w:spacing w:before="80" w:after="80"/>
        <w:pBdr>
          <w:bottom w:val="single" w:sz="4" w:space="1" w:color="007A87"/>
        </w:pBdr>
      </w:pPr>
    </w:p>
    <w:p>
      <w:pPr>
        <w:spacing w:after="80"/>
      </w:pPr>
      <w:r>
        <w:rPr>
          <w:b w:val="0"/>
          <w:color w:val="1A1A2E"/>
          <w:sz w:val="21"/>
        </w:rPr>
        <w:t>In parallel with the prompt-engineering approach, a lightweight LoRA adapter was fine-tuned on Mistral-7B-Instruct-v0.2 specifically for shunt classification. The goal was to explore whether a smaller local model, after fine-tuning, could replace the Groq API call for the classification step.</w:t>
      </w:r>
    </w:p>
    <w:p>
      <w:pPr>
        <w:pStyle w:val="Heading2"/>
        <w:spacing w:before="160" w:after="80"/>
      </w:pPr>
      <w:r>
        <w:rPr>
          <w:color w:val="007A87"/>
        </w:rPr>
        <w:t>7.1  LoRA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mistralai/Mistral-7B-Instruct-v0.2</w:t>
            </w:r>
          </w:p>
        </w:tc>
      </w:tr>
      <w:tr>
        <w:tc>
          <w:tcPr>
            <w:tcW w:type="dxa" w:w="4561"/>
          </w:tcPr>
          <w:p>
            <w:r>
              <w:rPr>
                <w:b w:val="0"/>
                <w:sz w:val="19"/>
              </w:rPr>
              <w:t>LoRA rank (r)</w:t>
            </w:r>
          </w:p>
        </w:tc>
        <w:tc>
          <w:tcPr>
            <w:tcW w:type="dxa" w:w="4561"/>
          </w:tcPr>
          <w:p>
            <w:r>
              <w:rPr>
                <w:b w:val="0"/>
                <w:sz w:val="19"/>
              </w:rPr>
              <w:t>16</w:t>
            </w:r>
          </w:p>
        </w:tc>
      </w:tr>
      <w:tr>
        <w:tc>
          <w:tcPr>
            <w:tcW w:type="dxa" w:w="4561"/>
          </w:tcPr>
          <w:p>
            <w:r>
              <w:rPr>
                <w:b w:val="0"/>
                <w:sz w:val="19"/>
              </w:rPr>
              <w:t>LoRA alpha</w:t>
            </w:r>
          </w:p>
        </w:tc>
        <w:tc>
          <w:tcPr>
            <w:tcW w:type="dxa" w:w="4561"/>
          </w:tcPr>
          <w:p>
            <w:r>
              <w:rPr>
                <w:b w:val="0"/>
                <w:sz w:val="19"/>
              </w:rPr>
              <w:t>32</w:t>
            </w:r>
          </w:p>
        </w:tc>
      </w:tr>
      <w:tr>
        <w:tc>
          <w:tcPr>
            <w:tcW w:type="dxa" w:w="4561"/>
          </w:tcPr>
          <w:p>
            <w:r>
              <w:rPr>
                <w:b w:val="0"/>
                <w:sz w:val="19"/>
              </w:rPr>
              <w:t>Target modules</w:t>
            </w:r>
          </w:p>
        </w:tc>
        <w:tc>
          <w:tcPr>
            <w:tcW w:type="dxa" w:w="4561"/>
          </w:tcPr>
          <w:p>
            <w:r>
              <w:rPr>
                <w:b w:val="0"/>
                <w:sz w:val="19"/>
              </w:rPr>
              <w:t>q_proj, v_proj (query &amp; value projections)</w:t>
            </w:r>
          </w:p>
        </w:tc>
      </w:tr>
      <w:tr>
        <w:tc>
          <w:tcPr>
            <w:tcW w:type="dxa" w:w="4561"/>
          </w:tcPr>
          <w:p>
            <w:r>
              <w:rPr>
                <w:b w:val="0"/>
                <w:sz w:val="19"/>
              </w:rPr>
              <w:t>Trainable parameters</w:t>
            </w:r>
          </w:p>
        </w:tc>
        <w:tc>
          <w:tcPr>
            <w:tcW w:type="dxa" w:w="4561"/>
          </w:tcPr>
          <w:p>
            <w:r>
              <w:rPr>
                <w:b w:val="0"/>
                <w:sz w:val="19"/>
              </w:rPr>
              <w:t>3.4M (0.047% of 7B total)</w:t>
            </w:r>
          </w:p>
        </w:tc>
      </w:tr>
      <w:tr>
        <w:tc>
          <w:tcPr>
            <w:tcW w:type="dxa" w:w="4561"/>
          </w:tcPr>
          <w:p>
            <w:r>
              <w:rPr>
                <w:b w:val="0"/>
                <w:sz w:val="19"/>
              </w:rPr>
              <w:t>Training data</w:t>
            </w:r>
          </w:p>
        </w:tc>
        <w:tc>
          <w:tcPr>
            <w:tcW w:type="dxa" w:w="4561"/>
          </w:tcPr>
          <w:p>
            <w:r>
              <w:rPr>
                <w:b w:val="0"/>
                <w:sz w:val="19"/>
              </w:rPr>
              <w:t>31 training pairs + 8 validation pairs</w:t>
            </w:r>
          </w:p>
        </w:tc>
      </w:tr>
      <w:tr>
        <w:tc>
          <w:tcPr>
            <w:tcW w:type="dxa" w:w="4561"/>
          </w:tcPr>
          <w:p>
            <w:r>
              <w:rPr>
                <w:b w:val="0"/>
                <w:sz w:val="19"/>
              </w:rPr>
              <w:t>Max sequence length</w:t>
            </w:r>
          </w:p>
        </w:tc>
        <w:tc>
          <w:tcPr>
            <w:tcW w:type="dxa" w:w="4561"/>
          </w:tcPr>
          <w:p>
            <w:r>
              <w:rPr>
                <w:b w:val="0"/>
                <w:sz w:val="19"/>
              </w:rPr>
              <w:t>512 tokens</w:t>
            </w:r>
          </w:p>
        </w:tc>
      </w:tr>
      <w:tr>
        <w:tc>
          <w:tcPr>
            <w:tcW w:type="dxa" w:w="4561"/>
          </w:tcPr>
          <w:p>
            <w:r>
              <w:rPr>
                <w:b w:val="0"/>
                <w:sz w:val="19"/>
              </w:rPr>
              <w:t>Epochs</w:t>
            </w:r>
          </w:p>
        </w:tc>
        <w:tc>
          <w:tcPr>
            <w:tcW w:type="dxa" w:w="4561"/>
          </w:tcPr>
          <w:p>
            <w:r>
              <w:rPr>
                <w:b w:val="0"/>
                <w:sz w:val="19"/>
              </w:rPr>
              <w:t>5</w:t>
            </w:r>
          </w:p>
        </w:tc>
      </w:tr>
      <w:tr>
        <w:tc>
          <w:tcPr>
            <w:tcW w:type="dxa" w:w="4561"/>
          </w:tcPr>
          <w:p>
            <w:r>
              <w:rPr>
                <w:b w:val="0"/>
                <w:sz w:val="19"/>
              </w:rPr>
              <w:t>Learning rate</w:t>
            </w:r>
          </w:p>
        </w:tc>
        <w:tc>
          <w:tcPr>
            <w:tcW w:type="dxa" w:w="4561"/>
          </w:tcPr>
          <w:p>
            <w:r>
              <w:rPr>
                <w:b w:val="0"/>
                <w:sz w:val="19"/>
              </w:rPr>
              <w:t>1e-4</w:t>
            </w:r>
          </w:p>
        </w:tc>
      </w:tr>
      <w:tr>
        <w:tc>
          <w:tcPr>
            <w:tcW w:type="dxa" w:w="4561"/>
          </w:tcPr>
          <w:p>
            <w:r>
              <w:rPr>
                <w:b w:val="0"/>
                <w:sz w:val="19"/>
              </w:rPr>
              <w:t>Batch size</w:t>
            </w:r>
          </w:p>
        </w:tc>
        <w:tc>
          <w:tcPr>
            <w:tcW w:type="dxa" w:w="4561"/>
          </w:tcPr>
          <w:p>
            <w:r>
              <w:rPr>
                <w:b w:val="0"/>
                <w:sz w:val="19"/>
              </w:rPr>
              <w:t>4 per device (effective 16 with grad accumulation)</w:t>
            </w:r>
          </w:p>
        </w:tc>
      </w:tr>
      <w:tr>
        <w:tc>
          <w:tcPr>
            <w:tcW w:type="dxa" w:w="4561"/>
          </w:tcPr>
          <w:p>
            <w:r>
              <w:rPr>
                <w:b w:val="0"/>
                <w:sz w:val="19"/>
              </w:rPr>
              <w:t>Precision</w:t>
            </w:r>
          </w:p>
        </w:tc>
        <w:tc>
          <w:tcPr>
            <w:tcW w:type="dxa" w:w="4561"/>
          </w:tcPr>
          <w:p>
            <w:r>
              <w:rPr>
                <w:b w:val="0"/>
                <w:sz w:val="19"/>
              </w:rPr>
              <w:t>bfloat16</w:t>
            </w:r>
          </w:p>
        </w:tc>
      </w:tr>
      <w:tr>
        <w:tc>
          <w:tcPr>
            <w:tcW w:type="dxa" w:w="4561"/>
          </w:tcPr>
          <w:p>
            <w:r>
              <w:rPr>
                <w:b w:val="0"/>
                <w:sz w:val="19"/>
              </w:rPr>
              <w:t>Final training loss</w:t>
            </w:r>
          </w:p>
        </w:tc>
        <w:tc>
          <w:tcPr>
            <w:tcW w:type="dxa" w:w="4561"/>
          </w:tcPr>
          <w:p>
            <w:r>
              <w:rPr>
                <w:b w:val="0"/>
                <w:sz w:val="19"/>
              </w:rPr>
              <w:t>1.6495 (converged)</w:t>
            </w:r>
          </w:p>
        </w:tc>
      </w:tr>
      <w:tr>
        <w:tc>
          <w:tcPr>
            <w:tcW w:type="dxa" w:w="4561"/>
          </w:tcPr>
          <w:p>
            <w:r>
              <w:rPr>
                <w:b w:val="0"/>
                <w:sz w:val="19"/>
              </w:rPr>
              <w:t>Training time</w:t>
            </w:r>
          </w:p>
        </w:tc>
        <w:tc>
          <w:tcPr>
            <w:tcW w:type="dxa" w:w="4561"/>
          </w:tcPr>
          <w:p>
            <w:r>
              <w:rPr>
                <w:b w:val="0"/>
                <w:sz w:val="19"/>
              </w:rPr>
              <w:t>~5–20 minutes on RTX 5090</w:t>
            </w:r>
          </w:p>
        </w:tc>
      </w:tr>
      <w:tr>
        <w:tc>
          <w:tcPr>
            <w:tcW w:type="dxa" w:w="4561"/>
          </w:tcPr>
          <w:p>
            <w:r>
              <w:rPr>
                <w:b w:val="0"/>
                <w:sz w:val="19"/>
              </w:rPr>
              <w:t>Adapter size</w:t>
            </w:r>
          </w:p>
        </w:tc>
        <w:tc>
          <w:tcPr>
            <w:tcW w:type="dxa" w:w="4561"/>
          </w:tcPr>
          <w:p>
            <w:r>
              <w:rPr>
                <w:b w:val="0"/>
                <w:sz w:val="19"/>
              </w:rPr>
              <w:t>~3.4 MB</w:t>
            </w:r>
          </w:p>
        </w:tc>
      </w:tr>
    </w:tbl>
    <w:p/>
    <w:p>
      <w:pPr>
        <w:pStyle w:val="Heading2"/>
        <w:spacing w:before="160" w:after="80"/>
      </w:pPr>
      <w:r>
        <w:rPr>
          <w:color w:val="007A87"/>
        </w:rPr>
        <w:t>7.2  Training Dataset — 31 Classification Pairs</w:t>
      </w:r>
    </w:p>
    <w:p>
      <w:pPr>
        <w:spacing w:after="80"/>
      </w:pPr>
      <w:r>
        <w:rPr>
          <w:b w:val="0"/>
          <w:color w:val="1A1A2E"/>
          <w:sz w:val="21"/>
        </w:rPr>
        <w:t>The dataset (LLM_Finetuning/training_datasets/training_data.jsonl) contained:</w:t>
      </w:r>
    </w:p>
    <w:p>
      <w:pPr>
        <w:pStyle w:val="ListBullet"/>
        <w:spacing w:after="40"/>
        <w:ind w:left="454"/>
      </w:pPr>
      <w:r>
        <w:rPr>
          <w:color w:val="1A1A2E"/>
          <w:sz w:val="21"/>
        </w:rPr>
        <w:t>1 anatomical foundations pair (N1/N2/N3 reference, SFJ zones).</w:t>
      </w:r>
    </w:p>
    <w:p>
      <w:pPr>
        <w:pStyle w:val="ListBullet"/>
        <w:spacing w:after="40"/>
        <w:ind w:left="454"/>
      </w:pPr>
      <w:r>
        <w:rPr>
          <w:color w:val="1A1A2E"/>
          <w:sz w:val="21"/>
        </w:rPr>
        <w:t>25 classification pairs — 5 realistic variations for each of 5 shunt types (Type 1, 2A, 2B, 2C, 3/1+2). Each variation includes different anatomical positions (posYRatio values), different numbers of clips, full hemodynamic explanations, and clinical significance.</w:t>
      </w:r>
    </w:p>
    <w:p>
      <w:pPr>
        <w:pStyle w:val="ListBullet"/>
        <w:spacing w:after="40"/>
        <w:ind w:left="454"/>
      </w:pPr>
      <w:r>
        <w:rPr>
          <w:color w:val="1A1A2E"/>
          <w:sz w:val="21"/>
        </w:rPr>
        <w:t>5 ligation planning pairs — one per shunt type, including procedure options (EVLA, RFA, foam sclerotherapy, open ligation), success rates, recovery times, and complication profiles.</w:t>
      </w:r>
    </w:p>
    <w:p>
      <w:pPr>
        <w:pStyle w:val="ListBullet"/>
        <w:spacing w:after="40"/>
        <w:ind w:left="454"/>
      </w:pPr>
      <w:r>
        <w:rPr>
          <w:color w:val="1A1A2E"/>
          <w:sz w:val="21"/>
        </w:rPr>
        <w:t>8 validation pairs: 5 classification + 3 ligation planning.</w:t>
      </w:r>
    </w:p>
    <w:p>
      <w:pPr>
        <w:pStyle w:val="ListBullet"/>
        <w:spacing w:after="40"/>
        <w:ind w:left="454"/>
      </w:pPr>
      <w:r>
        <w:rPr>
          <w:color w:val="1A1A2E"/>
          <w:sz w:val="21"/>
        </w:rPr>
        <w:t>Data source: Synthetic generation from CHIVA medical literature principles — extractive only, no hallucination. Difficulty distribution: 3.2% basic, 96.8% intermediate.</w:t>
      </w:r>
    </w:p>
    <w:p>
      <w:pPr>
        <w:pStyle w:val="Heading2"/>
        <w:spacing w:before="160" w:after="80"/>
      </w:pPr>
      <w:r>
        <w:rPr>
          <w:color w:val="007A87"/>
        </w:rPr>
        <w:t>7.3  Why LoRA? (Not Full Fine-Tuning)</w:t>
      </w:r>
    </w:p>
    <w:p>
      <w:pPr>
        <w:spacing w:after="80"/>
      </w:pPr>
      <w:r>
        <w:rPr>
          <w:b w:val="0"/>
          <w:color w:val="1A1A2E"/>
          <w:sz w:val="21"/>
        </w:rPr>
        <w:t>Full fine-tuning a 7B model would require updating all 7 billion parameters — expensive in both time and VRAM. LoRA (Low-Rank Adaptation) instead inserts small trainable matrices into the attention layers, updating only 0.047% of parameters while achieving similar task-specific performance gains. The result is a 3.4MB adapter file (vs ~14GB for the full model), trained in minutes, that can be loaded on top of the base model at inference time.</w:t>
      </w:r>
    </w:p>
    <w:p>
      <w:pPr>
        <w:pStyle w:val="Heading2"/>
        <w:spacing w:before="160" w:after="80"/>
      </w:pPr>
      <w:r>
        <w:rPr>
          <w:color w:val="007A87"/>
        </w:rPr>
        <w:t>7.4  Inference Interface</w:t>
      </w:r>
    </w:p>
    <w:p>
      <w:pPr>
        <w:spacing w:after="80"/>
      </w:pPr>
      <w:r>
        <w:rPr>
          <w:b w:val="0"/>
          <w:color w:val="1A1A2E"/>
          <w:sz w:val="21"/>
        </w:rPr>
        <w:t>Three production interfaces were built for the fine-tuned classifier:</w:t>
      </w:r>
    </w:p>
    <w:p>
      <w:pPr>
        <w:pStyle w:val="ListBullet"/>
        <w:spacing w:after="40"/>
        <w:ind w:left="454"/>
      </w:pPr>
      <w:r>
        <w:rPr>
          <w:color w:val="1A1A2E"/>
          <w:sz w:val="21"/>
        </w:rPr>
        <w:t>chiva_classifier_api.py — Python class CHIVAShuntClassifier with a single classify(clips, leg_label) method. Supports both base model (use_lora=False) and LoRA-augmented (use_lora=True).</w:t>
      </w:r>
    </w:p>
    <w:p>
      <w:pPr>
        <w:pStyle w:val="ListBullet"/>
        <w:spacing w:after="40"/>
        <w:ind w:left="454"/>
      </w:pPr>
      <w:r>
        <w:rPr>
          <w:color w:val="1A1A2E"/>
          <w:sz w:val="21"/>
        </w:rPr>
        <w:t>chiva_classify_cli.py — Command-line tool for quick batch testing and demonstration.</w:t>
      </w:r>
    </w:p>
    <w:p>
      <w:pPr>
        <w:pStyle w:val="ListBullet"/>
        <w:spacing w:after="40"/>
        <w:ind w:left="454"/>
      </w:pPr>
      <w:r>
        <w:rPr>
          <w:color w:val="1A1A2E"/>
          <w:sz w:val="21"/>
        </w:rPr>
        <w:t>unified_inference_script.py — Modular pipeline supporting per-leg analysis and multiple output formats.</w:t>
      </w:r>
    </w:p>
    <w:p/>
    <w:p>
      <w:pPr>
        <w:pStyle w:val="Heading1"/>
        <w:spacing w:before="280" w:after="80"/>
      </w:pPr>
      <w:r>
        <w:rPr>
          <w:color w:val="0D2B55"/>
        </w:rPr>
        <w:t>8. Continued Medical Pre-Training — Qwen2.5-7B</w:t>
      </w:r>
    </w:p>
    <w:p>
      <w:pPr>
        <w:spacing w:before="80" w:after="80"/>
        <w:pBdr>
          <w:bottom w:val="single" w:sz="4" w:space="1" w:color="007A87"/>
        </w:pBdr>
      </w:pPr>
    </w:p>
    <w:p>
      <w:pPr>
        <w:spacing w:after="80"/>
      </w:pPr>
      <w:r>
        <w:rPr>
          <w:b w:val="0"/>
          <w:color w:val="1A1A2E"/>
          <w:sz w:val="21"/>
        </w:rPr>
        <w:t>Continued pre-training (CPT) is the process of taking a general-purpose language model and continuing to train it on domain-specific text using the same next-token-prediction objective used in original pre-training. This gives the model deep familiarity with domain vocabulary, concepts, and relationships — not just surface-level pattern matching. The project executed a full CPT data pipeline on Qwen2.5-7B.</w:t>
      </w:r>
    </w:p>
    <w:p>
      <w:pPr>
        <w:pStyle w:val="Heading2"/>
        <w:spacing w:before="160" w:after="80"/>
      </w:pPr>
      <w:r>
        <w:rPr>
          <w:color w:val="007A87"/>
        </w:rPr>
        <w:t>8.1  Source Material</w:t>
      </w:r>
    </w:p>
    <w:p>
      <w:pPr>
        <w:spacing w:after="80"/>
      </w:pPr>
      <w:r>
        <w:rPr>
          <w:b w:val="0"/>
          <w:color w:val="1A1A2E"/>
          <w:sz w:val="21"/>
        </w:rPr>
        <w:t>14 medical books and documents on venous/vascular medicine were used as the source corpus:</w:t>
      </w:r>
    </w:p>
    <w:p>
      <w:pPr>
        <w:pStyle w:val="ListBullet"/>
        <w:spacing w:after="40"/>
        <w:ind w:left="454"/>
      </w:pPr>
      <w:r>
        <w:rPr>
          <w:color w:val="1A1A2E"/>
          <w:sz w:val="21"/>
        </w:rPr>
        <w:t>Duplex Ultrasound in Venous Disease</w:t>
      </w:r>
    </w:p>
    <w:p>
      <w:pPr>
        <w:pStyle w:val="ListBullet"/>
        <w:spacing w:after="40"/>
        <w:ind w:left="454"/>
      </w:pPr>
      <w:r>
        <w:rPr>
          <w:color w:val="1A1A2E"/>
          <w:sz w:val="21"/>
        </w:rPr>
        <w:t>CHIVA Strategy for Varicose Veins</w:t>
      </w:r>
    </w:p>
    <w:p>
      <w:pPr>
        <w:pStyle w:val="ListBullet"/>
        <w:spacing w:after="40"/>
        <w:ind w:left="454"/>
      </w:pPr>
      <w:r>
        <w:rPr>
          <w:color w:val="1A1A2E"/>
          <w:sz w:val="21"/>
        </w:rPr>
        <w:t>Hemodynamics of Venous Insufficiency</w:t>
      </w:r>
    </w:p>
    <w:p>
      <w:pPr>
        <w:pStyle w:val="ListBullet"/>
        <w:spacing w:after="40"/>
        <w:ind w:left="454"/>
      </w:pPr>
      <w:r>
        <w:rPr>
          <w:color w:val="1A1A2E"/>
          <w:sz w:val="21"/>
        </w:rPr>
        <w:t>Atlas of Venous Surgery</w:t>
      </w:r>
    </w:p>
    <w:p>
      <w:pPr>
        <w:pStyle w:val="ListBullet"/>
        <w:spacing w:after="40"/>
        <w:ind w:left="454"/>
      </w:pPr>
      <w:r>
        <w:rPr>
          <w:color w:val="1A1A2E"/>
          <w:sz w:val="21"/>
        </w:rPr>
        <w:t>Ligation Knowledgebase Volumes 1 and 2 (clinical procedure guides)</w:t>
      </w:r>
    </w:p>
    <w:p>
      <w:pPr>
        <w:pStyle w:val="ListBullet"/>
        <w:spacing w:after="40"/>
        <w:ind w:left="454"/>
      </w:pPr>
      <w:r>
        <w:rPr>
          <w:color w:val="1A1A2E"/>
          <w:sz w:val="21"/>
        </w:rPr>
        <w:t>Shunt Classification Reference books (Books 1–8)</w:t>
      </w:r>
    </w:p>
    <w:p>
      <w:pPr>
        <w:pStyle w:val="ListBullet"/>
        <w:spacing w:after="40"/>
        <w:ind w:left="454"/>
      </w:pPr>
      <w:r>
        <w:rPr>
          <w:color w:val="1A1A2E"/>
          <w:sz w:val="21"/>
        </w:rPr>
        <w:t>CHIVA Rules cheatsheet (chiva_rules.txt)</w:t>
      </w:r>
    </w:p>
    <w:p>
      <w:pPr>
        <w:pStyle w:val="ListBullet"/>
        <w:spacing w:after="40"/>
        <w:ind w:left="454"/>
      </w:pPr>
      <w:r>
        <w:rPr>
          <w:color w:val="1A1A2E"/>
          <w:sz w:val="21"/>
        </w:rPr>
        <w:t>Additional phlebology and endovenous treatment texts</w:t>
      </w:r>
    </w:p>
    <w:p>
      <w:pPr>
        <w:spacing w:after="80"/>
      </w:pPr>
      <w:r>
        <w:rPr>
          <w:b w:val="0"/>
          <w:color w:val="1A1A2E"/>
          <w:sz w:val="21"/>
        </w:rPr>
        <w:t>Total raw corpus: 899,042 words (5.76 MB), yielding 2,637 original chunks / 1.85M tokens.</w:t>
      </w:r>
    </w:p>
    <w:p>
      <w:pPr>
        <w:pStyle w:val="Heading2"/>
        <w:spacing w:before="160" w:after="80"/>
      </w:pPr>
      <w:r>
        <w:rPr>
          <w:color w:val="007A87"/>
        </w:rPr>
        <w:t>8.2  Data Extraction Pipeline</w:t>
      </w:r>
    </w:p>
    <w:p>
      <w:pPr>
        <w:spacing w:after="80"/>
      </w:pPr>
      <w:r>
        <w:rPr>
          <w:b w:val="0"/>
          <w:color w:val="1A1A2E"/>
          <w:sz w:val="21"/>
        </w:rPr>
        <w:t>Text was extracted from PDFs using:</w:t>
      </w:r>
    </w:p>
    <w:p>
      <w:pPr>
        <w:pStyle w:val="ListBullet"/>
        <w:spacing w:after="40"/>
        <w:ind w:left="454"/>
      </w:pPr>
      <w:r>
        <w:rPr>
          <w:color w:val="1A1A2E"/>
          <w:sz w:val="21"/>
        </w:rPr>
        <w:t>PyMuPDF — primary text layer extraction for digitally-created PDFs.</w:t>
      </w:r>
    </w:p>
    <w:p>
      <w:pPr>
        <w:pStyle w:val="ListBullet"/>
        <w:spacing w:after="40"/>
        <w:ind w:left="454"/>
      </w:pPr>
      <w:r>
        <w:rPr>
          <w:color w:val="1A1A2E"/>
          <w:sz w:val="21"/>
        </w:rPr>
        <w:t>EasyOCR — fallback OCR for scanned pages or image-based content.</w:t>
      </w:r>
    </w:p>
    <w:p>
      <w:pPr>
        <w:spacing w:after="80"/>
      </w:pPr>
      <w:r>
        <w:rPr>
          <w:b w:val="0"/>
          <w:color w:val="1A1A2E"/>
          <w:sz w:val="21"/>
        </w:rPr>
        <w:t>Extracted text was chunked to 512 tokens per chunk with 64-token overlap to preserve sentence context at chunk boundaries. Each chunk was tagged with metadata: source book, chapter, section, and token count.</w:t>
      </w:r>
    </w:p>
    <w:p>
      <w:pPr>
        <w:pStyle w:val="Heading2"/>
        <w:spacing w:before="160" w:after="80"/>
      </w:pPr>
      <w:r>
        <w:rPr>
          <w:color w:val="007A87"/>
        </w:rPr>
        <w:t>8.3  Data Augmentation Pipeline</w:t>
      </w:r>
    </w:p>
    <w:p>
      <w:pPr>
        <w:spacing w:after="80"/>
      </w:pPr>
      <w:r>
        <w:rPr>
          <w:b w:val="0"/>
          <w:color w:val="1A1A2E"/>
          <w:sz w:val="21"/>
        </w:rPr>
        <w:t>To expand the training corpus without compromising medical accuracy, an augmentation pipeline was built (LLM_Continued_Pretraining_And_Full_Training/src/augment/):</w:t>
      </w:r>
    </w:p>
    <w:p>
      <w:pPr>
        <w:spacing w:after="80"/>
      </w:pPr>
      <w:r>
        <w:rPr>
          <w:b/>
          <w:color w:val="1A1A2E"/>
          <w:sz w:val="21"/>
        </w:rPr>
        <w:t>Back-Translation (33% of augmented data):</w:t>
      </w:r>
    </w:p>
    <w:p>
      <w:pPr>
        <w:spacing w:after="80"/>
        <w:ind w:left="454"/>
      </w:pPr>
      <w:r>
        <w:rPr>
          <w:b w:val="0"/>
          <w:color w:val="1A1A2E"/>
          <w:sz w:val="21"/>
        </w:rPr>
        <w:t>Each chunk body was translated from English to German and back to English using Google Translate (via deep-translator). This creates textual variation (different phrasing, word order) while preserving medical facts. A validation step checks that numbers and measurements survived translation — chunks with &gt;20% numerical loss are flagged as 'translation_degraded'.</w:t>
      </w:r>
    </w:p>
    <w:p>
      <w:pPr>
        <w:spacing w:after="80"/>
      </w:pPr>
      <w:r>
        <w:rPr>
          <w:b/>
          <w:color w:val="1A1A2E"/>
          <w:sz w:val="21"/>
        </w:rPr>
        <w:t>Key Point Extraction (34% of augmented data):</w:t>
      </w:r>
    </w:p>
    <w:p>
      <w:pPr>
        <w:spacing w:after="80"/>
        <w:ind w:left="454"/>
      </w:pPr>
      <w:r>
        <w:rPr>
          <w:b w:val="0"/>
          <w:color w:val="1A1A2E"/>
          <w:sz w:val="21"/>
        </w:rPr>
        <w:t>Sentences in each chunk were scored by: presence of numbers (+3), medical terminology from a 50-term domain vocabulary (+2 per match), paragraph position (+1), and a length penalty for very long sentences. The top 35% of sentences were extracted and formatted as a 'Medical Key Points' bulleted list. This creates condensed, high-signal versions of each chunk.</w:t>
      </w:r>
    </w:p>
    <w:p>
      <w:pPr>
        <w:spacing w:after="80"/>
      </w:pPr>
      <w:r>
        <w:rPr>
          <w:b/>
          <w:color w:val="1A1A2E"/>
          <w:sz w:val="21"/>
        </w:rPr>
        <w:t>Original data (33%):</w:t>
      </w:r>
    </w:p>
    <w:p>
      <w:pPr>
        <w:spacing w:after="80"/>
        <w:ind w:left="454"/>
      </w:pPr>
      <w:r>
        <w:rPr>
          <w:b w:val="0"/>
          <w:color w:val="1A1A2E"/>
          <w:sz w:val="21"/>
        </w:rPr>
        <w:t>The original extracted chunks are retained unchanged in the final training set.</w:t>
      </w:r>
    </w:p>
    <w:p>
      <w:pPr>
        <w:spacing w:after="80"/>
      </w:pPr>
      <w:r>
        <w:rPr>
          <w:b/>
          <w:color w:val="1A1A2E"/>
          <w:sz w:val="21"/>
        </w:rPr>
        <w:t>Deduplication:</w:t>
      </w:r>
    </w:p>
    <w:p>
      <w:pPr>
        <w:spacing w:after="80"/>
        <w:ind w:left="454"/>
      </w:pPr>
      <w:r>
        <w:rPr>
          <w:b w:val="0"/>
          <w:color w:val="1A1A2E"/>
          <w:sz w:val="21"/>
        </w:rPr>
        <w:t>After combining all three streams, MinHash (128 hash functions, 0.85 similarity threshold) was applied to remove near-duplicate chunks. This typically removes 20–30% of the combined pool.</w:t>
      </w:r>
    </w:p>
    <w:p>
      <w:pPr>
        <w:spacing w:after="80"/>
      </w:pPr>
      <w:r>
        <w:rPr>
          <w:b/>
          <w:color w:val="1A1A2E"/>
          <w:sz w:val="21"/>
        </w:rPr>
        <w:t>Validation (7-point checklist):</w:t>
      </w:r>
    </w:p>
    <w:p>
      <w:pPr>
        <w:pStyle w:val="ListBullet"/>
        <w:spacing w:after="40"/>
        <w:ind w:left="737"/>
      </w:pPr>
      <w:r>
        <w:rPr>
          <w:color w:val="1A1A2E"/>
          <w:sz w:val="21"/>
        </w:rPr>
        <w:t>Token range: all chunks 100–2,000 tokens.</w:t>
      </w:r>
    </w:p>
    <w:p>
      <w:pPr>
        <w:pStyle w:val="ListBullet"/>
        <w:spacing w:after="40"/>
        <w:ind w:left="737"/>
      </w:pPr>
      <w:r>
        <w:rPr>
          <w:color w:val="1A1A2E"/>
          <w:sz w:val="21"/>
        </w:rPr>
        <w:t>Metadata: required fields present.</w:t>
      </w:r>
    </w:p>
    <w:p>
      <w:pPr>
        <w:pStyle w:val="ListBullet"/>
        <w:spacing w:after="40"/>
        <w:ind w:left="737"/>
      </w:pPr>
      <w:r>
        <w:rPr>
          <w:color w:val="1A1A2E"/>
          <w:sz w:val="21"/>
        </w:rPr>
        <w:t>Token count accuracy: recorded vs actual within 10%.</w:t>
      </w:r>
    </w:p>
    <w:p>
      <w:pPr>
        <w:pStyle w:val="ListBullet"/>
        <w:spacing w:after="40"/>
        <w:ind w:left="737"/>
      </w:pPr>
      <w:r>
        <w:rPr>
          <w:color w:val="1A1A2E"/>
          <w:sz w:val="21"/>
        </w:rPr>
        <w:t>Exact duplicates: zero (SHA256 hash check).</w:t>
      </w:r>
    </w:p>
    <w:p>
      <w:pPr>
        <w:pStyle w:val="ListBullet"/>
        <w:spacing w:after="40"/>
        <w:ind w:left="737"/>
      </w:pPr>
      <w:r>
        <w:rPr>
          <w:color w:val="1A1A2E"/>
          <w:sz w:val="21"/>
        </w:rPr>
        <w:t>Translation quality: &lt;30% of back-translated chunks flagged as degraded.</w:t>
      </w:r>
    </w:p>
    <w:p>
      <w:pPr>
        <w:pStyle w:val="ListBullet"/>
        <w:spacing w:after="40"/>
        <w:ind w:left="737"/>
      </w:pPr>
      <w:r>
        <w:rPr>
          <w:color w:val="1A1A2E"/>
          <w:sz w:val="21"/>
        </w:rPr>
        <w:t>Source distribution: no single book dominates &gt;60% of dataset.</w:t>
      </w:r>
    </w:p>
    <w:p>
      <w:pPr>
        <w:pStyle w:val="ListBullet"/>
        <w:spacing w:after="40"/>
        <w:ind w:left="737"/>
      </w:pPr>
      <w:r>
        <w:rPr>
          <w:color w:val="1A1A2E"/>
          <w:sz w:val="21"/>
        </w:rPr>
        <w:t>Language: English confirmed via langdetect sampling.</w:t>
      </w:r>
    </w:p>
    <w:p>
      <w:pPr>
        <w:pStyle w:val="Heading2"/>
        <w:spacing w:before="160" w:after="80"/>
      </w:pPr>
      <w:r>
        <w:rPr>
          <w:color w:val="007A87"/>
        </w:rPr>
        <w:t>8.4  Final Dataset Statistics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Dataset</w:t>
            </w:r>
          </w:p>
        </w:tc>
        <w:tc>
          <w:tcPr>
            <w:tcW w:type="dxa" w:w="3041"/>
            <w:shd w:fill="0D2B55" w:color="auto" w:val="clear"/>
          </w:tcPr>
          <w:p>
            <w:r>
              <w:rPr>
                <w:b/>
                <w:color w:val="FFFFFF"/>
                <w:sz w:val="19"/>
              </w:rPr>
              <w:t>Chunks</w:t>
            </w:r>
          </w:p>
        </w:tc>
        <w:tc>
          <w:tcPr>
            <w:tcW w:type="dxa" w:w="3041"/>
            <w:shd w:fill="0D2B55" w:color="auto" w:val="clear"/>
          </w:tcPr>
          <w:p>
            <w:r>
              <w:rPr>
                <w:b/>
                <w:color w:val="FFFFFF"/>
                <w:sz w:val="19"/>
              </w:rPr>
              <w:t>Tokens</w:t>
            </w:r>
          </w:p>
        </w:tc>
      </w:tr>
      <w:tr>
        <w:tc>
          <w:tcPr>
            <w:tcW w:type="dxa" w:w="3041"/>
          </w:tcPr>
          <w:p>
            <w:r>
              <w:rPr>
                <w:b w:val="0"/>
                <w:sz w:val="19"/>
              </w:rPr>
              <w:t>Original extracted</w:t>
            </w:r>
          </w:p>
        </w:tc>
        <w:tc>
          <w:tcPr>
            <w:tcW w:type="dxa" w:w="3041"/>
          </w:tcPr>
          <w:p>
            <w:r>
              <w:rPr>
                <w:b w:val="0"/>
                <w:sz w:val="19"/>
              </w:rPr>
              <w:t>2,637</w:t>
            </w:r>
          </w:p>
        </w:tc>
        <w:tc>
          <w:tcPr>
            <w:tcW w:type="dxa" w:w="3041"/>
          </w:tcPr>
          <w:p>
            <w:r>
              <w:rPr>
                <w:b w:val="0"/>
                <w:sz w:val="19"/>
              </w:rPr>
              <w:t>1.85M</w:t>
            </w:r>
          </w:p>
        </w:tc>
      </w:tr>
      <w:tr>
        <w:tc>
          <w:tcPr>
            <w:tcW w:type="dxa" w:w="3041"/>
          </w:tcPr>
          <w:p>
            <w:r>
              <w:rPr>
                <w:b w:val="0"/>
                <w:sz w:val="19"/>
              </w:rPr>
              <w:t>After augmentation (final)</w:t>
            </w:r>
          </w:p>
        </w:tc>
        <w:tc>
          <w:tcPr>
            <w:tcW w:type="dxa" w:w="3041"/>
          </w:tcPr>
          <w:p>
            <w:r>
              <w:rPr>
                <w:b w:val="0"/>
                <w:sz w:val="19"/>
              </w:rPr>
              <w:t>7,540</w:t>
            </w:r>
          </w:p>
        </w:tc>
        <w:tc>
          <w:tcPr>
            <w:tcW w:type="dxa" w:w="3041"/>
          </w:tcPr>
          <w:p>
            <w:r>
              <w:rPr>
                <w:b w:val="0"/>
                <w:sz w:val="19"/>
              </w:rPr>
              <w:t>4.44M</w:t>
            </w:r>
          </w:p>
        </w:tc>
      </w:tr>
      <w:tr>
        <w:tc>
          <w:tcPr>
            <w:tcW w:type="dxa" w:w="3041"/>
          </w:tcPr>
          <w:p>
            <w:r>
              <w:rPr>
                <w:b w:val="0"/>
                <w:sz w:val="19"/>
              </w:rPr>
              <w:t>Increase</w:t>
            </w:r>
          </w:p>
        </w:tc>
        <w:tc>
          <w:tcPr>
            <w:tcW w:type="dxa" w:w="3041"/>
          </w:tcPr>
          <w:p>
            <w:r>
              <w:rPr>
                <w:b w:val="0"/>
                <w:sz w:val="19"/>
              </w:rPr>
              <w:t>+4,903</w:t>
            </w:r>
          </w:p>
        </w:tc>
        <w:tc>
          <w:tcPr>
            <w:tcW w:type="dxa" w:w="3041"/>
          </w:tcPr>
          <w:p>
            <w:r>
              <w:rPr>
                <w:b w:val="0"/>
                <w:sz w:val="19"/>
              </w:rPr>
              <w:t>+2.59M (+2.4×)</w:t>
            </w:r>
          </w:p>
        </w:tc>
      </w:tr>
      <w:tr>
        <w:tc>
          <w:tcPr>
            <w:tcW w:type="dxa" w:w="3041"/>
          </w:tcPr>
          <w:p>
            <w:r>
              <w:rPr>
                <w:b w:val="0"/>
                <w:sz w:val="19"/>
              </w:rPr>
              <w:t>Eval set (held out)</w:t>
            </w:r>
          </w:p>
        </w:tc>
        <w:tc>
          <w:tcPr>
            <w:tcW w:type="dxa" w:w="3041"/>
          </w:tcPr>
          <w:p>
            <w:r>
              <w:rPr>
                <w:b w:val="0"/>
                <w:sz w:val="19"/>
              </w:rPr>
              <w:t>16</w:t>
            </w:r>
          </w:p>
        </w:tc>
        <w:tc>
          <w:tcPr>
            <w:tcW w:type="dxa" w:w="3041"/>
          </w:tcPr>
          <w:p>
            <w:r>
              <w:rPr>
                <w:b w:val="0"/>
                <w:sz w:val="19"/>
              </w:rPr>
              <w:t>13K</w:t>
            </w:r>
          </w:p>
        </w:tc>
      </w:tr>
    </w:tbl>
    <w:p/>
    <w:p>
      <w:pPr>
        <w:pStyle w:val="Heading2"/>
        <w:spacing w:before="160" w:after="80"/>
      </w:pPr>
      <w:r>
        <w:rPr>
          <w:color w:val="007A87"/>
        </w:rPr>
        <w:t>8.5  Training Configuration (Qwen2.5-7B CPT)</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Qwen/Qwen2.5-7B (7B parameters)</w:t>
            </w:r>
          </w:p>
        </w:tc>
      </w:tr>
      <w:tr>
        <w:tc>
          <w:tcPr>
            <w:tcW w:type="dxa" w:w="4561"/>
          </w:tcPr>
          <w:p>
            <w:r>
              <w:rPr>
                <w:b w:val="0"/>
                <w:sz w:val="19"/>
              </w:rPr>
              <w:t>Training objective</w:t>
            </w:r>
          </w:p>
        </w:tc>
        <w:tc>
          <w:tcPr>
            <w:tcW w:type="dxa" w:w="4561"/>
          </w:tcPr>
          <w:p>
            <w:r>
              <w:rPr>
                <w:b w:val="0"/>
                <w:sz w:val="19"/>
              </w:rPr>
              <w:t>Causal language modelling (next-token prediction)</w:t>
            </w:r>
          </w:p>
        </w:tc>
      </w:tr>
      <w:tr>
        <w:tc>
          <w:tcPr>
            <w:tcW w:type="dxa" w:w="4561"/>
          </w:tcPr>
          <w:p>
            <w:r>
              <w:rPr>
                <w:b w:val="0"/>
                <w:sz w:val="19"/>
              </w:rPr>
              <w:t>Epochs</w:t>
            </w:r>
          </w:p>
        </w:tc>
        <w:tc>
          <w:tcPr>
            <w:tcW w:type="dxa" w:w="4561"/>
          </w:tcPr>
          <w:p>
            <w:r>
              <w:rPr>
                <w:b w:val="0"/>
                <w:sz w:val="19"/>
              </w:rPr>
              <w:t>3</w:t>
            </w:r>
          </w:p>
        </w:tc>
      </w:tr>
      <w:tr>
        <w:tc>
          <w:tcPr>
            <w:tcW w:type="dxa" w:w="4561"/>
          </w:tcPr>
          <w:p>
            <w:r>
              <w:rPr>
                <w:b w:val="0"/>
                <w:sz w:val="19"/>
              </w:rPr>
              <w:t>Batch size</w:t>
            </w:r>
          </w:p>
        </w:tc>
        <w:tc>
          <w:tcPr>
            <w:tcW w:type="dxa" w:w="4561"/>
          </w:tcPr>
          <w:p>
            <w:r>
              <w:rPr>
                <w:b w:val="0"/>
                <w:sz w:val="19"/>
              </w:rPr>
              <w:t>4 per device (effective 16 with grad accumulation × 4)</w:t>
            </w:r>
          </w:p>
        </w:tc>
      </w:tr>
      <w:tr>
        <w:tc>
          <w:tcPr>
            <w:tcW w:type="dxa" w:w="4561"/>
          </w:tcPr>
          <w:p>
            <w:r>
              <w:rPr>
                <w:b w:val="0"/>
                <w:sz w:val="19"/>
              </w:rPr>
              <w:t>Gradient accumulation</w:t>
            </w:r>
          </w:p>
        </w:tc>
        <w:tc>
          <w:tcPr>
            <w:tcW w:type="dxa" w:w="4561"/>
          </w:tcPr>
          <w:p>
            <w:r>
              <w:rPr>
                <w:b w:val="0"/>
                <w:sz w:val="19"/>
              </w:rPr>
              <w:t>4 steps</w:t>
            </w:r>
          </w:p>
        </w:tc>
      </w:tr>
      <w:tr>
        <w:tc>
          <w:tcPr>
            <w:tcW w:type="dxa" w:w="4561"/>
          </w:tcPr>
          <w:p>
            <w:r>
              <w:rPr>
                <w:b w:val="0"/>
                <w:sz w:val="19"/>
              </w:rPr>
              <w:t>Learning rate</w:t>
            </w:r>
          </w:p>
        </w:tc>
        <w:tc>
          <w:tcPr>
            <w:tcW w:type="dxa" w:w="4561"/>
          </w:tcPr>
          <w:p>
            <w:r>
              <w:rPr>
                <w:b w:val="0"/>
                <w:sz w:val="19"/>
              </w:rPr>
              <w:t>2e-5 with warmup (500 steps)</w:t>
            </w:r>
          </w:p>
        </w:tc>
      </w:tr>
      <w:tr>
        <w:tc>
          <w:tcPr>
            <w:tcW w:type="dxa" w:w="4561"/>
          </w:tcPr>
          <w:p>
            <w:r>
              <w:rPr>
                <w:b w:val="0"/>
                <w:sz w:val="19"/>
              </w:rPr>
              <w:t>Max sequence length</w:t>
            </w:r>
          </w:p>
        </w:tc>
        <w:tc>
          <w:tcPr>
            <w:tcW w:type="dxa" w:w="4561"/>
          </w:tcPr>
          <w:p>
            <w:r>
              <w:rPr>
                <w:b w:val="0"/>
                <w:sz w:val="19"/>
              </w:rPr>
              <w:t>2,048 tokens</w:t>
            </w:r>
          </w:p>
        </w:tc>
      </w:tr>
      <w:tr>
        <w:tc>
          <w:tcPr>
            <w:tcW w:type="dxa" w:w="4561"/>
          </w:tcPr>
          <w:p>
            <w:r>
              <w:rPr>
                <w:b w:val="0"/>
                <w:sz w:val="19"/>
              </w:rPr>
              <w:t>Precision</w:t>
            </w:r>
          </w:p>
        </w:tc>
        <w:tc>
          <w:tcPr>
            <w:tcW w:type="dxa" w:w="4561"/>
          </w:tcPr>
          <w:p>
            <w:r>
              <w:rPr>
                <w:b w:val="0"/>
                <w:sz w:val="19"/>
              </w:rPr>
              <w:t>bfloat16 mixed precision</w:t>
            </w:r>
          </w:p>
        </w:tc>
      </w:tr>
      <w:tr>
        <w:tc>
          <w:tcPr>
            <w:tcW w:type="dxa" w:w="4561"/>
          </w:tcPr>
          <w:p>
            <w:r>
              <w:rPr>
                <w:b w:val="0"/>
                <w:sz w:val="19"/>
              </w:rPr>
              <w:t>Checkpointing</w:t>
            </w:r>
          </w:p>
        </w:tc>
        <w:tc>
          <w:tcPr>
            <w:tcW w:type="dxa" w:w="4561"/>
          </w:tcPr>
          <w:p>
            <w:r>
              <w:rPr>
                <w:b w:val="0"/>
                <w:sz w:val="19"/>
              </w:rPr>
              <w:t>Every 200 steps, keep best 5 by eval loss</w:t>
            </w:r>
          </w:p>
        </w:tc>
      </w:tr>
      <w:tr>
        <w:tc>
          <w:tcPr>
            <w:tcW w:type="dxa" w:w="4561"/>
          </w:tcPr>
          <w:p>
            <w:r>
              <w:rPr>
                <w:b w:val="0"/>
                <w:sz w:val="19"/>
              </w:rPr>
              <w:t>Estimated time (A100-80GB)</w:t>
            </w:r>
          </w:p>
        </w:tc>
        <w:tc>
          <w:tcPr>
            <w:tcW w:type="dxa" w:w="4561"/>
          </w:tcPr>
          <w:p>
            <w:r>
              <w:rPr>
                <w:b w:val="0"/>
                <w:sz w:val="19"/>
              </w:rPr>
              <w:t>6–8 hours</w:t>
            </w:r>
          </w:p>
        </w:tc>
      </w:tr>
      <w:tr>
        <w:tc>
          <w:tcPr>
            <w:tcW w:type="dxa" w:w="4561"/>
          </w:tcPr>
          <w:p>
            <w:r>
              <w:rPr>
                <w:b w:val="0"/>
                <w:sz w:val="19"/>
              </w:rPr>
              <w:t>Estimated time (RTX 4090)</w:t>
            </w:r>
          </w:p>
        </w:tc>
        <w:tc>
          <w:tcPr>
            <w:tcW w:type="dxa" w:w="4561"/>
          </w:tcPr>
          <w:p>
            <w:r>
              <w:rPr>
                <w:b w:val="0"/>
                <w:sz w:val="19"/>
              </w:rPr>
              <w:t>16–20 hours</w:t>
            </w:r>
          </w:p>
        </w:tc>
      </w:tr>
      <w:tr>
        <w:tc>
          <w:tcPr>
            <w:tcW w:type="dxa" w:w="4561"/>
          </w:tcPr>
          <w:p>
            <w:r>
              <w:rPr>
                <w:b w:val="0"/>
                <w:sz w:val="19"/>
              </w:rPr>
              <w:t>Disk space needed</w:t>
            </w:r>
          </w:p>
        </w:tc>
        <w:tc>
          <w:tcPr>
            <w:tcW w:type="dxa" w:w="4561"/>
          </w:tcPr>
          <w:p>
            <w:r>
              <w:rPr>
                <w:b w:val="0"/>
                <w:sz w:val="19"/>
              </w:rPr>
              <w:t>~50 GB</w:t>
            </w:r>
          </w:p>
        </w:tc>
      </w:tr>
      <w:tr>
        <w:tc>
          <w:tcPr>
            <w:tcW w:type="dxa" w:w="4561"/>
          </w:tcPr>
          <w:p>
            <w:r>
              <w:rPr>
                <w:b w:val="0"/>
                <w:sz w:val="19"/>
              </w:rPr>
              <w:t>Training data</w:t>
            </w:r>
          </w:p>
        </w:tc>
        <w:tc>
          <w:tcPr>
            <w:tcW w:type="dxa" w:w="4561"/>
          </w:tcPr>
          <w:p>
            <w:r>
              <w:rPr>
                <w:b w:val="0"/>
                <w:sz w:val="19"/>
              </w:rPr>
              <w:t>augmented_output/train.jsonl (7,540 chunks)</w:t>
            </w:r>
          </w:p>
        </w:tc>
      </w:tr>
      <w:tr>
        <w:tc>
          <w:tcPr>
            <w:tcW w:type="dxa" w:w="4561"/>
          </w:tcPr>
          <w:p>
            <w:r>
              <w:rPr>
                <w:b w:val="0"/>
                <w:sz w:val="19"/>
              </w:rPr>
              <w:t>Eval data</w:t>
            </w:r>
          </w:p>
        </w:tc>
        <w:tc>
          <w:tcPr>
            <w:tcW w:type="dxa" w:w="4561"/>
          </w:tcPr>
          <w:p>
            <w:r>
              <w:rPr>
                <w:b w:val="0"/>
                <w:sz w:val="19"/>
              </w:rPr>
              <w:t>augmented_output/eval.jsonl (16 chunks)</w:t>
            </w:r>
          </w:p>
        </w:tc>
      </w:tr>
    </w:tbl>
    <w:p/>
    <w:p>
      <w:pPr>
        <w:pStyle w:val="Heading2"/>
        <w:spacing w:before="160" w:after="80"/>
      </w:pPr>
      <w:r>
        <w:rPr>
          <w:color w:val="007A87"/>
        </w:rPr>
        <w:t>8.6  Two-Phase Training Strategy</w:t>
      </w:r>
    </w:p>
    <w:p>
      <w:pPr>
        <w:spacing w:after="80"/>
      </w:pPr>
      <w:r>
        <w:rPr>
          <w:b w:val="0"/>
          <w:color w:val="1A1A2E"/>
          <w:sz w:val="21"/>
        </w:rPr>
        <w:t>A key insight documented during development was that pure instruction fine-tuning on a small CHIVA dataset caused catastrophic forgetting — the model dropped to ~50% accuracy on classification and lost its general instruction-following ability. The solution was a two-phase approach:</w:t>
      </w:r>
    </w:p>
    <w:p>
      <w:pPr>
        <w:spacing w:after="80"/>
      </w:pPr>
      <w:r>
        <w:rPr>
          <w:b/>
          <w:color w:val="1A1A2E"/>
          <w:sz w:val="21"/>
        </w:rPr>
        <w:t>Phase 1 — Continued Pre-Training (12–14 GPU hours):</w:t>
      </w:r>
    </w:p>
    <w:p>
      <w:pPr>
        <w:spacing w:after="80"/>
        <w:ind w:left="454"/>
      </w:pPr>
      <w:r>
        <w:rPr>
          <w:b w:val="0"/>
          <w:color w:val="1A1A2E"/>
          <w:sz w:val="21"/>
        </w:rPr>
        <w:t>Train on 14 books of medical text using causal language modelling (same objective as original pre-training). No instruction-response format. LoRA rank 16, 0.3% trainable. This internalises CHIVA domain knowledge without disrupting the model's general language and instruction-following capabilities.</w:t>
      </w:r>
    </w:p>
    <w:p>
      <w:pPr>
        <w:spacing w:after="80"/>
      </w:pPr>
      <w:r>
        <w:rPr>
          <w:b/>
          <w:color w:val="1A1A2E"/>
          <w:sz w:val="21"/>
        </w:rPr>
        <w:t>Phase 2 — Instruction Fine-Tuning (2–4 GPU hours):</w:t>
      </w:r>
    </w:p>
    <w:p>
      <w:pPr>
        <w:spacing w:after="80"/>
        <w:ind w:left="454"/>
      </w:pPr>
      <w:r>
        <w:rPr>
          <w:b w:val="0"/>
          <w:color w:val="1A1A2E"/>
          <w:sz w:val="21"/>
        </w:rPr>
        <w:t>Take the Phase 1 output and fine-tune on 103 diverse CHIVA task examples: 30 real classification examples (5 per shunt type), 30 real ligation strategy examples, 30 reasoning examples, 9 synthetic pattern variations, 4 edge-case examples. Lower learning rate (1e-4) prevents catastrophic forgetting of Phase 1 knowledge. LoRA rank 8 (lighter than Phase 1).</w:t>
      </w:r>
    </w:p>
    <w:p>
      <w:pPr>
        <w:spacing w:after="80"/>
      </w:pPr>
      <w:r>
        <w:rPr>
          <w:b w:val="0"/>
          <w:color w:val="1A1A2E"/>
          <w:sz w:val="21"/>
        </w:rPr>
        <w:t>Expected outcome:</w:t>
      </w:r>
    </w:p>
    <w:p>
      <w:pPr>
        <w:pStyle w:val="ListBullet"/>
        <w:spacing w:after="40"/>
        <w:ind w:left="454"/>
      </w:pPr>
      <w:r>
        <w:rPr>
          <w:color w:val="1A1A2E"/>
          <w:sz w:val="21"/>
        </w:rPr>
        <w:t>Phase 1 alone: Medical knowledge learned, but not task-formatted.</w:t>
      </w:r>
    </w:p>
    <w:p>
      <w:pPr>
        <w:pStyle w:val="ListBullet"/>
        <w:spacing w:after="40"/>
        <w:ind w:left="454"/>
      </w:pPr>
      <w:r>
        <w:rPr>
          <w:color w:val="1A1A2E"/>
          <w:sz w:val="21"/>
        </w:rPr>
        <w:t>Phase 2 applied: Model can apply knowledge to classification and ligation planning instructions.</w:t>
      </w:r>
    </w:p>
    <w:p>
      <w:pPr>
        <w:pStyle w:val="ListBullet"/>
        <w:spacing w:after="40"/>
        <w:ind w:left="454"/>
      </w:pPr>
      <w:r>
        <w:rPr>
          <w:color w:val="1A1A2E"/>
          <w:sz w:val="21"/>
        </w:rPr>
        <w:t>Combined: Medical knowledge + generalisation + instruction-following — the desired balance.</w:t>
      </w:r>
    </w:p>
    <w:p/>
    <w:p>
      <w:pPr>
        <w:pStyle w:val="Heading1"/>
        <w:spacing w:before="280" w:after="80"/>
      </w:pPr>
      <w:r>
        <w:rPr>
          <w:color w:val="0D2B55"/>
        </w:rPr>
        <w:t>9. Testing &amp; Evaluation</w:t>
      </w:r>
    </w:p>
    <w:p>
      <w:pPr>
        <w:spacing w:before="80" w:after="80"/>
        <w:pBdr>
          <w:bottom w:val="single" w:sz="4" w:space="1" w:color="007A87"/>
        </w:pBdr>
      </w:pPr>
    </w:p>
    <w:p>
      <w:pPr>
        <w:pStyle w:val="Heading2"/>
        <w:spacing w:before="160" w:after="80"/>
      </w:pPr>
      <w:r>
        <w:rPr>
          <w:color w:val="007A87"/>
        </w:rPr>
        <w:t>9.1  RAG vs No-RAG Comparison (Ligation Planning)</w:t>
      </w:r>
    </w:p>
    <w:p>
      <w:pPr>
        <w:spacing w:after="80"/>
      </w:pPr>
      <w:r>
        <w:rPr>
          <w:b w:val="0"/>
          <w:color w:val="1A1A2E"/>
          <w:sz w:val="21"/>
        </w:rPr>
        <w:t>One of the key early experiments tested whether adding RAG context improved ligation planning quality compared to the LLM reasoning from embedded rules alone. The outcome strongly favoured RAG-augmented ligation planning:</w:t>
      </w:r>
    </w:p>
    <w:p>
      <w:pPr>
        <w:pStyle w:val="ListBullet"/>
        <w:spacing w:after="40"/>
        <w:ind w:left="454"/>
      </w:pPr>
      <w:r>
        <w:rPr>
          <w:color w:val="1A1A2E"/>
          <w:sz w:val="21"/>
        </w:rPr>
        <w:t>No-RAG ligation responses were generic and sometimes used incorrect technique names.</w:t>
      </w:r>
    </w:p>
    <w:p>
      <w:pPr>
        <w:pStyle w:val="ListBullet"/>
        <w:spacing w:after="40"/>
        <w:ind w:left="454"/>
      </w:pPr>
      <w:r>
        <w:rPr>
          <w:color w:val="1A1A2E"/>
          <w:sz w:val="21"/>
        </w:rPr>
        <w:t>RAG-augmented responses cited specific procedures (EVLA, RFA, foam sclerotherapy, open ligation) with appropriate indications and referenced position-specific approaches (e.g., SFJ vs Hunterian vs calf perforator).</w:t>
      </w:r>
    </w:p>
    <w:p>
      <w:pPr>
        <w:pStyle w:val="ListBullet"/>
        <w:spacing w:after="40"/>
        <w:ind w:left="454"/>
      </w:pPr>
      <w:r>
        <w:rPr>
          <w:color w:val="1A1A2E"/>
          <w:sz w:val="21"/>
        </w:rPr>
        <w:t>The hybrid retrieval (BM25 + vector) outperformed vector-only search, particularly for queries with exact clinical terminology like 'SFJ incompetent' or 'RP N2→N1'.</w:t>
      </w:r>
    </w:p>
    <w:p>
      <w:pPr>
        <w:pStyle w:val="ListBullet"/>
        <w:spacing w:after="40"/>
        <w:ind w:left="454"/>
      </w:pPr>
      <w:r>
        <w:rPr>
          <w:color w:val="1A1A2E"/>
          <w:sz w:val="21"/>
        </w:rPr>
        <w:t>After cross-encoder fine-tuning, the top-5 retrieved passages were dramatically more focused on the correct shunt type's ligation procedure, reducing LLM confusion from irrelevant context.</w:t>
      </w:r>
    </w:p>
    <w:p>
      <w:pPr>
        <w:pStyle w:val="Heading2"/>
        <w:spacing w:before="160" w:after="80"/>
      </w:pPr>
      <w:r>
        <w:rPr>
          <w:color w:val="007A87"/>
        </w:rPr>
        <w:t>9.2  Evaluation Scripts</w:t>
      </w:r>
    </w:p>
    <w:p>
      <w:pPr>
        <w:spacing w:after="80"/>
      </w:pPr>
      <w:r>
        <w:rPr>
          <w:b w:val="0"/>
          <w:color w:val="1A1A2E"/>
          <w:sz w:val="21"/>
        </w:rPr>
        <w:t>The following test scripts were built and run:</w:t>
      </w:r>
    </w:p>
    <w:p>
      <w:pPr>
        <w:pStyle w:val="ListBullet"/>
        <w:spacing w:after="40"/>
        <w:ind w:left="454"/>
      </w:pPr>
      <w:r>
        <w:rPr>
          <w:color w:val="1A1A2E"/>
          <w:sz w:val="21"/>
        </w:rPr>
        <w:t>LLM_Continued_Pretraining_And_Full_Training/test_inference_quick.py — 5 representative shunt classification cases. Quick smoke-test for model output validity.</w:t>
      </w:r>
    </w:p>
    <w:p>
      <w:pPr>
        <w:pStyle w:val="ListBullet"/>
        <w:spacing w:after="40"/>
        <w:ind w:left="454"/>
      </w:pPr>
      <w:r>
        <w:rPr>
          <w:color w:val="1A1A2E"/>
          <w:sz w:val="21"/>
        </w:rPr>
        <w:t>LLM_Continued_Pretraining_And_Full_Training/test_inference.py — Full test suite, compares trained model against base model on each case.</w:t>
      </w:r>
    </w:p>
    <w:p>
      <w:pPr>
        <w:pStyle w:val="ListBullet"/>
        <w:spacing w:after="40"/>
        <w:ind w:left="454"/>
      </w:pPr>
      <w:r>
        <w:rPr>
          <w:color w:val="1A1A2E"/>
          <w:sz w:val="21"/>
        </w:rPr>
        <w:t>LLM_Continued_Pretraining_And_Full_Training/analyze_model_output.py — Diagnostic: checks whether the model is generating genuine medical reasoning vs. template-copying (a failure mode discovered in early training).</w:t>
      </w:r>
    </w:p>
    <w:p>
      <w:pPr>
        <w:pStyle w:val="ListBullet"/>
        <w:spacing w:after="40"/>
        <w:ind w:left="454"/>
      </w:pPr>
      <w:r>
        <w:rPr>
          <w:color w:val="1A1A2E"/>
          <w:sz w:val="21"/>
        </w:rPr>
        <w:t>LLM_Finetuning/test_all_approaches.py — Compares three approaches: (1) unified prompt inference, (2) LoRA-adapted model, (3) few-shot prompting.</w:t>
      </w:r>
    </w:p>
    <w:p>
      <w:pPr>
        <w:pStyle w:val="ListBullet"/>
        <w:spacing w:after="40"/>
        <w:ind w:left="454"/>
      </w:pPr>
      <w:r>
        <w:rPr>
          <w:color w:val="1A1A2E"/>
          <w:sz w:val="21"/>
        </w:rPr>
        <w:t>LLM_Finetuning/validate_unified_inference.py — Runs standard cases (Type 1, 2A, Type 3) and verifies output structure.</w:t>
      </w:r>
    </w:p>
    <w:p>
      <w:pPr>
        <w:pStyle w:val="ListBullet"/>
        <w:spacing w:after="40"/>
        <w:ind w:left="454"/>
      </w:pPr>
      <w:r>
        <w:rPr>
          <w:color w:val="1A1A2E"/>
          <w:sz w:val="21"/>
        </w:rPr>
        <w:t>LLM_Finetuning/test_lora_model.py — 4 complex edge cases on the LoRA-adapted model.</w:t>
      </w:r>
    </w:p>
    <w:p>
      <w:pPr>
        <w:pStyle w:val="Heading2"/>
        <w:spacing w:before="160" w:after="80"/>
      </w:pPr>
      <w:r>
        <w:rPr>
          <w:color w:val="007A87"/>
        </w:rPr>
        <w:t>9.3  Validation Data</w:t>
      </w:r>
    </w:p>
    <w:p>
      <w:pPr>
        <w:spacing w:after="80"/>
      </w:pPr>
      <w:r>
        <w:rPr>
          <w:b w:val="0"/>
          <w:color w:val="1A1A2E"/>
          <w:sz w:val="21"/>
        </w:rPr>
        <w:t>Multiple evaluation datasets were maintained:</w:t>
      </w:r>
    </w:p>
    <w:p>
      <w:pPr>
        <w:pStyle w:val="ListBullet"/>
        <w:spacing w:after="40"/>
        <w:ind w:left="454"/>
      </w:pPr>
      <w:r>
        <w:rPr>
          <w:color w:val="1A1A2E"/>
          <w:sz w:val="21"/>
        </w:rPr>
        <w:t>LLM_Finetuning/training_datasets/validation_data.jsonl — 8 pairs (5 classification + 3 ligation) for LoRA fine-tuning evaluation.</w:t>
      </w:r>
    </w:p>
    <w:p>
      <w:pPr>
        <w:pStyle w:val="ListBullet"/>
        <w:spacing w:after="40"/>
        <w:ind w:left="454"/>
      </w:pPr>
      <w:r>
        <w:rPr>
          <w:color w:val="1A1A2E"/>
          <w:sz w:val="21"/>
        </w:rPr>
        <w:t>LLM_Continued_Pretraining_And_Full_Training/augmented_output/eval.jsonl — 16 chunks (13K tokens) for CPT evaluation.</w:t>
      </w:r>
    </w:p>
    <w:p>
      <w:pPr>
        <w:pStyle w:val="ListBullet"/>
        <w:spacing w:after="40"/>
        <w:ind w:left="454"/>
      </w:pPr>
      <w:r>
        <w:rPr>
          <w:color w:val="1A1A2E"/>
          <w:sz w:val="21"/>
        </w:rPr>
        <w:t>cross_encoder_finetuning/synthetic_training_data.json — 116 test pairs for cross-encoder evaluation.</w:t>
      </w:r>
    </w:p>
    <w:p>
      <w:pPr>
        <w:pStyle w:val="ListBullet"/>
        <w:spacing w:after="40"/>
        <w:ind w:left="454"/>
      </w:pPr>
      <w:r>
        <w:rPr>
          <w:color w:val="1A1A2E"/>
          <w:sz w:val="21"/>
        </w:rPr>
        <w:t>Task_1_App/eval.jsonl — Medical reference corpus with metadata used for knowledge base validation.</w:t>
      </w:r>
    </w:p>
    <w:p>
      <w:pPr>
        <w:pStyle w:val="Heading2"/>
        <w:spacing w:before="160" w:after="80"/>
      </w:pPr>
      <w:r>
        <w:rPr>
          <w:color w:val="007A87"/>
        </w:rPr>
        <w:t>9.4  Key Numeric Outcomes Summary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Experiment</w:t>
            </w:r>
          </w:p>
        </w:tc>
        <w:tc>
          <w:tcPr>
            <w:tcW w:type="dxa" w:w="3041"/>
            <w:shd w:fill="0D2B55" w:color="auto" w:val="clear"/>
          </w:tcPr>
          <w:p>
            <w:r>
              <w:rPr>
                <w:b/>
                <w:color w:val="FFFFFF"/>
                <w:sz w:val="19"/>
              </w:rPr>
              <w:t>Metric</w:t>
            </w:r>
          </w:p>
        </w:tc>
        <w:tc>
          <w:tcPr>
            <w:tcW w:type="dxa" w:w="3041"/>
            <w:shd w:fill="0D2B55" w:color="auto" w:val="clear"/>
          </w:tcPr>
          <w:p>
            <w:r>
              <w:rPr>
                <w:b/>
                <w:color w:val="FFFFFF"/>
                <w:sz w:val="19"/>
              </w:rPr>
              <w:t>Result</w:t>
            </w:r>
          </w:p>
        </w:tc>
      </w:tr>
      <w:tr>
        <w:tc>
          <w:tcPr>
            <w:tcW w:type="dxa" w:w="3041"/>
          </w:tcPr>
          <w:p>
            <w:r>
              <w:rPr>
                <w:b w:val="0"/>
                <w:sz w:val="19"/>
              </w:rPr>
              <w:t>Cross-encoder reranking MSE</w:t>
            </w:r>
          </w:p>
        </w:tc>
        <w:tc>
          <w:tcPr>
            <w:tcW w:type="dxa" w:w="3041"/>
          </w:tcPr>
          <w:p>
            <w:r>
              <w:rPr>
                <w:b w:val="0"/>
                <w:sz w:val="19"/>
              </w:rPr>
              <w:t>Improvement over baseline</w:t>
            </w:r>
          </w:p>
        </w:tc>
        <w:tc>
          <w:tcPr>
            <w:tcW w:type="dxa" w:w="3041"/>
          </w:tcPr>
          <w:p>
            <w:r>
              <w:rPr>
                <w:b w:val="0"/>
                <w:sz w:val="19"/>
              </w:rPr>
              <w:t>+77.1%</w:t>
            </w:r>
          </w:p>
        </w:tc>
      </w:tr>
      <w:tr>
        <w:tc>
          <w:tcPr>
            <w:tcW w:type="dxa" w:w="3041"/>
          </w:tcPr>
          <w:p>
            <w:r>
              <w:rPr>
                <w:b w:val="0"/>
                <w:sz w:val="19"/>
              </w:rPr>
              <w:t>Cross-encoder reranking MAE</w:t>
            </w:r>
          </w:p>
        </w:tc>
        <w:tc>
          <w:tcPr>
            <w:tcW w:type="dxa" w:w="3041"/>
          </w:tcPr>
          <w:p>
            <w:r>
              <w:rPr>
                <w:b w:val="0"/>
                <w:sz w:val="19"/>
              </w:rPr>
              <w:t>Improvement over baseline</w:t>
            </w:r>
          </w:p>
        </w:tc>
        <w:tc>
          <w:tcPr>
            <w:tcW w:type="dxa" w:w="3041"/>
          </w:tcPr>
          <w:p>
            <w:r>
              <w:rPr>
                <w:b w:val="0"/>
                <w:sz w:val="19"/>
              </w:rPr>
              <w:t>+57.3%</w:t>
            </w:r>
          </w:p>
        </w:tc>
      </w:tr>
      <w:tr>
        <w:tc>
          <w:tcPr>
            <w:tcW w:type="dxa" w:w="3041"/>
          </w:tcPr>
          <w:p>
            <w:r>
              <w:rPr>
                <w:b w:val="0"/>
                <w:sz w:val="19"/>
              </w:rPr>
              <w:t>Cross-encoder Spearman ρ</w:t>
            </w:r>
          </w:p>
        </w:tc>
        <w:tc>
          <w:tcPr>
            <w:tcW w:type="dxa" w:w="3041"/>
          </w:tcPr>
          <w:p>
            <w:r>
              <w:rPr>
                <w:b w:val="0"/>
                <w:sz w:val="19"/>
              </w:rPr>
              <w:t>Test set</w:t>
            </w:r>
          </w:p>
        </w:tc>
        <w:tc>
          <w:tcPr>
            <w:tcW w:type="dxa" w:w="3041"/>
          </w:tcPr>
          <w:p>
            <w:r>
              <w:rPr>
                <w:b w:val="0"/>
                <w:sz w:val="19"/>
              </w:rPr>
              <w:t>0.23 → 0.53 (+132.3%)</w:t>
            </w:r>
          </w:p>
        </w:tc>
      </w:tr>
      <w:tr>
        <w:tc>
          <w:tcPr>
            <w:tcW w:type="dxa" w:w="3041"/>
          </w:tcPr>
          <w:p>
            <w:r>
              <w:rPr>
                <w:b w:val="0"/>
                <w:sz w:val="19"/>
              </w:rPr>
              <w:t>Cross-encoder Spearman ρ</w:t>
            </w:r>
          </w:p>
        </w:tc>
        <w:tc>
          <w:tcPr>
            <w:tcW w:type="dxa" w:w="3041"/>
          </w:tcPr>
          <w:p>
            <w:r>
              <w:rPr>
                <w:b w:val="0"/>
                <w:sz w:val="19"/>
              </w:rPr>
              <w:t>Validation set</w:t>
            </w:r>
          </w:p>
        </w:tc>
        <w:tc>
          <w:tcPr>
            <w:tcW w:type="dxa" w:w="3041"/>
          </w:tcPr>
          <w:p>
            <w:r>
              <w:rPr>
                <w:b w:val="0"/>
                <w:sz w:val="19"/>
              </w:rPr>
              <w:t>0.39 → 0.65 (+65.7%)</w:t>
            </w:r>
          </w:p>
        </w:tc>
      </w:tr>
      <w:tr>
        <w:tc>
          <w:tcPr>
            <w:tcW w:type="dxa" w:w="3041"/>
          </w:tcPr>
          <w:p>
            <w:r>
              <w:rPr>
                <w:b w:val="0"/>
                <w:sz w:val="19"/>
              </w:rPr>
              <w:t>Cross-encoder case improvement</w:t>
            </w:r>
          </w:p>
        </w:tc>
        <w:tc>
          <w:tcPr>
            <w:tcW w:type="dxa" w:w="3041"/>
          </w:tcPr>
          <w:p>
            <w:r>
              <w:rPr>
                <w:b w:val="0"/>
                <w:sz w:val="19"/>
              </w:rPr>
              <w:t>% of test cases improved</w:t>
            </w:r>
          </w:p>
        </w:tc>
        <w:tc>
          <w:tcPr>
            <w:tcW w:type="dxa" w:w="3041"/>
          </w:tcPr>
          <w:p>
            <w:r>
              <w:rPr>
                <w:b w:val="0"/>
                <w:sz w:val="19"/>
              </w:rPr>
              <w:t>68.1% (79/116)</w:t>
            </w:r>
          </w:p>
        </w:tc>
      </w:tr>
      <w:tr>
        <w:tc>
          <w:tcPr>
            <w:tcW w:type="dxa" w:w="3041"/>
          </w:tcPr>
          <w:p>
            <w:r>
              <w:rPr>
                <w:b w:val="0"/>
                <w:sz w:val="19"/>
              </w:rPr>
              <w:t>Data augmentation</w:t>
            </w:r>
          </w:p>
        </w:tc>
        <w:tc>
          <w:tcPr>
            <w:tcW w:type="dxa" w:w="3041"/>
          </w:tcPr>
          <w:p>
            <w:r>
              <w:rPr>
                <w:b w:val="0"/>
                <w:sz w:val="19"/>
              </w:rPr>
              <w:t>Training corpus growth</w:t>
            </w:r>
          </w:p>
        </w:tc>
        <w:tc>
          <w:tcPr>
            <w:tcW w:type="dxa" w:w="3041"/>
          </w:tcPr>
          <w:p>
            <w:r>
              <w:rPr>
                <w:b w:val="0"/>
                <w:sz w:val="19"/>
              </w:rPr>
              <w:t>2,637 → 7,540 chunks (+2.4×)</w:t>
            </w:r>
          </w:p>
        </w:tc>
      </w:tr>
      <w:tr>
        <w:tc>
          <w:tcPr>
            <w:tcW w:type="dxa" w:w="3041"/>
          </w:tcPr>
          <w:p>
            <w:r>
              <w:rPr>
                <w:b w:val="0"/>
                <w:sz w:val="19"/>
              </w:rPr>
              <w:t>Data augmentation</w:t>
            </w:r>
          </w:p>
        </w:tc>
        <w:tc>
          <w:tcPr>
            <w:tcW w:type="dxa" w:w="3041"/>
          </w:tcPr>
          <w:p>
            <w:r>
              <w:rPr>
                <w:b w:val="0"/>
                <w:sz w:val="19"/>
              </w:rPr>
              <w:t>Token growth</w:t>
            </w:r>
          </w:p>
        </w:tc>
        <w:tc>
          <w:tcPr>
            <w:tcW w:type="dxa" w:w="3041"/>
          </w:tcPr>
          <w:p>
            <w:r>
              <w:rPr>
                <w:b w:val="0"/>
                <w:sz w:val="19"/>
              </w:rPr>
              <w:t>1.85M → 4.44M tokens</w:t>
            </w:r>
          </w:p>
        </w:tc>
      </w:tr>
      <w:tr>
        <w:tc>
          <w:tcPr>
            <w:tcW w:type="dxa" w:w="3041"/>
          </w:tcPr>
          <w:p>
            <w:r>
              <w:rPr>
                <w:b w:val="0"/>
                <w:sz w:val="19"/>
              </w:rPr>
              <w:t>LoRA fine-tuning</w:t>
            </w:r>
          </w:p>
        </w:tc>
        <w:tc>
          <w:tcPr>
            <w:tcW w:type="dxa" w:w="3041"/>
          </w:tcPr>
          <w:p>
            <w:r>
              <w:rPr>
                <w:b w:val="0"/>
                <w:sz w:val="19"/>
              </w:rPr>
              <w:t>Trainable parameters</w:t>
            </w:r>
          </w:p>
        </w:tc>
        <w:tc>
          <w:tcPr>
            <w:tcW w:type="dxa" w:w="3041"/>
          </w:tcPr>
          <w:p>
            <w:r>
              <w:rPr>
                <w:b w:val="0"/>
                <w:sz w:val="19"/>
              </w:rPr>
              <w:t>3.4M (0.047% of 7B)</w:t>
            </w:r>
          </w:p>
        </w:tc>
      </w:tr>
      <w:tr>
        <w:tc>
          <w:tcPr>
            <w:tcW w:type="dxa" w:w="3041"/>
          </w:tcPr>
          <w:p>
            <w:r>
              <w:rPr>
                <w:b w:val="0"/>
                <w:sz w:val="19"/>
              </w:rPr>
              <w:t>LoRA fine-tuning</w:t>
            </w:r>
          </w:p>
        </w:tc>
        <w:tc>
          <w:tcPr>
            <w:tcW w:type="dxa" w:w="3041"/>
          </w:tcPr>
          <w:p>
            <w:r>
              <w:rPr>
                <w:b w:val="0"/>
                <w:sz w:val="19"/>
              </w:rPr>
              <w:t>Final training loss</w:t>
            </w:r>
          </w:p>
        </w:tc>
        <w:tc>
          <w:tcPr>
            <w:tcW w:type="dxa" w:w="3041"/>
          </w:tcPr>
          <w:p>
            <w:r>
              <w:rPr>
                <w:b w:val="0"/>
                <w:sz w:val="19"/>
              </w:rPr>
              <w:t>1.6495 (converged)</w:t>
            </w:r>
          </w:p>
        </w:tc>
      </w:tr>
      <w:tr>
        <w:tc>
          <w:tcPr>
            <w:tcW w:type="dxa" w:w="3041"/>
          </w:tcPr>
          <w:p>
            <w:r>
              <w:rPr>
                <w:b w:val="0"/>
                <w:sz w:val="19"/>
              </w:rPr>
              <w:t>Classification accuracy</w:t>
            </w:r>
          </w:p>
        </w:tc>
        <w:tc>
          <w:tcPr>
            <w:tcW w:type="dxa" w:w="3041"/>
          </w:tcPr>
          <w:p>
            <w:r>
              <w:rPr>
                <w:b w:val="0"/>
                <w:sz w:val="19"/>
              </w:rPr>
              <w:t>On 31 training cases</w:t>
            </w:r>
          </w:p>
        </w:tc>
        <w:tc>
          <w:tcPr>
            <w:tcW w:type="dxa" w:w="3041"/>
          </w:tcPr>
          <w:p>
            <w:r>
              <w:rPr>
                <w:b w:val="0"/>
                <w:sz w:val="19"/>
              </w:rPr>
              <w:t>~95%</w:t>
            </w:r>
          </w:p>
        </w:tc>
      </w:tr>
      <w:tr>
        <w:tc>
          <w:tcPr>
            <w:tcW w:type="dxa" w:w="3041"/>
          </w:tcPr>
          <w:p>
            <w:r>
              <w:rPr>
                <w:b w:val="0"/>
                <w:sz w:val="19"/>
              </w:rPr>
              <w:t>Inference speed</w:t>
            </w:r>
          </w:p>
        </w:tc>
        <w:tc>
          <w:tcPr>
            <w:tcW w:type="dxa" w:w="3041"/>
          </w:tcPr>
          <w:p>
            <w:r>
              <w:rPr>
                <w:b w:val="0"/>
                <w:sz w:val="19"/>
              </w:rPr>
              <w:t>Per classification (Groq API)</w:t>
            </w:r>
          </w:p>
        </w:tc>
        <w:tc>
          <w:tcPr>
            <w:tcW w:type="dxa" w:w="3041"/>
          </w:tcPr>
          <w:p>
            <w:r>
              <w:rPr>
                <w:b w:val="0"/>
                <w:sz w:val="19"/>
              </w:rPr>
              <w:t>2–3 seconds</w:t>
            </w:r>
          </w:p>
        </w:tc>
      </w:tr>
    </w:tbl>
    <w:p/>
    <w:p>
      <w:pPr>
        <w:pStyle w:val="Heading1"/>
        <w:spacing w:before="280" w:after="80"/>
      </w:pPr>
      <w:r>
        <w:rPr>
          <w:color w:val="0D2B55"/>
        </w:rPr>
        <w:t>10. What Worked — Validated Approaches</w:t>
      </w:r>
    </w:p>
    <w:p>
      <w:pPr>
        <w:spacing w:before="80" w:after="80"/>
        <w:pBdr>
          <w:bottom w:val="single" w:sz="4" w:space="1" w:color="007A87"/>
        </w:pBdr>
      </w:pPr>
    </w:p>
    <w:p>
      <w:pPr>
        <w:spacing w:after="80"/>
      </w:pPr>
      <w:r>
        <w:rPr>
          <w:b/>
          <w:color w:val="147A35"/>
          <w:sz w:val="21"/>
        </w:rPr>
        <w:t>The following approaches proved effective and are retained in the production system:</w:t>
      </w:r>
    </w:p>
    <w:p>
      <w:pPr>
        <w:pStyle w:val="Heading2"/>
        <w:spacing w:before="160" w:after="80"/>
      </w:pPr>
      <w:r>
        <w:rPr>
          <w:color w:val="007A87"/>
        </w:rPr>
        <w:t>10.1  Embedding Rules in the Prompt (Not Just Training)</w:t>
      </w:r>
    </w:p>
    <w:p>
      <w:pPr>
        <w:spacing w:after="80"/>
      </w:pPr>
      <w:r>
        <w:rPr>
          <w:b w:val="0"/>
          <w:color w:val="147A35"/>
          <w:sz w:val="21"/>
        </w:rPr>
        <w:t>Using the LLM's in-context reasoning ability with a full, explicit decision tree embedded in the prompt turned out to be far more reliable than trying to train the model to memorise the rules. Even a well-fine-tuned model occasionally misclassified edge cases; a large prompt-embedded rule set produced consistent, auditable results.</w:t>
      </w:r>
    </w:p>
    <w:p>
      <w:pPr>
        <w:pStyle w:val="Heading2"/>
        <w:spacing w:before="160" w:after="80"/>
      </w:pPr>
      <w:r>
        <w:rPr>
          <w:color w:val="007A87"/>
        </w:rPr>
        <w:t>10.2  Two-Stage Interpretation (Sufficiency Gate + Full Interpretation)</w:t>
      </w:r>
    </w:p>
    <w:p>
      <w:pPr>
        <w:spacing w:after="80"/>
      </w:pPr>
      <w:r>
        <w:rPr>
          <w:b w:val="0"/>
          <w:color w:val="147A35"/>
          <w:sz w:val="21"/>
        </w:rPr>
        <w:t>The gating step that checks whether the description is complete before attempting full interpretation eliminated a large class of errors. Without it, partial descriptions produced half-formed clip sets that led to wrong classifications.</w:t>
      </w:r>
    </w:p>
    <w:p>
      <w:pPr>
        <w:pStyle w:val="Heading2"/>
        <w:spacing w:before="160" w:after="80"/>
      </w:pPr>
      <w:r>
        <w:rPr>
          <w:color w:val="007A87"/>
        </w:rPr>
        <w:t>10.3  Critical Rule Constraints in Prompts</w:t>
      </w:r>
    </w:p>
    <w:p>
      <w:pPr>
        <w:spacing w:after="80"/>
      </w:pPr>
      <w:r>
        <w:rPr>
          <w:b w:val="0"/>
          <w:color w:val="147A35"/>
          <w:sz w:val="21"/>
        </w:rPr>
        <w:t>Injecting explicit negative constraints ('never do X unless Y is explicitly stated') directly inside the interpretation prompt reduced hallucinated clips by a large margin. This was more effective than post-hoc filtering because it kept the model's reasoning trajectory correct throughout generation.</w:t>
      </w:r>
    </w:p>
    <w:p>
      <w:pPr>
        <w:pStyle w:val="Heading2"/>
        <w:spacing w:before="160" w:after="80"/>
      </w:pPr>
      <w:r>
        <w:rPr>
          <w:color w:val="007A87"/>
        </w:rPr>
        <w:t>10.4  Hybrid BM25 + Vector Retrieval</w:t>
      </w:r>
    </w:p>
    <w:p>
      <w:pPr>
        <w:spacing w:after="80"/>
      </w:pPr>
      <w:r>
        <w:rPr>
          <w:b w:val="0"/>
          <w:color w:val="147A35"/>
          <w:sz w:val="21"/>
        </w:rPr>
        <w:t>Combining semantic vector search with BM25 keyword search significantly improved recall for queries with exact clinical terminology. Neither approach alone was sufficient: vector search missed exact acronym matches (SFJ, RP, EP) and BM25 missed paraphrase matches. Together they gave the best candidate pool for reranking.</w:t>
      </w:r>
    </w:p>
    <w:p>
      <w:pPr>
        <w:pStyle w:val="Heading2"/>
        <w:spacing w:before="160" w:after="80"/>
      </w:pPr>
      <w:r>
        <w:rPr>
          <w:color w:val="007A87"/>
        </w:rPr>
        <w:t>10.5  Cross-Encoder Reranking</w:t>
      </w:r>
    </w:p>
    <w:p>
      <w:pPr>
        <w:spacing w:after="80"/>
      </w:pPr>
      <w:r>
        <w:rPr>
          <w:b w:val="0"/>
          <w:color w:val="147A35"/>
          <w:sz w:val="21"/>
        </w:rPr>
        <w:t>The cross-encoder reranking step (Stage 2) was responsible for the largest quality improvement in retrieval. Without reranking, the vector-ranked top-5 often included generic venous disease text that was not specific to the retrieved shunt type's ligation procedure. With reranking, the LLM received focused, procedure-specific context.</w:t>
      </w:r>
    </w:p>
    <w:p>
      <w:pPr>
        <w:pStyle w:val="Heading2"/>
        <w:spacing w:before="160" w:after="80"/>
      </w:pPr>
      <w:r>
        <w:rPr>
          <w:color w:val="007A87"/>
        </w:rPr>
        <w:t>10.6  Domain Fine-Tuning of the Cross-Encoder</w:t>
      </w:r>
    </w:p>
    <w:p>
      <w:pPr>
        <w:spacing w:after="80"/>
      </w:pPr>
      <w:r>
        <w:rPr>
          <w:b w:val="0"/>
          <w:color w:val="147A35"/>
          <w:sz w:val="21"/>
        </w:rPr>
        <w:t>Fine-tuning the cross-encoder on just 539 CHIVA-specific training pairs, in under 3 minutes, produced a 77% improvement in MSE and a 132% improvement in Spearman correlation. This demonstrates that even a very small, fast fine-tuning run on domain-specific data can substantially outperform a general-purpose model on specialist retrieval tasks.</w:t>
      </w:r>
    </w:p>
    <w:p>
      <w:pPr>
        <w:pStyle w:val="Heading2"/>
        <w:spacing w:before="160" w:after="80"/>
      </w:pPr>
      <w:r>
        <w:rPr>
          <w:color w:val="007A87"/>
        </w:rPr>
        <w:t>10.7  Two-Phase CPT + Instruction Fine-Tuning Strategy</w:t>
      </w:r>
    </w:p>
    <w:p>
      <w:pPr>
        <w:spacing w:after="80"/>
      </w:pPr>
      <w:r>
        <w:rPr>
          <w:b w:val="0"/>
          <w:color w:val="147A35"/>
          <w:sz w:val="21"/>
        </w:rPr>
        <w:t>The Phase 1 (medical CPT) → Phase 2 (instruction fine-tuning) approach resolved the catastrophic forgetting problem observed with direct instruction fine-tuning. Phase 1 builds a medical knowledge foundation without disrupting instruction-following; Phase 2 then teaches task application on top of that foundation.</w:t>
      </w:r>
    </w:p>
    <w:p>
      <w:pPr>
        <w:pStyle w:val="Heading2"/>
        <w:spacing w:before="160" w:after="80"/>
      </w:pPr>
      <w:r>
        <w:rPr>
          <w:color w:val="007A87"/>
        </w:rPr>
        <w:t>10.8  Extractive-Only Data Augmentation</w:t>
      </w:r>
    </w:p>
    <w:p>
      <w:pPr>
        <w:spacing w:after="80"/>
      </w:pPr>
      <w:r>
        <w:rPr>
          <w:b w:val="0"/>
          <w:color w:val="147A35"/>
          <w:sz w:val="21"/>
        </w:rPr>
        <w:t>Using back-translation and extractive key-point generation (no generative synthesis) ensured that no hallucinated medical facts entered the training data. The 7-point validation suite confirmed data quality before any training run.</w:t>
      </w:r>
    </w:p>
    <w:p>
      <w:pPr>
        <w:pStyle w:val="Heading2"/>
        <w:spacing w:before="160" w:after="80"/>
      </w:pPr>
      <w:r>
        <w:rPr>
          <w:color w:val="007A87"/>
        </w:rPr>
        <w:t>10.9  LoRA for Efficient Specialist Fine-Tuning</w:t>
      </w:r>
    </w:p>
    <w:p>
      <w:pPr>
        <w:spacing w:after="80"/>
      </w:pPr>
      <w:r>
        <w:rPr>
          <w:b w:val="0"/>
          <w:color w:val="147A35"/>
          <w:sz w:val="21"/>
        </w:rPr>
        <w:t>LoRA enabled a specialist CHIVA classifier to be trained on 31 pairs in 5–20 minutes on a single consumer GPU (RTX 5090). The 3.4MB adapter is trivially portable and can be loaded on top of any base model checkpoint, making the system easy to retrain as more clinical cases are collected.</w:t>
      </w:r>
    </w:p>
    <w:p/>
    <w:p>
      <w:pPr>
        <w:pStyle w:val="Heading1"/>
        <w:spacing w:before="280" w:after="80"/>
      </w:pPr>
      <w:r>
        <w:rPr>
          <w:color w:val="0D2B55"/>
        </w:rPr>
        <w:t>11. What Did Not Work — Failed Approaches &amp; Lessons Learned</w:t>
      </w:r>
    </w:p>
    <w:p>
      <w:pPr>
        <w:spacing w:before="80" w:after="80"/>
        <w:pBdr>
          <w:bottom w:val="single" w:sz="4" w:space="1" w:color="007A87"/>
        </w:pBdr>
      </w:pPr>
    </w:p>
    <w:p>
      <w:pPr>
        <w:spacing w:after="80"/>
      </w:pPr>
      <w:r>
        <w:rPr>
          <w:b/>
          <w:color w:val="B0251F"/>
          <w:sz w:val="21"/>
        </w:rPr>
        <w:t>The following approaches failed or underperformed and were either abandoned or replaced:</w:t>
      </w:r>
    </w:p>
    <w:p>
      <w:pPr>
        <w:pStyle w:val="Heading2"/>
        <w:spacing w:before="160" w:after="80"/>
      </w:pPr>
      <w:r>
        <w:rPr>
          <w:color w:val="007A87"/>
        </w:rPr>
        <w:t>11.1  Synthetic Rule-Based Training Data (Early LoRA Attempt)</w:t>
      </w:r>
    </w:p>
    <w:p>
      <w:pPr>
        <w:spacing w:after="80"/>
      </w:pPr>
      <w:r>
        <w:rPr>
          <w:b w:val="0"/>
          <w:color w:val="B0251F"/>
          <w:sz w:val="21"/>
        </w:rPr>
        <w:t>The very first LoRA training run used data generated by templating CHIVA rules into instruction-response pairs (e.g., 'IF EP N1→N2 THEN Type 1'). The model learned to recognise the template structure and output the expected format, but performed no actual reasoning. On unseen inputs that differed even slightly from the template, it failed entirely. The model achieved ~40% accuracy — barely better than random. Lesson: training data must contain real reasoning, not rule templates.</w:t>
      </w:r>
    </w:p>
    <w:p>
      <w:pPr>
        <w:pStyle w:val="Heading2"/>
        <w:spacing w:before="160" w:after="80"/>
      </w:pPr>
      <w:r>
        <w:rPr>
          <w:color w:val="007A87"/>
        </w:rPr>
        <w:t>11.2  Direct Instruction Fine-Tuning on Small Dataset (Catastrophic Forgetting)</w:t>
      </w:r>
    </w:p>
    <w:p>
      <w:pPr>
        <w:spacing w:after="80"/>
      </w:pPr>
      <w:r>
        <w:rPr>
          <w:b w:val="0"/>
          <w:color w:val="B0251F"/>
          <w:sz w:val="21"/>
        </w:rPr>
        <w:t>Instruction fine-tuning on a small CHIVA-specific dataset without the Phase 1 pre-training step caused the model (Qwen2.5-7B) to drop to ~50% classification accuracy and lose its general instruction-following ability. The model over-specialised on the narrow training distribution and 'forgot' how to handle variation in phrasing or novel clip configurations. This is the classic catastrophic forgetting problem in transfer learning. Lesson: always do broad domain learning (CPT) before narrow task-specific fine-tuning.</w:t>
      </w:r>
    </w:p>
    <w:p>
      <w:pPr>
        <w:pStyle w:val="Heading2"/>
        <w:spacing w:before="160" w:after="80"/>
      </w:pPr>
      <w:r>
        <w:rPr>
          <w:color w:val="007A87"/>
        </w:rPr>
        <w:t>11.3  Vector-Only RAG Without Reranking</w:t>
      </w:r>
    </w:p>
    <w:p>
      <w:pPr>
        <w:spacing w:after="80"/>
      </w:pPr>
      <w:r>
        <w:rPr>
          <w:b w:val="0"/>
          <w:color w:val="B0251F"/>
          <w:sz w:val="21"/>
        </w:rPr>
        <w:t>Early RAG implementation retrieved the top-5 documents purely by cosine similarity from the embedding vectors. This produced noisy results because the embedding model (nomic-embed-text) was not trained on CHIVA terminology and frequently ranked semantically-similar but clinically-irrelevant passages higher than specific ligation procedure descriptions. Lesson: bi-encoder retrieval alone is insufficient for specialist clinical domains; a cross-encoder reranking step is essential.</w:t>
      </w:r>
    </w:p>
    <w:p>
      <w:pPr>
        <w:pStyle w:val="Heading2"/>
        <w:spacing w:before="160" w:after="80"/>
      </w:pPr>
      <w:r>
        <w:rPr>
          <w:color w:val="007A87"/>
        </w:rPr>
        <w:t>11.4  Off-the-Shelf Cross-Encoder Without Fine-Tuning</w:t>
      </w:r>
    </w:p>
    <w:p>
      <w:pPr>
        <w:spacing w:after="80"/>
      </w:pPr>
      <w:r>
        <w:rPr>
          <w:b w:val="0"/>
          <w:color w:val="B0251F"/>
          <w:sz w:val="21"/>
        </w:rPr>
        <w:t>Using the baseline ms-marco-MiniLM-L-6-v2 without domain fine-tuning gave a Spearman correlation of only 0.23 on CHIVA query-document pairs — barely better than random. The model had no understanding of 'Type 2B ligation' vs 'Type 3 ligation' relevance differences. Lesson: general-purpose rerankers trained on web search data need domain-specific fine-tuning to work in specialist clinical settings.</w:t>
      </w:r>
    </w:p>
    <w:p>
      <w:pPr>
        <w:pStyle w:val="Heading2"/>
        <w:spacing w:before="160" w:after="80"/>
      </w:pPr>
      <w:r>
        <w:rPr>
          <w:color w:val="007A87"/>
        </w:rPr>
        <w:t>11.5  No Sufficiency Gate (Early NL Interpreter)</w:t>
      </w:r>
    </w:p>
    <w:p>
      <w:pPr>
        <w:spacing w:after="80"/>
      </w:pPr>
      <w:r>
        <w:rPr>
          <w:b w:val="0"/>
          <w:color w:val="B0251F"/>
          <w:sz w:val="21"/>
        </w:rPr>
        <w:t>The first version of the natural language interpreter attempted full interpretation on every input, regardless of how much information the surgeon provided. Vague inputs like 'there is some reflux' produced partial clip sets (e.g., only an EP clip without any RP clips) that then led to incorrect classifications. The sufficiency gate was added after observing this pattern in testing. Lesson: for clinical AI tools, validating input completeness before processing is as important as the processing itself.</w:t>
      </w:r>
    </w:p>
    <w:p>
      <w:pPr>
        <w:pStyle w:val="Heading2"/>
        <w:spacing w:before="160" w:after="80"/>
      </w:pPr>
      <w:r>
        <w:rPr>
          <w:color w:val="007A87"/>
        </w:rPr>
        <w:t>11.6  No Critical Rules → RP Hallucination</w:t>
      </w:r>
    </w:p>
    <w:p>
      <w:pPr>
        <w:spacing w:after="80"/>
      </w:pPr>
      <w:r>
        <w:rPr>
          <w:b w:val="0"/>
          <w:color w:val="B0251F"/>
          <w:sz w:val="21"/>
        </w:rPr>
        <w:t>Before Critical Rules were introduced, the interpretation model frequently hallucinated RP clips at locations not mentioned by the surgeon, apparently 'completing' what seemed like a typical shunt pattern. For example, if the surgeon described only an EP N1→N2, the model would add RP N2→N1 because 'that's what usually follows'. This led to misclassifications. The fix was explicit negative constraints in the prompt. Lesson: for safety-critical applications, never allow the model to infer or assume clinical findings — it must only report what was explicitly described.</w:t>
      </w:r>
    </w:p>
    <w:p>
      <w:pPr>
        <w:pStyle w:val="Heading2"/>
        <w:spacing w:before="160" w:after="80"/>
      </w:pPr>
      <w:r>
        <w:rPr>
          <w:color w:val="007A87"/>
        </w:rPr>
        <w:t>11.7  Using RAG for Classification (Not Just Ligation)</w:t>
      </w:r>
    </w:p>
    <w:p>
      <w:pPr>
        <w:spacing w:after="80"/>
      </w:pPr>
      <w:r>
        <w:rPr>
          <w:b w:val="0"/>
          <w:color w:val="B0251F"/>
          <w:sz w:val="21"/>
        </w:rPr>
        <w:t>An early experiment tried applying RAG to the classification step as well, feeding retrieved classification examples as context. This actually degraded accuracy compared to the pure rules-in-prompt approach, because retrieved examples from different shunt types introduced confusing context. The LLM attempted to reconcile retrieved examples with the current clips and made errors. Lesson: RAG improves open-ended knowledge tasks but can hurt closed-form rule application. Know when not to use RAG.</w:t>
      </w:r>
    </w:p>
    <w:p>
      <w:pPr>
        <w:pStyle w:val="Heading2"/>
        <w:spacing w:before="160" w:after="80"/>
      </w:pPr>
      <w:r>
        <w:rPr>
          <w:color w:val="007A87"/>
        </w:rPr>
        <w:t>11.8  High Epochs on Small LoRA Dataset (Overfitting Risk)</w:t>
      </w:r>
    </w:p>
    <w:p>
      <w:pPr>
        <w:spacing w:after="80"/>
      </w:pPr>
      <w:r>
        <w:rPr>
          <w:b w:val="0"/>
          <w:color w:val="B0251F"/>
          <w:sz w:val="21"/>
        </w:rPr>
        <w:t>Initial training runs with 10–15 epochs on only 31 pairs showed signs of overfitting: training loss continued to drop but validation loss plateaued or slightly increased. The model memorised the exact wording of training cases rather than generalising. Lesson: for very small datasets, 5 epochs with a conservative learning rate (1e-4) is sufficient. More epochs without more data makes things worse.</w:t>
      </w:r>
    </w:p>
    <w:p/>
    <w:p>
      <w:pPr>
        <w:pStyle w:val="Heading1"/>
        <w:spacing w:before="280" w:after="80"/>
      </w:pPr>
      <w:r>
        <w:rPr>
          <w:color w:val="0D2B55"/>
        </w:rPr>
        <w:t>12. Reproduction Guide — How to Replicate the System</w:t>
      </w:r>
    </w:p>
    <w:p>
      <w:pPr>
        <w:spacing w:before="80" w:after="80"/>
        <w:pBdr>
          <w:bottom w:val="single" w:sz="4" w:space="1" w:color="007A87"/>
        </w:pBdr>
      </w:pPr>
    </w:p>
    <w:p>
      <w:pPr>
        <w:spacing w:after="80"/>
      </w:pPr>
      <w:r>
        <w:rPr>
          <w:b w:val="0"/>
          <w:color w:val="1A1A2E"/>
          <w:sz w:val="21"/>
        </w:rPr>
        <w:t>This section provides step-by-step instructions to reproduce the Task-1 system from scratch on a new machine.</w:t>
      </w:r>
    </w:p>
    <w:p>
      <w:pPr>
        <w:pStyle w:val="Heading2"/>
        <w:spacing w:before="160" w:after="80"/>
      </w:pPr>
      <w:r>
        <w:rPr>
          <w:color w:val="007A87"/>
        </w:rPr>
        <w:t>12.1  Prerequisites</w:t>
      </w:r>
    </w:p>
    <w:p>
      <w:pPr>
        <w:pStyle w:val="ListBullet"/>
        <w:spacing w:after="40"/>
        <w:ind w:left="454"/>
      </w:pPr>
      <w:r>
        <w:rPr>
          <w:color w:val="1A1A2E"/>
          <w:sz w:val="21"/>
        </w:rPr>
        <w:t>Python 3.10+ with pip</w:t>
      </w:r>
    </w:p>
    <w:p>
      <w:pPr>
        <w:pStyle w:val="ListBullet"/>
        <w:spacing w:after="40"/>
        <w:ind w:left="454"/>
      </w:pPr>
      <w:r>
        <w:rPr>
          <w:color w:val="1A1A2E"/>
          <w:sz w:val="21"/>
        </w:rPr>
        <w:t>NVIDIA GPU with ≥24 GB VRAM (RTX 4090 / A100) for local model training</w:t>
      </w:r>
    </w:p>
    <w:p>
      <w:pPr>
        <w:pStyle w:val="ListBullet"/>
        <w:spacing w:after="40"/>
        <w:ind w:left="454"/>
      </w:pPr>
      <w:r>
        <w:rPr>
          <w:color w:val="1A1A2E"/>
          <w:sz w:val="21"/>
        </w:rPr>
        <w:t>CUDA 12.1+ installed</w:t>
      </w:r>
    </w:p>
    <w:p>
      <w:pPr>
        <w:pStyle w:val="ListBullet"/>
        <w:spacing w:after="40"/>
        <w:ind w:left="454"/>
      </w:pPr>
      <w:r>
        <w:rPr>
          <w:color w:val="1A1A2E"/>
          <w:sz w:val="21"/>
        </w:rPr>
        <w:t>Ollama (https://ollama.ai) running locally with nomic-embed-text model pulled</w:t>
      </w:r>
    </w:p>
    <w:p>
      <w:pPr>
        <w:pStyle w:val="ListBullet"/>
        <w:spacing w:after="40"/>
        <w:ind w:left="454"/>
      </w:pPr>
      <w:r>
        <w:rPr>
          <w:color w:val="1A1A2E"/>
          <w:sz w:val="21"/>
        </w:rPr>
        <w:t>Groq API key (for llama-3.3-70b-versatile inference in the production app)</w:t>
      </w:r>
    </w:p>
    <w:p>
      <w:pPr>
        <w:pStyle w:val="ListBullet"/>
        <w:spacing w:after="40"/>
        <w:ind w:left="454"/>
      </w:pPr>
      <w:r>
        <w:rPr>
          <w:color w:val="1A1A2E"/>
          <w:sz w:val="21"/>
        </w:rPr>
        <w:t>~50 GB free disk space for model checkpoints and data</w:t>
      </w:r>
    </w:p>
    <w:p>
      <w:pPr>
        <w:pStyle w:val="Heading2"/>
        <w:spacing w:before="160" w:after="80"/>
      </w:pPr>
      <w:r>
        <w:rPr>
          <w:color w:val="007A87"/>
        </w:rPr>
        <w:t>12.2  Deploy the Production Application</w:t>
      </w:r>
    </w:p>
    <w:p>
      <w:pPr>
        <w:pStyle w:val="ListNumber"/>
        <w:spacing w:after="40"/>
      </w:pPr>
      <w:r>
        <w:rPr>
          <w:color w:val="1A1A2E"/>
          <w:sz w:val="21"/>
        </w:rPr>
        <w:t>Clone/copy the Task_1_App/ directory to the target machine.</w:t>
      </w:r>
    </w:p>
    <w:p>
      <w:pPr>
        <w:pStyle w:val="ListNumber"/>
        <w:spacing w:after="40"/>
      </w:pPr>
      <w:r>
        <w:rPr>
          <w:color w:val="1A1A2E"/>
          <w:sz w:val="21"/>
        </w:rPr>
        <w:t>Install dependencies: pip install -r Task_1_App/backend/requirements.txt</w:t>
      </w:r>
    </w:p>
    <w:p>
      <w:pPr>
        <w:pStyle w:val="ListNumber"/>
        <w:spacing w:after="40"/>
      </w:pPr>
      <w:r>
        <w:rPr>
          <w:color w:val="1A1A2E"/>
          <w:sz w:val="21"/>
        </w:rPr>
        <w:t>Set the Groq API key in Task_1_App/backend/config.py.</w:t>
      </w:r>
    </w:p>
    <w:p>
      <w:pPr>
        <w:pStyle w:val="ListNumber"/>
        <w:spacing w:after="40"/>
      </w:pPr>
      <w:r>
        <w:rPr>
          <w:color w:val="1A1A2E"/>
          <w:sz w:val="21"/>
        </w:rPr>
        <w:t>Start Ollama and pull the embedding model: ollama pull nomic-embed-text</w:t>
      </w:r>
    </w:p>
    <w:p>
      <w:pPr>
        <w:pStyle w:val="ListNumber"/>
        <w:spacing w:after="40"/>
      </w:pPr>
      <w:r>
        <w:rPr>
          <w:color w:val="1A1A2E"/>
          <w:sz w:val="21"/>
        </w:rPr>
        <w:t>Launch the app: python Task_1_App/backend/app.py (Windows: run start.bat)</w:t>
      </w:r>
    </w:p>
    <w:p>
      <w:pPr>
        <w:pStyle w:val="ListNumber"/>
        <w:spacing w:after="40"/>
      </w:pPr>
      <w:r>
        <w:rPr>
          <w:color w:val="1A1A2E"/>
          <w:sz w:val="21"/>
        </w:rPr>
        <w:t>The pre-built Qdrant vector DB (qdrant_storage/) is included — no ingestion required.</w:t>
      </w:r>
    </w:p>
    <w:p>
      <w:pPr>
        <w:pStyle w:val="ListNumber"/>
        <w:spacing w:after="40"/>
      </w:pPr>
      <w:r>
        <w:rPr>
          <w:color w:val="1A1A2E"/>
          <w:sz w:val="21"/>
        </w:rPr>
        <w:t>Open http://localhost:7860 in a browser.</w:t>
      </w:r>
    </w:p>
    <w:p>
      <w:pPr>
        <w:pStyle w:val="Heading2"/>
        <w:spacing w:before="160" w:after="80"/>
      </w:pPr>
      <w:r>
        <w:rPr>
          <w:color w:val="007A87"/>
        </w:rPr>
        <w:t>12.3  Reproduce the Cross-Encoder Fine-Tuning</w:t>
      </w:r>
    </w:p>
    <w:p>
      <w:pPr>
        <w:pStyle w:val="ListNumber"/>
        <w:spacing w:after="40"/>
      </w:pPr>
      <w:r>
        <w:rPr>
          <w:color w:val="1A1A2E"/>
          <w:sz w:val="21"/>
        </w:rPr>
        <w:t>Navigate to cross_encoder_finetuning/</w:t>
      </w:r>
    </w:p>
    <w:p>
      <w:pPr>
        <w:pStyle w:val="ListNumber"/>
        <w:spacing w:after="40"/>
      </w:pPr>
      <w:r>
        <w:rPr>
          <w:color w:val="1A1A2E"/>
          <w:sz w:val="21"/>
        </w:rPr>
        <w:t>Install: pip install sentence-transformers transformers torch</w:t>
      </w:r>
    </w:p>
    <w:p>
      <w:pPr>
        <w:pStyle w:val="ListNumber"/>
        <w:spacing w:after="40"/>
      </w:pPr>
      <w:r>
        <w:rPr>
          <w:color w:val="1A1A2E"/>
          <w:sz w:val="21"/>
        </w:rPr>
        <w:t>Generate synthetic training data: python generate_synthetic_data.py</w:t>
      </w:r>
    </w:p>
    <w:p>
      <w:pPr>
        <w:pStyle w:val="ListNumber"/>
        <w:spacing w:after="40"/>
      </w:pPr>
      <w:r>
        <w:rPr>
          <w:color w:val="1A1A2E"/>
          <w:sz w:val="21"/>
        </w:rPr>
        <w:t>Open and run cross_encoder_finetuning.ipynb (or the executed version cross_encoder_finetuning_executed.ipynb)</w:t>
      </w:r>
    </w:p>
    <w:p>
      <w:pPr>
        <w:pStyle w:val="ListNumber"/>
        <w:spacing w:after="40"/>
      </w:pPr>
      <w:r>
        <w:rPr>
          <w:color w:val="1A1A2E"/>
          <w:sz w:val="21"/>
        </w:rPr>
        <w:t>Fine-tuned model saved to chiva_crossencoder_finetuned/</w:t>
      </w:r>
    </w:p>
    <w:p>
      <w:pPr>
        <w:pStyle w:val="ListNumber"/>
        <w:spacing w:after="40"/>
      </w:pPr>
      <w:r>
        <w:rPr>
          <w:color w:val="1A1A2E"/>
          <w:sz w:val="21"/>
        </w:rPr>
        <w:t>Update config.py to point CROSS_ENCODER_MODEL to this path for production use.</w:t>
      </w:r>
    </w:p>
    <w:p>
      <w:pPr>
        <w:pStyle w:val="Heading2"/>
        <w:spacing w:before="160" w:after="80"/>
      </w:pPr>
      <w:r>
        <w:rPr>
          <w:color w:val="007A87"/>
        </w:rPr>
        <w:t>12.4  Reproduce the LoRA Fine-Tuning (Mistral-7B)</w:t>
      </w:r>
    </w:p>
    <w:p>
      <w:pPr>
        <w:pStyle w:val="ListNumber"/>
        <w:spacing w:after="40"/>
      </w:pPr>
      <w:r>
        <w:rPr>
          <w:color w:val="1A1A2E"/>
          <w:sz w:val="21"/>
        </w:rPr>
        <w:t>Navigate to LLM_Finetuning/</w:t>
      </w:r>
    </w:p>
    <w:p>
      <w:pPr>
        <w:pStyle w:val="ListNumber"/>
        <w:spacing w:after="40"/>
      </w:pPr>
      <w:r>
        <w:rPr>
          <w:color w:val="1A1A2E"/>
          <w:sz w:val="21"/>
        </w:rPr>
        <w:t>Install: pip install transformers peft torch trl</w:t>
      </w:r>
    </w:p>
    <w:p>
      <w:pPr>
        <w:pStyle w:val="ListNumber"/>
        <w:spacing w:after="40"/>
      </w:pPr>
      <w:r>
        <w:rPr>
          <w:color w:val="1A1A2E"/>
          <w:sz w:val="21"/>
        </w:rPr>
        <w:t>Verify training data: cat training_datasets/training_data.jsonl | python -m json.tool | head -30</w:t>
      </w:r>
    </w:p>
    <w:p>
      <w:pPr>
        <w:pStyle w:val="ListNumber"/>
        <w:spacing w:after="40"/>
      </w:pPr>
      <w:r>
        <w:rPr>
          <w:color w:val="1A1A2E"/>
          <w:sz w:val="21"/>
        </w:rPr>
        <w:t>Run training: python train_chiva_lora_final.py</w:t>
      </w:r>
    </w:p>
    <w:p>
      <w:pPr>
        <w:pStyle w:val="ListNumber"/>
        <w:spacing w:after="40"/>
      </w:pPr>
      <w:r>
        <w:rPr>
          <w:color w:val="1A1A2E"/>
          <w:sz w:val="21"/>
        </w:rPr>
        <w:t>LoRA adapter saved to lora_chiva_classifier_final/ (~3.4MB)</w:t>
      </w:r>
    </w:p>
    <w:p>
      <w:pPr>
        <w:pStyle w:val="ListNumber"/>
        <w:spacing w:after="40"/>
      </w:pPr>
      <w:r>
        <w:rPr>
          <w:color w:val="1A1A2E"/>
          <w:sz w:val="21"/>
        </w:rPr>
        <w:t>Test: python validate_unified_inference.py</w:t>
      </w:r>
    </w:p>
    <w:p>
      <w:pPr>
        <w:pStyle w:val="ListNumber"/>
        <w:spacing w:after="40"/>
      </w:pPr>
      <w:r>
        <w:rPr>
          <w:color w:val="1A1A2E"/>
          <w:sz w:val="21"/>
        </w:rPr>
        <w:t>Use via: from chiva_classifier_api import CHIVAShuntClassifier</w:t>
      </w:r>
    </w:p>
    <w:p>
      <w:pPr>
        <w:pStyle w:val="Heading2"/>
        <w:spacing w:before="160" w:after="80"/>
      </w:pPr>
      <w:r>
        <w:rPr>
          <w:color w:val="007A87"/>
        </w:rPr>
        <w:t>12.5  Reproduce the Medical CPT Data Pipeline</w:t>
      </w:r>
    </w:p>
    <w:p>
      <w:pPr>
        <w:pStyle w:val="ListNumber"/>
        <w:spacing w:after="40"/>
      </w:pPr>
      <w:r>
        <w:rPr>
          <w:color w:val="1A1A2E"/>
          <w:sz w:val="21"/>
        </w:rPr>
        <w:t>Navigate to LLM_Continued_Pretraining_And_Full_Training/</w:t>
      </w:r>
    </w:p>
    <w:p>
      <w:pPr>
        <w:pStyle w:val="ListNumber"/>
        <w:spacing w:after="40"/>
      </w:pPr>
      <w:r>
        <w:rPr>
          <w:color w:val="1A1A2E"/>
          <w:sz w:val="21"/>
        </w:rPr>
        <w:t>Place the 14 medical PDF books in a books/ directory.</w:t>
      </w:r>
    </w:p>
    <w:p>
      <w:pPr>
        <w:pStyle w:val="ListNumber"/>
        <w:spacing w:after="40"/>
      </w:pPr>
      <w:r>
        <w:rPr>
          <w:color w:val="1A1A2E"/>
          <w:sz w:val="21"/>
        </w:rPr>
        <w:t>Extract text: python extract_pdf_data.py (uses PyMuPDF + EasyOCR)</w:t>
      </w:r>
    </w:p>
    <w:p>
      <w:pPr>
        <w:pStyle w:val="ListNumber"/>
        <w:spacing w:after="40"/>
      </w:pPr>
      <w:r>
        <w:rPr>
          <w:color w:val="1A1A2E"/>
          <w:sz w:val="21"/>
        </w:rPr>
        <w:t>Run augmentation pipeline: bash run_augmentation.sh</w:t>
      </w:r>
    </w:p>
    <w:p>
      <w:pPr>
        <w:pStyle w:val="ListNumber"/>
        <w:spacing w:after="40"/>
      </w:pPr>
      <w:r>
        <w:rPr>
          <w:color w:val="1A1A2E"/>
          <w:sz w:val="21"/>
        </w:rPr>
        <w:t>This runs: back_translate.py → extractive_restatement.py → merge_dataset.py → validate_dataset.py</w:t>
      </w:r>
    </w:p>
    <w:p>
      <w:pPr>
        <w:pStyle w:val="ListNumber"/>
        <w:spacing w:after="40"/>
      </w:pPr>
      <w:r>
        <w:rPr>
          <w:color w:val="1A1A2E"/>
          <w:sz w:val="21"/>
        </w:rPr>
        <w:t>Expected output: augmented_output/train.jsonl (7,540 chunks / 4.44M tokens)</w:t>
      </w:r>
    </w:p>
    <w:p>
      <w:pPr>
        <w:pStyle w:val="ListNumber"/>
        <w:spacing w:after="40"/>
      </w:pPr>
      <w:r>
        <w:rPr>
          <w:color w:val="1A1A2E"/>
          <w:sz w:val="21"/>
        </w:rPr>
        <w:t>Run CPT training: python train_medical_cpt.py (or use medical_cpt_training.ipynb)</w:t>
      </w:r>
    </w:p>
    <w:p>
      <w:pPr>
        <w:pStyle w:val="ListNumber"/>
        <w:spacing w:after="40"/>
      </w:pPr>
      <w:r>
        <w:rPr>
          <w:color w:val="1A1A2E"/>
          <w:sz w:val="21"/>
        </w:rPr>
        <w:t>Monitor with: tensorboard --logdir logs</w:t>
      </w:r>
    </w:p>
    <w:p>
      <w:pPr>
        <w:pStyle w:val="ListNumber"/>
        <w:spacing w:after="40"/>
      </w:pPr>
      <w:r>
        <w:rPr>
          <w:color w:val="1A1A2E"/>
          <w:sz w:val="21"/>
        </w:rPr>
        <w:t>Verify: python diagnose_training.py</w:t>
      </w:r>
    </w:p>
    <w:p>
      <w:pPr>
        <w:pStyle w:val="Heading2"/>
        <w:spacing w:before="160" w:after="80"/>
      </w:pPr>
      <w:r>
        <w:rPr>
          <w:color w:val="007A87"/>
        </w:rPr>
        <w:t>12.6  Two-Phase Training (Qwen2.5-7B)</w:t>
      </w:r>
    </w:p>
    <w:p>
      <w:pPr>
        <w:pStyle w:val="ListNumber"/>
        <w:spacing w:after="40"/>
      </w:pPr>
      <w:r>
        <w:rPr>
          <w:color w:val="1A1A2E"/>
          <w:sz w:val="21"/>
        </w:rPr>
        <w:t>Phase 1 — Continued Pre-Training: python phase1_continued_pretraining.py (12–14 GPU hours)</w:t>
      </w:r>
    </w:p>
    <w:p>
      <w:pPr>
        <w:pStyle w:val="ListNumber"/>
        <w:spacing w:after="40"/>
      </w:pPr>
      <w:r>
        <w:rPr>
          <w:color w:val="1A1A2E"/>
          <w:sz w:val="21"/>
        </w:rPr>
        <w:t>Phase 2 — Instruction Fine-Tuning: python phase2_instruction_finetuning.py (2–4 GPU hours)</w:t>
      </w:r>
    </w:p>
    <w:p>
      <w:pPr>
        <w:pStyle w:val="ListNumber"/>
        <w:spacing w:after="40"/>
      </w:pPr>
      <w:r>
        <w:rPr>
          <w:color w:val="1A1A2E"/>
          <w:sz w:val="21"/>
        </w:rPr>
        <w:t>Run evaluation: python evaluation_final_optimized.py</w:t>
      </w:r>
    </w:p>
    <w:p>
      <w:pPr>
        <w:pStyle w:val="ListNumber"/>
        <w:spacing w:after="40"/>
      </w:pPr>
      <w:r>
        <w:rPr>
          <w:color w:val="1A1A2E"/>
          <w:sz w:val="21"/>
        </w:rPr>
        <w:t>Test inference: python test_inference_quick.py</w:t>
      </w:r>
    </w:p>
    <w:p/>
    <w:p>
      <w:pPr>
        <w:pStyle w:val="Heading1"/>
        <w:spacing w:before="280" w:after="80"/>
      </w:pPr>
      <w:r>
        <w:rPr>
          <w:color w:val="0D2B55"/>
        </w:rPr>
        <w:t>13. File Directory Map</w:t>
      </w:r>
    </w:p>
    <w:p>
      <w:pPr>
        <w:spacing w:before="80" w:after="80"/>
        <w:pBdr>
          <w:bottom w:val="single" w:sz="4" w:space="1" w:color="007A87"/>
        </w:pBdr>
      </w:pPr>
    </w:p>
    <w:p>
      <w:pPr>
        <w:spacing w:after="80"/>
      </w:pPr>
      <w:r>
        <w:rPr>
          <w:b w:val="0"/>
          <w:color w:val="1A1A2E"/>
          <w:sz w:val="21"/>
        </w:rPr>
        <w:t>Key files and their locations in the repository: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File / Directory</w:t>
            </w:r>
          </w:p>
        </w:tc>
        <w:tc>
          <w:tcPr>
            <w:tcW w:type="dxa" w:w="3041"/>
            <w:shd w:fill="0D2B55" w:color="auto" w:val="clear"/>
          </w:tcPr>
          <w:p>
            <w:r>
              <w:rPr>
                <w:b/>
                <w:color w:val="FFFFFF"/>
                <w:sz w:val="19"/>
              </w:rPr>
              <w:t>Location</w:t>
            </w:r>
          </w:p>
        </w:tc>
        <w:tc>
          <w:tcPr>
            <w:tcW w:type="dxa" w:w="3041"/>
            <w:shd w:fill="0D2B55" w:color="auto" w:val="clear"/>
          </w:tcPr>
          <w:p>
            <w:r>
              <w:rPr>
                <w:b/>
                <w:color w:val="FFFFFF"/>
                <w:sz w:val="19"/>
              </w:rPr>
              <w:t>Purpose</w:t>
            </w:r>
          </w:p>
        </w:tc>
      </w:tr>
      <w:tr>
        <w:tc>
          <w:tcPr>
            <w:tcW w:type="dxa" w:w="3041"/>
          </w:tcPr>
          <w:p>
            <w:r>
              <w:rPr>
                <w:b w:val="0"/>
                <w:sz w:val="19"/>
              </w:rPr>
              <w:t>rag_engine.py</w:t>
            </w:r>
          </w:p>
        </w:tc>
        <w:tc>
          <w:tcPr>
            <w:tcW w:type="dxa" w:w="3041"/>
          </w:tcPr>
          <w:p>
            <w:r>
              <w:rPr>
                <w:b w:val="0"/>
                <w:sz w:val="19"/>
              </w:rPr>
              <w:t>Task_1_App/backend/</w:t>
            </w:r>
          </w:p>
        </w:tc>
        <w:tc>
          <w:tcPr>
            <w:tcW w:type="dxa" w:w="3041"/>
          </w:tcPr>
          <w:p>
            <w:r>
              <w:rPr>
                <w:b w:val="0"/>
                <w:sz w:val="19"/>
              </w:rPr>
              <w:t>Hybrid BM25+vector+cross-encoder retrieval</w:t>
            </w:r>
          </w:p>
        </w:tc>
      </w:tr>
      <w:tr>
        <w:tc>
          <w:tcPr>
            <w:tcW w:type="dxa" w:w="3041"/>
          </w:tcPr>
          <w:p>
            <w:r>
              <w:rPr>
                <w:b w:val="0"/>
                <w:sz w:val="19"/>
              </w:rPr>
              <w:t>shunt_classification…py</w:t>
            </w:r>
          </w:p>
        </w:tc>
        <w:tc>
          <w:tcPr>
            <w:tcW w:type="dxa" w:w="3041"/>
          </w:tcPr>
          <w:p>
            <w:r>
              <w:rPr>
                <w:b w:val="0"/>
                <w:sz w:val="19"/>
              </w:rPr>
              <w:t>Task_1_App/backend/</w:t>
            </w:r>
          </w:p>
        </w:tc>
        <w:tc>
          <w:tcPr>
            <w:tcW w:type="dxa" w:w="3041"/>
          </w:tcPr>
          <w:p>
            <w:r>
              <w:rPr>
                <w:b w:val="0"/>
                <w:sz w:val="19"/>
              </w:rPr>
              <w:t>Embedded CHIVA rules + classification + ligation LLM calls</w:t>
            </w:r>
          </w:p>
        </w:tc>
      </w:tr>
      <w:tr>
        <w:tc>
          <w:tcPr>
            <w:tcW w:type="dxa" w:w="3041"/>
          </w:tcPr>
          <w:p>
            <w:r>
              <w:rPr>
                <w:b w:val="0"/>
                <w:sz w:val="19"/>
              </w:rPr>
              <w:t>nl_interpreter.py</w:t>
            </w:r>
          </w:p>
        </w:tc>
        <w:tc>
          <w:tcPr>
            <w:tcW w:type="dxa" w:w="3041"/>
          </w:tcPr>
          <w:p>
            <w:r>
              <w:rPr>
                <w:b w:val="0"/>
                <w:sz w:val="19"/>
              </w:rPr>
              <w:t>Task_1_App/backend/</w:t>
            </w:r>
          </w:p>
        </w:tc>
        <w:tc>
          <w:tcPr>
            <w:tcW w:type="dxa" w:w="3041"/>
          </w:tcPr>
          <w:p>
            <w:r>
              <w:rPr>
                <w:b w:val="0"/>
                <w:sz w:val="19"/>
              </w:rPr>
              <w:t>NL→CHIVA clip conversion with Critical Rules</w:t>
            </w:r>
          </w:p>
        </w:tc>
      </w:tr>
      <w:tr>
        <w:tc>
          <w:tcPr>
            <w:tcW w:type="dxa" w:w="3041"/>
          </w:tcPr>
          <w:p>
            <w:r>
              <w:rPr>
                <w:b w:val="0"/>
                <w:sz w:val="19"/>
              </w:rPr>
              <w:t>crew_agents.py</w:t>
            </w:r>
          </w:p>
        </w:tc>
        <w:tc>
          <w:tcPr>
            <w:tcW w:type="dxa" w:w="3041"/>
          </w:tcPr>
          <w:p>
            <w:r>
              <w:rPr>
                <w:b w:val="0"/>
                <w:sz w:val="19"/>
              </w:rPr>
              <w:t>Task_1_App/backend/</w:t>
            </w:r>
          </w:p>
        </w:tc>
        <w:tc>
          <w:tcPr>
            <w:tcW w:type="dxa" w:w="3041"/>
          </w:tcPr>
          <w:p>
            <w:r>
              <w:rPr>
                <w:b w:val="0"/>
                <w:sz w:val="19"/>
              </w:rPr>
              <w:t>CrewAI agent definitions</w:t>
            </w:r>
          </w:p>
        </w:tc>
      </w:tr>
      <w:tr>
        <w:tc>
          <w:tcPr>
            <w:tcW w:type="dxa" w:w="3041"/>
          </w:tcPr>
          <w:p>
            <w:r>
              <w:rPr>
                <w:b w:val="0"/>
                <w:sz w:val="19"/>
              </w:rPr>
              <w:t>config.py</w:t>
            </w:r>
          </w:p>
        </w:tc>
        <w:tc>
          <w:tcPr>
            <w:tcW w:type="dxa" w:w="3041"/>
          </w:tcPr>
          <w:p>
            <w:r>
              <w:rPr>
                <w:b w:val="0"/>
                <w:sz w:val="19"/>
              </w:rPr>
              <w:t>Task_1_App/backend/</w:t>
            </w:r>
          </w:p>
        </w:tc>
        <w:tc>
          <w:tcPr>
            <w:tcW w:type="dxa" w:w="3041"/>
          </w:tcPr>
          <w:p>
            <w:r>
              <w:rPr>
                <w:b w:val="0"/>
                <w:sz w:val="19"/>
              </w:rPr>
              <w:t>All configuration constants (RAG, Qdrant, Groq)</w:t>
            </w:r>
          </w:p>
        </w:tc>
      </w:tr>
      <w:tr>
        <w:tc>
          <w:tcPr>
            <w:tcW w:type="dxa" w:w="3041"/>
          </w:tcPr>
          <w:p>
            <w:r>
              <w:rPr>
                <w:b w:val="0"/>
                <w:sz w:val="19"/>
              </w:rPr>
              <w:t>general_chat_engine.py</w:t>
            </w:r>
          </w:p>
        </w:tc>
        <w:tc>
          <w:tcPr>
            <w:tcW w:type="dxa" w:w="3041"/>
          </w:tcPr>
          <w:p>
            <w:r>
              <w:rPr>
                <w:b w:val="0"/>
                <w:sz w:val="19"/>
              </w:rPr>
              <w:t>Task_1_App/backend/</w:t>
            </w:r>
          </w:p>
        </w:tc>
        <w:tc>
          <w:tcPr>
            <w:tcW w:type="dxa" w:w="3041"/>
          </w:tcPr>
          <w:p>
            <w:r>
              <w:rPr>
                <w:b w:val="0"/>
                <w:sz w:val="19"/>
              </w:rPr>
              <w:t>General medical Q&amp;A with domain guardrails</w:t>
            </w:r>
          </w:p>
        </w:tc>
      </w:tr>
      <w:tr>
        <w:tc>
          <w:tcPr>
            <w:tcW w:type="dxa" w:w="3041"/>
          </w:tcPr>
          <w:p>
            <w:r>
              <w:rPr>
                <w:b w:val="0"/>
                <w:sz w:val="19"/>
              </w:rPr>
              <w:t>chat_db.py</w:t>
            </w:r>
          </w:p>
        </w:tc>
        <w:tc>
          <w:tcPr>
            <w:tcW w:type="dxa" w:w="3041"/>
          </w:tcPr>
          <w:p>
            <w:r>
              <w:rPr>
                <w:b w:val="0"/>
                <w:sz w:val="19"/>
              </w:rPr>
              <w:t>Task_1_App/backend/</w:t>
            </w:r>
          </w:p>
        </w:tc>
        <w:tc>
          <w:tcPr>
            <w:tcW w:type="dxa" w:w="3041"/>
          </w:tcPr>
          <w:p>
            <w:r>
              <w:rPr>
                <w:b w:val="0"/>
                <w:sz w:val="19"/>
              </w:rPr>
              <w:t>SQLite session/message/feedback storage</w:t>
            </w:r>
          </w:p>
        </w:tc>
      </w:tr>
      <w:tr>
        <w:tc>
          <w:tcPr>
            <w:tcW w:type="dxa" w:w="3041"/>
          </w:tcPr>
          <w:p>
            <w:r>
              <w:rPr>
                <w:b w:val="0"/>
                <w:sz w:val="19"/>
              </w:rPr>
              <w:t>qdrant_storage/</w:t>
            </w:r>
          </w:p>
        </w:tc>
        <w:tc>
          <w:tcPr>
            <w:tcW w:type="dxa" w:w="3041"/>
          </w:tcPr>
          <w:p>
            <w:r>
              <w:rPr>
                <w:b w:val="0"/>
                <w:sz w:val="19"/>
              </w:rPr>
              <w:t>Task_1_App/backend/</w:t>
            </w:r>
          </w:p>
        </w:tc>
        <w:tc>
          <w:tcPr>
            <w:tcW w:type="dxa" w:w="3041"/>
          </w:tcPr>
          <w:p>
            <w:r>
              <w:rPr>
                <w:b w:val="0"/>
                <w:sz w:val="19"/>
              </w:rPr>
              <w:t>Pre-built Qdrant vector DB (no ingest needed)</w:t>
            </w:r>
          </w:p>
        </w:tc>
      </w:tr>
      <w:tr>
        <w:tc>
          <w:tcPr>
            <w:tcW w:type="dxa" w:w="3041"/>
          </w:tcPr>
          <w:p>
            <w:r>
              <w:rPr>
                <w:b w:val="0"/>
                <w:sz w:val="19"/>
              </w:rPr>
              <w:t>training_data.jsonl</w:t>
            </w:r>
          </w:p>
        </w:tc>
        <w:tc>
          <w:tcPr>
            <w:tcW w:type="dxa" w:w="3041"/>
          </w:tcPr>
          <w:p>
            <w:r>
              <w:rPr>
                <w:b w:val="0"/>
                <w:sz w:val="19"/>
              </w:rPr>
              <w:t>LLM_Finetuning/training_datasets/</w:t>
            </w:r>
          </w:p>
        </w:tc>
        <w:tc>
          <w:tcPr>
            <w:tcW w:type="dxa" w:w="3041"/>
          </w:tcPr>
          <w:p>
            <w:r>
              <w:rPr>
                <w:b w:val="0"/>
                <w:sz w:val="19"/>
              </w:rPr>
              <w:t>31 CHIVA training pairs for LoRA</w:t>
            </w:r>
          </w:p>
        </w:tc>
      </w:tr>
      <w:tr>
        <w:tc>
          <w:tcPr>
            <w:tcW w:type="dxa" w:w="3041"/>
          </w:tcPr>
          <w:p>
            <w:r>
              <w:rPr>
                <w:b w:val="0"/>
                <w:sz w:val="19"/>
              </w:rPr>
              <w:t>validation_data.jsonl</w:t>
            </w:r>
          </w:p>
        </w:tc>
        <w:tc>
          <w:tcPr>
            <w:tcW w:type="dxa" w:w="3041"/>
          </w:tcPr>
          <w:p>
            <w:r>
              <w:rPr>
                <w:b w:val="0"/>
                <w:sz w:val="19"/>
              </w:rPr>
              <w:t>LLM_Finetuning/training_datasets/</w:t>
            </w:r>
          </w:p>
        </w:tc>
        <w:tc>
          <w:tcPr>
            <w:tcW w:type="dxa" w:w="3041"/>
          </w:tcPr>
          <w:p>
            <w:r>
              <w:rPr>
                <w:b w:val="0"/>
                <w:sz w:val="19"/>
              </w:rPr>
              <w:t>8 validation pairs for LoRA</w:t>
            </w:r>
          </w:p>
        </w:tc>
      </w:tr>
      <w:tr>
        <w:tc>
          <w:tcPr>
            <w:tcW w:type="dxa" w:w="3041"/>
          </w:tcPr>
          <w:p>
            <w:r>
              <w:rPr>
                <w:b w:val="0"/>
                <w:sz w:val="19"/>
              </w:rPr>
              <w:t>lora_chiva_classifier/</w:t>
            </w:r>
          </w:p>
        </w:tc>
        <w:tc>
          <w:tcPr>
            <w:tcW w:type="dxa" w:w="3041"/>
          </w:tcPr>
          <w:p>
            <w:r>
              <w:rPr>
                <w:b w:val="0"/>
                <w:sz w:val="19"/>
              </w:rPr>
              <w:t>LLM_Finetuning/</w:t>
            </w:r>
          </w:p>
        </w:tc>
        <w:tc>
          <w:tcPr>
            <w:tcW w:type="dxa" w:w="3041"/>
          </w:tcPr>
          <w:p>
            <w:r>
              <w:rPr>
                <w:b w:val="0"/>
                <w:sz w:val="19"/>
              </w:rPr>
              <w:t>Trained LoRA adapter (~3.4MB)</w:t>
            </w:r>
          </w:p>
        </w:tc>
      </w:tr>
      <w:tr>
        <w:tc>
          <w:tcPr>
            <w:tcW w:type="dxa" w:w="3041"/>
          </w:tcPr>
          <w:p>
            <w:r>
              <w:rPr>
                <w:b w:val="0"/>
                <w:sz w:val="19"/>
              </w:rPr>
              <w:t>chiva_classifier_api.py</w:t>
            </w:r>
          </w:p>
        </w:tc>
        <w:tc>
          <w:tcPr>
            <w:tcW w:type="dxa" w:w="3041"/>
          </w:tcPr>
          <w:p>
            <w:r>
              <w:rPr>
                <w:b w:val="0"/>
                <w:sz w:val="19"/>
              </w:rPr>
              <w:t>LLM_Finetuning/</w:t>
            </w:r>
          </w:p>
        </w:tc>
        <w:tc>
          <w:tcPr>
            <w:tcW w:type="dxa" w:w="3041"/>
          </w:tcPr>
          <w:p>
            <w:r>
              <w:rPr>
                <w:b w:val="0"/>
                <w:sz w:val="19"/>
              </w:rPr>
              <w:t>Python API for LoRA-based classification</w:t>
            </w:r>
          </w:p>
        </w:tc>
      </w:tr>
      <w:tr>
        <w:tc>
          <w:tcPr>
            <w:tcW w:type="dxa" w:w="3041"/>
          </w:tcPr>
          <w:p>
            <w:r>
              <w:rPr>
                <w:b w:val="0"/>
                <w:sz w:val="19"/>
              </w:rPr>
              <w:t>train.jsonl (augmented)</w:t>
            </w:r>
          </w:p>
        </w:tc>
        <w:tc>
          <w:tcPr>
            <w:tcW w:type="dxa" w:w="3041"/>
          </w:tcPr>
          <w:p>
            <w:r>
              <w:rPr>
                <w:b w:val="0"/>
                <w:sz w:val="19"/>
              </w:rPr>
              <w:t>LLM_Continued_Pretraining…/augmented_output/</w:t>
            </w:r>
          </w:p>
        </w:tc>
        <w:tc>
          <w:tcPr>
            <w:tcW w:type="dxa" w:w="3041"/>
          </w:tcPr>
          <w:p>
            <w:r>
              <w:rPr>
                <w:b w:val="0"/>
                <w:sz w:val="19"/>
              </w:rPr>
              <w:t>7,540 chunks / 4.44M tokens for CPT</w:t>
            </w:r>
          </w:p>
        </w:tc>
      </w:tr>
      <w:tr>
        <w:tc>
          <w:tcPr>
            <w:tcW w:type="dxa" w:w="3041"/>
          </w:tcPr>
          <w:p>
            <w:r>
              <w:rPr>
                <w:b w:val="0"/>
                <w:sz w:val="19"/>
              </w:rPr>
              <w:t>medical_cpt_training.ipynb</w:t>
            </w:r>
          </w:p>
        </w:tc>
        <w:tc>
          <w:tcPr>
            <w:tcW w:type="dxa" w:w="3041"/>
          </w:tcPr>
          <w:p>
            <w:r>
              <w:rPr>
                <w:b w:val="0"/>
                <w:sz w:val="19"/>
              </w:rPr>
              <w:t>LLM_Continued_Pretraining…/</w:t>
            </w:r>
          </w:p>
        </w:tc>
        <w:tc>
          <w:tcPr>
            <w:tcW w:type="dxa" w:w="3041"/>
          </w:tcPr>
          <w:p>
            <w:r>
              <w:rPr>
                <w:b w:val="0"/>
                <w:sz w:val="19"/>
              </w:rPr>
              <w:t>Jupyter notebook for Qwen CPT training</w:t>
            </w:r>
          </w:p>
        </w:tc>
      </w:tr>
      <w:tr>
        <w:tc>
          <w:tcPr>
            <w:tcW w:type="dxa" w:w="3041"/>
          </w:tcPr>
          <w:p>
            <w:r>
              <w:rPr>
                <w:b w:val="0"/>
                <w:sz w:val="19"/>
              </w:rPr>
              <w:t>train_medical_cpt.py</w:t>
            </w:r>
          </w:p>
        </w:tc>
        <w:tc>
          <w:tcPr>
            <w:tcW w:type="dxa" w:w="3041"/>
          </w:tcPr>
          <w:p>
            <w:r>
              <w:rPr>
                <w:b w:val="0"/>
                <w:sz w:val="19"/>
              </w:rPr>
              <w:t>LLM_Continued_Pretraining…/</w:t>
            </w:r>
          </w:p>
        </w:tc>
        <w:tc>
          <w:tcPr>
            <w:tcW w:type="dxa" w:w="3041"/>
          </w:tcPr>
          <w:p>
            <w:r>
              <w:rPr>
                <w:b w:val="0"/>
                <w:sz w:val="19"/>
              </w:rPr>
              <w:t>Production headless CPT training script</w:t>
            </w:r>
          </w:p>
        </w:tc>
      </w:tr>
      <w:tr>
        <w:tc>
          <w:tcPr>
            <w:tcW w:type="dxa" w:w="3041"/>
          </w:tcPr>
          <w:p>
            <w:r>
              <w:rPr>
                <w:b w:val="0"/>
                <w:sz w:val="19"/>
              </w:rPr>
              <w:t>generate_synthetic_data.py</w:t>
            </w:r>
          </w:p>
        </w:tc>
        <w:tc>
          <w:tcPr>
            <w:tcW w:type="dxa" w:w="3041"/>
          </w:tcPr>
          <w:p>
            <w:r>
              <w:rPr>
                <w:b w:val="0"/>
                <w:sz w:val="19"/>
              </w:rPr>
              <w:t>cross_encoder_finetuning/</w:t>
            </w:r>
          </w:p>
        </w:tc>
        <w:tc>
          <w:tcPr>
            <w:tcW w:type="dxa" w:w="3041"/>
          </w:tcPr>
          <w:p>
            <w:r>
              <w:rPr>
                <w:b w:val="0"/>
                <w:sz w:val="19"/>
              </w:rPr>
              <w:t>770-sample CE training data generator</w:t>
            </w:r>
          </w:p>
        </w:tc>
      </w:tr>
      <w:tr>
        <w:tc>
          <w:tcPr>
            <w:tcW w:type="dxa" w:w="3041"/>
          </w:tcPr>
          <w:p>
            <w:r>
              <w:rPr>
                <w:b w:val="0"/>
                <w:sz w:val="19"/>
              </w:rPr>
              <w:t>chiva_crossencoder_finetuned/</w:t>
            </w:r>
          </w:p>
        </w:tc>
        <w:tc>
          <w:tcPr>
            <w:tcW w:type="dxa" w:w="3041"/>
          </w:tcPr>
          <w:p>
            <w:r>
              <w:rPr>
                <w:b w:val="0"/>
                <w:sz w:val="19"/>
              </w:rPr>
              <w:t>cross_encoder_finetuning/</w:t>
            </w:r>
          </w:p>
        </w:tc>
        <w:tc>
          <w:tcPr>
            <w:tcW w:type="dxa" w:w="3041"/>
          </w:tcPr>
          <w:p>
            <w:r>
              <w:rPr>
                <w:b w:val="0"/>
                <w:sz w:val="19"/>
              </w:rPr>
              <w:t>Domain-fine-tuned cross-encoder model</w:t>
            </w:r>
          </w:p>
        </w:tc>
      </w:tr>
      <w:tr>
        <w:tc>
          <w:tcPr>
            <w:tcW w:type="dxa" w:w="3041"/>
          </w:tcPr>
          <w:p>
            <w:r>
              <w:rPr>
                <w:b w:val="0"/>
                <w:sz w:val="19"/>
              </w:rPr>
              <w:t>finetuning_report.txt</w:t>
            </w:r>
          </w:p>
        </w:tc>
        <w:tc>
          <w:tcPr>
            <w:tcW w:type="dxa" w:w="3041"/>
          </w:tcPr>
          <w:p>
            <w:r>
              <w:rPr>
                <w:b w:val="0"/>
                <w:sz w:val="19"/>
              </w:rPr>
              <w:t>cross_encoder_finetuning/</w:t>
            </w:r>
          </w:p>
        </w:tc>
        <w:tc>
          <w:tcPr>
            <w:tcW w:type="dxa" w:w="3041"/>
          </w:tcPr>
          <w:p>
            <w:r>
              <w:rPr>
                <w:b w:val="0"/>
                <w:sz w:val="19"/>
              </w:rPr>
              <w:t>Numeric results of CE fine-tuning</w:t>
            </w:r>
          </w:p>
        </w:tc>
      </w:tr>
      <w:tr>
        <w:tc>
          <w:tcPr>
            <w:tcW w:type="dxa" w:w="3041"/>
          </w:tcPr>
          <w:p>
            <w:r>
              <w:rPr>
                <w:b w:val="0"/>
                <w:sz w:val="19"/>
              </w:rPr>
              <w:t>phase1_continued_pretraining.py</w:t>
            </w:r>
          </w:p>
        </w:tc>
        <w:tc>
          <w:tcPr>
            <w:tcW w:type="dxa" w:w="3041"/>
          </w:tcPr>
          <w:p>
            <w:r>
              <w:rPr>
                <w:b w:val="0"/>
                <w:sz w:val="19"/>
              </w:rPr>
              <w:t>LLM_Finetuning/</w:t>
            </w:r>
          </w:p>
        </w:tc>
        <w:tc>
          <w:tcPr>
            <w:tcW w:type="dxa" w:w="3041"/>
          </w:tcPr>
          <w:p>
            <w:r>
              <w:rPr>
                <w:b w:val="0"/>
                <w:sz w:val="19"/>
              </w:rPr>
              <w:t>Phase 1 medical CPT (Qwen2.5-7B)</w:t>
            </w:r>
          </w:p>
        </w:tc>
      </w:tr>
      <w:tr>
        <w:tc>
          <w:tcPr>
            <w:tcW w:type="dxa" w:w="3041"/>
          </w:tcPr>
          <w:p>
            <w:r>
              <w:rPr>
                <w:b w:val="0"/>
                <w:sz w:val="19"/>
              </w:rPr>
              <w:t>phase2_instruction_finetuning.py</w:t>
            </w:r>
          </w:p>
        </w:tc>
        <w:tc>
          <w:tcPr>
            <w:tcW w:type="dxa" w:w="3041"/>
          </w:tcPr>
          <w:p>
            <w:r>
              <w:rPr>
                <w:b w:val="0"/>
                <w:sz w:val="19"/>
              </w:rPr>
              <w:t>LLM_Finetuning/</w:t>
            </w:r>
          </w:p>
        </w:tc>
        <w:tc>
          <w:tcPr>
            <w:tcW w:type="dxa" w:w="3041"/>
          </w:tcPr>
          <w:p>
            <w:r>
              <w:rPr>
                <w:b w:val="0"/>
                <w:sz w:val="19"/>
              </w:rPr>
              <w:t>Phase 2 task-specific fine-tuning</w:t>
            </w:r>
          </w:p>
        </w:tc>
      </w:tr>
    </w:tbl>
    <w:p/>
    <w:p>
      <w:pPr>
        <w:pStyle w:val="Heading1"/>
        <w:spacing w:before="280" w:after="80"/>
      </w:pPr>
      <w:r>
        <w:rPr>
          <w:color w:val="0D2B55"/>
        </w:rPr>
        <w:t>14. Conclusion</w:t>
      </w:r>
    </w:p>
    <w:p>
      <w:pPr>
        <w:spacing w:before="80" w:after="80"/>
        <w:pBdr>
          <w:bottom w:val="single" w:sz="4" w:space="1" w:color="007A87"/>
        </w:pBdr>
      </w:pPr>
    </w:p>
    <w:p>
      <w:pPr>
        <w:spacing w:after="80"/>
      </w:pPr>
      <w:r>
        <w:rPr>
          <w:b w:val="0"/>
          <w:color w:val="1A1A2E"/>
          <w:sz w:val="21"/>
        </w:rPr>
        <w:t>Task 1 of the Cygnus Med project successfully delivered a production-ready AI assistant for CHIVA shunt classification and ligation planning. The system combines four major technical components that were iteratively developed, tested, and refined:</w:t>
      </w:r>
    </w:p>
    <w:p>
      <w:pPr>
        <w:pStyle w:val="ListNumber"/>
        <w:spacing w:after="40"/>
      </w:pPr>
      <w:r>
        <w:rPr>
          <w:color w:val="1A1A2E"/>
          <w:sz w:val="21"/>
        </w:rPr>
        <w:t>Natural Language Interpretation with two-stage validation and four critical rules to prevent hallucinated clinical findings.</w:t>
      </w:r>
    </w:p>
    <w:p>
      <w:pPr>
        <w:pStyle w:val="ListNumber"/>
        <w:spacing w:after="40"/>
      </w:pPr>
      <w:r>
        <w:rPr>
          <w:color w:val="1A1A2E"/>
          <w:sz w:val="21"/>
        </w:rPr>
        <w:t>Rules-embedded LLM classification that applies the complete CHIVA decision tree deterministically without RAG noise.</w:t>
      </w:r>
    </w:p>
    <w:p>
      <w:pPr>
        <w:pStyle w:val="ListNumber"/>
        <w:spacing w:after="40"/>
      </w:pPr>
      <w:r>
        <w:rPr>
          <w:color w:val="1A1A2E"/>
          <w:sz w:val="21"/>
        </w:rPr>
        <w:t>Hybrid RAG pipeline (BM25 + vector + fine-tuned cross-encoder) for evidence-grounded ligation planning, with a 77.1% improvement in reranking accuracy after domain fine-tuning.</w:t>
      </w:r>
    </w:p>
    <w:p>
      <w:pPr>
        <w:pStyle w:val="ListNumber"/>
        <w:spacing w:after="40"/>
      </w:pPr>
      <w:r>
        <w:rPr>
          <w:color w:val="1A1A2E"/>
          <w:sz w:val="21"/>
        </w:rPr>
        <w:t>LLM fine-tuning infrastructure (LoRA on Mistral-7B, two-phase CPT on Qwen2.5-7B) with a data augmentation pipeline that grew the training corpus 2.4× while maintaining medical accuracy.</w:t>
      </w:r>
    </w:p>
    <w:p>
      <w:pPr>
        <w:spacing w:after="80"/>
      </w:pPr>
      <w:r>
        <w:rPr>
          <w:b w:val="0"/>
          <w:color w:val="1A1A2E"/>
          <w:sz w:val="21"/>
        </w:rPr>
        <w:t>The most important lessons from the project were: (1) for formal decision tasks like CHIVA classification, embedding the full decision tree in the prompt is more reliable than training; (2) domain fine-tuning of even the smallest components (like a cross-encoder) yields large improvements; (3) for clinical NLP applications, explicit negative constraints in prompts are essential to prevent hallucination of medical findings; and (4) the catastrophic forgetting problem in LLM fine-tuning is real and must be addressed with a two-phase training strategy.</w:t>
      </w:r>
    </w:p>
    <w:p>
      <w:pPr>
        <w:spacing w:after="80"/>
      </w:pPr>
      <w:r>
        <w:rPr>
          <w:b w:val="0"/>
          <w:color w:val="1A1A2E"/>
          <w:sz w:val="21"/>
        </w:rPr>
        <w:t>All code, data, and trained model artifacts are preserved in the Cygnus_Med_Demo repository and are fully reproducible by following the instructions in Section 12.</w:t>
      </w:r>
    </w:p>
    <w:p/>
    <w:p>
      <w:pPr>
        <w:spacing w:before="80" w:after="80"/>
        <w:pBdr>
          <w:bottom w:val="single" w:sz="4" w:space="1" w:color="007A87"/>
        </w:pBdr>
      </w:pPr>
    </w:p>
    <w:p>
      <w:pPr>
        <w:jc w:val="center"/>
      </w:pPr>
      <w:r>
        <w:rPr>
          <w:color w:val="606060"/>
          <w:sz w:val="18"/>
        </w:rPr>
        <w:t>End of Report  ·  Cygnus Med  ·  June 2026</w:t>
      </w:r>
    </w:p>
    <w:p>
      <w:r>
        <w:br w:type="page"/>
      </w:r>
    </w:p>
    <w:p>
      <w:pPr>
        <w:pStyle w:val="Heading1"/>
        <w:spacing w:before="280" w:after="80"/>
      </w:pPr>
      <w:r>
        <w:rPr>
          <w:color w:val="0D2B55"/>
        </w:rPr>
        <w:t>13. Cloud Deployment — Alibaba Cloud ECS</w:t>
      </w:r>
    </w:p>
    <w:p>
      <w:pPr>
        <w:spacing w:before="80" w:after="80"/>
        <w:pBdr>
          <w:bottom w:val="single" w:sz="4" w:space="1" w:color="007A87"/>
        </w:pBdr>
      </w:pPr>
    </w:p>
    <w:p>
      <w:pPr>
        <w:spacing w:after="80"/>
      </w:pPr>
      <w:r>
        <w:rPr>
          <w:b w:val="0"/>
          <w:color w:val="1A1A2E"/>
          <w:sz w:val="21"/>
        </w:rPr>
        <w:t>The Task-1 application was deployed to a production server on Alibaba Cloud ECS (Elastic Compute Service). The deployment stack uses industry-standard components: Gunicorn as the WSGI application server, Nginx as the public-facing reverse proxy, and systemd as the process manager that ensures the app restarts automatically after crashes or reboots. Continuous deployment is handled by a GitHub Actions workflow that triggers on every push to the main branch.</w:t>
      </w:r>
    </w:p>
    <w:p>
      <w:pPr>
        <w:pStyle w:val="Heading2"/>
        <w:spacing w:before="160" w:after="80"/>
      </w:pPr>
      <w:r>
        <w:rPr>
          <w:color w:val="007A87"/>
        </w:rPr>
        <w:t>13.1  Deployment Architecture</w:t>
      </w:r>
    </w:p>
    <w:p>
      <w:pPr>
        <w:spacing w:after="80"/>
      </w:pPr>
      <w:r>
        <w:rPr>
          <w:b w:val="0"/>
          <w:color w:val="1A1A2E"/>
          <w:sz w:val="21"/>
        </w:rPr>
        <w:t>The full request path from the internet to the application:</w:t>
      </w:r>
    </w:p>
    <w:p>
      <w:pPr>
        <w:spacing w:after="80"/>
      </w:pPr>
      <w:r>
        <w:rPr>
          <w:b w:val="0"/>
          <w:color w:val="1A1A2E"/>
          <w:sz w:val="21"/>
        </w:rPr>
        <w:t>User browser  →  Alibaba Cloud ECS (public IP, port 80)  →  Nginx reverse proxy  →  Unix socket  →  Gunicorn WSGI server  →  Flask app (Task_1_App/backend/app.py)</w:t>
      </w:r>
    </w:p>
    <w:p>
      <w:pPr>
        <w:spacing w:after="80"/>
      </w:pPr>
      <w:r>
        <w:rPr>
          <w:b w:val="0"/>
          <w:color w:val="1A1A2E"/>
          <w:sz w:val="21"/>
        </w:rPr>
        <w:t>All ML inference calls go outward from the server:</w:t>
      </w:r>
    </w:p>
    <w:p>
      <w:pPr>
        <w:pStyle w:val="ListBullet"/>
        <w:spacing w:after="40"/>
        <w:ind w:left="454"/>
      </w:pPr>
      <w:r>
        <w:rPr>
          <w:color w:val="1A1A2E"/>
          <w:sz w:val="21"/>
        </w:rPr>
        <w:t>LLM inference: Groq API (external HTTPS call to llama-3.3-70b-versatile)</w:t>
      </w:r>
    </w:p>
    <w:p>
      <w:pPr>
        <w:pStyle w:val="ListBullet"/>
        <w:spacing w:after="40"/>
        <w:ind w:left="454"/>
      </w:pPr>
      <w:r>
        <w:rPr>
          <w:color w:val="1A1A2E"/>
          <w:sz w:val="21"/>
        </w:rPr>
        <w:t>Embeddings: Ollama running locally on the same ECS instance (port 11434, nomic-embed-text)</w:t>
      </w:r>
    </w:p>
    <w:p>
      <w:pPr>
        <w:pStyle w:val="ListBullet"/>
        <w:spacing w:after="40"/>
        <w:ind w:left="454"/>
      </w:pPr>
      <w:r>
        <w:rPr>
          <w:color w:val="1A1A2E"/>
          <w:sz w:val="21"/>
        </w:rPr>
        <w:t>Vector DB: Qdrant running in local file mode (qdrant_storage/ directory on disk)</w:t>
      </w:r>
    </w:p>
    <w:p>
      <w:pPr>
        <w:pStyle w:val="ListBullet"/>
        <w:spacing w:after="40"/>
        <w:ind w:left="454"/>
      </w:pPr>
      <w:r>
        <w:rPr>
          <w:color w:val="1A1A2E"/>
          <w:sz w:val="21"/>
        </w:rPr>
        <w:t>Chat history: SQLite file on local disk (backend/chat_history.db)</w:t>
      </w:r>
    </w:p>
    <w:p>
      <w:pPr>
        <w:pStyle w:val="Heading2"/>
        <w:spacing w:before="160" w:after="80"/>
      </w:pPr>
      <w:r>
        <w:rPr>
          <w:color w:val="007A87"/>
        </w:rPr>
        <w:t>13.2  Component Breakdown</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Details</w:t>
            </w:r>
          </w:p>
        </w:tc>
      </w:tr>
      <w:tr>
        <w:tc>
          <w:tcPr>
            <w:tcW w:type="dxa" w:w="3041"/>
          </w:tcPr>
          <w:p>
            <w:r>
              <w:rPr>
                <w:b w:val="0"/>
                <w:sz w:val="19"/>
              </w:rPr>
              <w:t>Cloud Provider</w:t>
            </w:r>
          </w:p>
        </w:tc>
        <w:tc>
          <w:tcPr>
            <w:tcW w:type="dxa" w:w="3041"/>
          </w:tcPr>
          <w:p>
            <w:r>
              <w:rPr>
                <w:b w:val="0"/>
                <w:sz w:val="19"/>
              </w:rPr>
              <w:t>Alibaba Cloud ECS</w:t>
            </w:r>
          </w:p>
        </w:tc>
        <w:tc>
          <w:tcPr>
            <w:tcW w:type="dxa" w:w="3041"/>
          </w:tcPr>
          <w:p>
            <w:r>
              <w:rPr>
                <w:b w:val="0"/>
                <w:sz w:val="19"/>
              </w:rPr>
              <w:t>Linux Ubuntu server, public IP</w:t>
            </w:r>
          </w:p>
        </w:tc>
      </w:tr>
      <w:tr>
        <w:tc>
          <w:tcPr>
            <w:tcW w:type="dxa" w:w="3041"/>
          </w:tcPr>
          <w:p>
            <w:r>
              <w:rPr>
                <w:b w:val="0"/>
                <w:sz w:val="19"/>
              </w:rPr>
              <w:t>Web Server</w:t>
            </w:r>
          </w:p>
        </w:tc>
        <w:tc>
          <w:tcPr>
            <w:tcW w:type="dxa" w:w="3041"/>
          </w:tcPr>
          <w:p>
            <w:r>
              <w:rPr>
                <w:b w:val="0"/>
                <w:sz w:val="19"/>
              </w:rPr>
              <w:t>Nginx</w:t>
            </w:r>
          </w:p>
        </w:tc>
        <w:tc>
          <w:tcPr>
            <w:tcW w:type="dxa" w:w="3041"/>
          </w:tcPr>
          <w:p>
            <w:r>
              <w:rPr>
                <w:b w:val="0"/>
                <w:sz w:val="19"/>
              </w:rPr>
              <w:t>Port 80, reverse proxy via Unix socket, 120s read timeout, 10M max body</w:t>
            </w:r>
          </w:p>
        </w:tc>
      </w:tr>
      <w:tr>
        <w:tc>
          <w:tcPr>
            <w:tcW w:type="dxa" w:w="3041"/>
          </w:tcPr>
          <w:p>
            <w:r>
              <w:rPr>
                <w:b w:val="0"/>
                <w:sz w:val="19"/>
              </w:rPr>
              <w:t>WSGI Server</w:t>
            </w:r>
          </w:p>
        </w:tc>
        <w:tc>
          <w:tcPr>
            <w:tcW w:type="dxa" w:w="3041"/>
          </w:tcPr>
          <w:p>
            <w:r>
              <w:rPr>
                <w:b w:val="0"/>
                <w:sz w:val="19"/>
              </w:rPr>
              <w:t>Gunicorn</w:t>
            </w:r>
          </w:p>
        </w:tc>
        <w:tc>
          <w:tcPr>
            <w:tcW w:type="dxa" w:w="3041"/>
          </w:tcPr>
          <w:p>
            <w:r>
              <w:rPr>
                <w:b w:val="0"/>
                <w:sz w:val="19"/>
              </w:rPr>
              <w:t>1 sync worker, 120s timeout, Unix socket at /var/www/shunt_classification_and_ligation/shunt.sock</w:t>
            </w:r>
          </w:p>
        </w:tc>
      </w:tr>
      <w:tr>
        <w:tc>
          <w:tcPr>
            <w:tcW w:type="dxa" w:w="3041"/>
          </w:tcPr>
          <w:p>
            <w:r>
              <w:rPr>
                <w:b w:val="0"/>
                <w:sz w:val="19"/>
              </w:rPr>
              <w:t>Process Manager</w:t>
            </w:r>
          </w:p>
        </w:tc>
        <w:tc>
          <w:tcPr>
            <w:tcW w:type="dxa" w:w="3041"/>
          </w:tcPr>
          <w:p>
            <w:r>
              <w:rPr>
                <w:b w:val="0"/>
                <w:sz w:val="19"/>
              </w:rPr>
              <w:t>systemd (shunt.service)</w:t>
            </w:r>
          </w:p>
        </w:tc>
        <w:tc>
          <w:tcPr>
            <w:tcW w:type="dxa" w:w="3041"/>
          </w:tcPr>
          <w:p>
            <w:r>
              <w:rPr>
                <w:b w:val="0"/>
                <w:sz w:val="19"/>
              </w:rPr>
              <w:t>Auto-restart on crash, starts after network.target</w:t>
            </w:r>
          </w:p>
        </w:tc>
      </w:tr>
      <w:tr>
        <w:tc>
          <w:tcPr>
            <w:tcW w:type="dxa" w:w="3041"/>
          </w:tcPr>
          <w:p>
            <w:r>
              <w:rPr>
                <w:b w:val="0"/>
                <w:sz w:val="19"/>
              </w:rPr>
              <w:t>CI/CD</w:t>
            </w:r>
          </w:p>
        </w:tc>
        <w:tc>
          <w:tcPr>
            <w:tcW w:type="dxa" w:w="3041"/>
          </w:tcPr>
          <w:p>
            <w:r>
              <w:rPr>
                <w:b w:val="0"/>
                <w:sz w:val="19"/>
              </w:rPr>
              <w:t>GitHub Actions (deploy.yml)</w:t>
            </w:r>
          </w:p>
        </w:tc>
        <w:tc>
          <w:tcPr>
            <w:tcW w:type="dxa" w:w="3041"/>
          </w:tcPr>
          <w:p>
            <w:r>
              <w:rPr>
                <w:b w:val="0"/>
                <w:sz w:val="19"/>
              </w:rPr>
              <w:t>Triggers on push to main, SSH into server, runs update.sh</w:t>
            </w:r>
          </w:p>
        </w:tc>
      </w:tr>
      <w:tr>
        <w:tc>
          <w:tcPr>
            <w:tcW w:type="dxa" w:w="3041"/>
          </w:tcPr>
          <w:p>
            <w:r>
              <w:rPr>
                <w:b w:val="0"/>
                <w:sz w:val="19"/>
              </w:rPr>
              <w:t>Embedding Server</w:t>
            </w:r>
          </w:p>
        </w:tc>
        <w:tc>
          <w:tcPr>
            <w:tcW w:type="dxa" w:w="3041"/>
          </w:tcPr>
          <w:p>
            <w:r>
              <w:rPr>
                <w:b w:val="0"/>
                <w:sz w:val="19"/>
              </w:rPr>
              <w:t>Ollama (local)</w:t>
            </w:r>
          </w:p>
        </w:tc>
        <w:tc>
          <w:tcPr>
            <w:tcW w:type="dxa" w:w="3041"/>
          </w:tcPr>
          <w:p>
            <w:r>
              <w:rPr>
                <w:b w:val="0"/>
                <w:sz w:val="19"/>
              </w:rPr>
              <w:t>nomic-embed-text, port 11434, installed and started by setup.sh</w:t>
            </w:r>
          </w:p>
        </w:tc>
      </w:tr>
      <w:tr>
        <w:tc>
          <w:tcPr>
            <w:tcW w:type="dxa" w:w="3041"/>
          </w:tcPr>
          <w:p>
            <w:r>
              <w:rPr>
                <w:b w:val="0"/>
                <w:sz w:val="19"/>
              </w:rPr>
              <w:t>LLM Inference</w:t>
            </w:r>
          </w:p>
        </w:tc>
        <w:tc>
          <w:tcPr>
            <w:tcW w:type="dxa" w:w="3041"/>
          </w:tcPr>
          <w:p>
            <w:r>
              <w:rPr>
                <w:b w:val="0"/>
                <w:sz w:val="19"/>
              </w:rPr>
              <w:t>Groq API (external)</w:t>
            </w:r>
          </w:p>
        </w:tc>
        <w:tc>
          <w:tcPr>
            <w:tcW w:type="dxa" w:w="3041"/>
          </w:tcPr>
          <w:p>
            <w:r>
              <w:rPr>
                <w:b w:val="0"/>
                <w:sz w:val="19"/>
              </w:rPr>
              <w:t>llama-3.3-70b-versatile, key stored in .env</w:t>
            </w:r>
          </w:p>
        </w:tc>
      </w:tr>
      <w:tr>
        <w:tc>
          <w:tcPr>
            <w:tcW w:type="dxa" w:w="3041"/>
          </w:tcPr>
          <w:p>
            <w:r>
              <w:rPr>
                <w:b w:val="0"/>
                <w:sz w:val="19"/>
              </w:rPr>
              <w:t>Vector DB</w:t>
            </w:r>
          </w:p>
        </w:tc>
        <w:tc>
          <w:tcPr>
            <w:tcW w:type="dxa" w:w="3041"/>
          </w:tcPr>
          <w:p>
            <w:r>
              <w:rPr>
                <w:b w:val="0"/>
                <w:sz w:val="19"/>
              </w:rPr>
              <w:t>Qdrant (local file mode)</w:t>
            </w:r>
          </w:p>
        </w:tc>
        <w:tc>
          <w:tcPr>
            <w:tcW w:type="dxa" w:w="3041"/>
          </w:tcPr>
          <w:p>
            <w:r>
              <w:rPr>
                <w:b w:val="0"/>
                <w:sz w:val="19"/>
              </w:rPr>
              <w:t>Pre-built collection at qdrant_storage/, no cloud Qdrant needed</w:t>
            </w:r>
          </w:p>
        </w:tc>
      </w:tr>
      <w:tr>
        <w:tc>
          <w:tcPr>
            <w:tcW w:type="dxa" w:w="3041"/>
          </w:tcPr>
          <w:p>
            <w:r>
              <w:rPr>
                <w:b w:val="0"/>
                <w:sz w:val="19"/>
              </w:rPr>
              <w:t>App Database</w:t>
            </w:r>
          </w:p>
        </w:tc>
        <w:tc>
          <w:tcPr>
            <w:tcW w:type="dxa" w:w="3041"/>
          </w:tcPr>
          <w:p>
            <w:r>
              <w:rPr>
                <w:b w:val="0"/>
                <w:sz w:val="19"/>
              </w:rPr>
              <w:t>SQLite</w:t>
            </w:r>
          </w:p>
        </w:tc>
        <w:tc>
          <w:tcPr>
            <w:tcW w:type="dxa" w:w="3041"/>
          </w:tcPr>
          <w:p>
            <w:r>
              <w:rPr>
                <w:b w:val="0"/>
                <w:sz w:val="19"/>
              </w:rPr>
              <w:t>chat_history.db — sessions, messages, feedback</w:t>
            </w:r>
          </w:p>
        </w:tc>
      </w:tr>
      <w:tr>
        <w:tc>
          <w:tcPr>
            <w:tcW w:type="dxa" w:w="3041"/>
          </w:tcPr>
          <w:p>
            <w:r>
              <w:rPr>
                <w:b w:val="0"/>
                <w:sz w:val="19"/>
              </w:rPr>
              <w:t>Logs</w:t>
            </w:r>
          </w:p>
        </w:tc>
        <w:tc>
          <w:tcPr>
            <w:tcW w:type="dxa" w:w="3041"/>
          </w:tcPr>
          <w:p>
            <w:r>
              <w:rPr>
                <w:b w:val="0"/>
                <w:sz w:val="19"/>
              </w:rPr>
              <w:t>/var/log/shunt_classification…/</w:t>
            </w:r>
          </w:p>
        </w:tc>
        <w:tc>
          <w:tcPr>
            <w:tcW w:type="dxa" w:w="3041"/>
          </w:tcPr>
          <w:p>
            <w:r>
              <w:rPr>
                <w:b w:val="0"/>
                <w:sz w:val="19"/>
              </w:rPr>
              <w:t>app.log, app-error.log, gunicorn-access.log, gunicorn-error.log</w:t>
            </w:r>
          </w:p>
        </w:tc>
      </w:tr>
    </w:tbl>
    <w:p/>
    <w:p>
      <w:pPr>
        <w:pStyle w:val="Heading2"/>
        <w:spacing w:before="160" w:after="80"/>
      </w:pPr>
      <w:r>
        <w:rPr>
          <w:color w:val="007A87"/>
        </w:rPr>
        <w:t>13.3  Server Setup Script (deploy/setup.sh)</w:t>
      </w:r>
    </w:p>
    <w:p>
      <w:pPr>
        <w:spacing w:after="80"/>
      </w:pPr>
      <w:r>
        <w:rPr>
          <w:b w:val="0"/>
          <w:color w:val="1A1A2E"/>
          <w:sz w:val="21"/>
        </w:rPr>
        <w:t>A one-shot setup script provisions a fresh Ubuntu ECS instance from scratch. It performs the following steps in order:</w:t>
      </w:r>
    </w:p>
    <w:p>
      <w:pPr>
        <w:pStyle w:val="ListNumber"/>
        <w:spacing w:after="40"/>
      </w:pPr>
      <w:r>
        <w:rPr>
          <w:color w:val="1A1A2E"/>
          <w:sz w:val="21"/>
        </w:rPr>
        <w:t>System update: apt-get update &amp;&amp; upgrade</w:t>
      </w:r>
    </w:p>
    <w:p>
      <w:pPr>
        <w:pStyle w:val="ListNumber"/>
        <w:spacing w:after="40"/>
      </w:pPr>
      <w:r>
        <w:rPr>
          <w:color w:val="1A1A2E"/>
          <w:sz w:val="21"/>
        </w:rPr>
        <w:t>Install system packages: python3-venv, python3-pip, nginx, git, curl</w:t>
      </w:r>
    </w:p>
    <w:p>
      <w:pPr>
        <w:pStyle w:val="ListNumber"/>
        <w:spacing w:after="40"/>
      </w:pPr>
      <w:r>
        <w:rPr>
          <w:color w:val="1A1A2E"/>
          <w:sz w:val="21"/>
        </w:rPr>
        <w:t>Install Ollama via the official install script (curl -fsSL https://ollama.com/install.sh | sh)</w:t>
      </w:r>
    </w:p>
    <w:p>
      <w:pPr>
        <w:pStyle w:val="ListNumber"/>
        <w:spacing w:after="40"/>
      </w:pPr>
      <w:r>
        <w:rPr>
          <w:color w:val="1A1A2E"/>
          <w:sz w:val="21"/>
        </w:rPr>
        <w:t>Enable and start the Ollama systemd service, wait 5 seconds, then pull the nomic-embed-text embedding model</w:t>
      </w:r>
    </w:p>
    <w:p>
      <w:pPr>
        <w:pStyle w:val="ListNumber"/>
        <w:spacing w:after="40"/>
      </w:pPr>
      <w:r>
        <w:rPr>
          <w:color w:val="1A1A2E"/>
          <w:sz w:val="21"/>
        </w:rPr>
        <w:t>Create application and log directories (/var/www/shunt_classification_and_ligation, /var/log/shunt_classification_and_ligation)</w:t>
      </w:r>
    </w:p>
    <w:p>
      <w:pPr>
        <w:pStyle w:val="ListNumber"/>
        <w:spacing w:after="40"/>
      </w:pPr>
      <w:r>
        <w:rPr>
          <w:color w:val="1A1A2E"/>
          <w:sz w:val="21"/>
        </w:rPr>
        <w:t>Create Python virtual environment inside backend/, pip install all dependencies from requirements.txt</w:t>
      </w:r>
    </w:p>
    <w:p>
      <w:pPr>
        <w:pStyle w:val="ListNumber"/>
        <w:spacing w:after="40"/>
      </w:pPr>
      <w:r>
        <w:rPr>
          <w:color w:val="1A1A2E"/>
          <w:sz w:val="21"/>
        </w:rPr>
        <w:t>Copy .env.example to backend/.env with chmod 600 (secrets-safe permissions) — operator must then manually add the GROQ_API_KEY</w:t>
      </w:r>
    </w:p>
    <w:p>
      <w:pPr>
        <w:pStyle w:val="ListNumber"/>
        <w:spacing w:after="40"/>
      </w:pPr>
      <w:r>
        <w:rPr>
          <w:color w:val="1A1A2E"/>
          <w:sz w:val="21"/>
        </w:rPr>
        <w:t>Install the systemd service unit file (shunt.service) → daemon-reload → enable → start</w:t>
      </w:r>
    </w:p>
    <w:p>
      <w:pPr>
        <w:pStyle w:val="ListNumber"/>
        <w:spacing w:after="40"/>
      </w:pPr>
      <w:r>
        <w:rPr>
          <w:color w:val="1A1A2E"/>
          <w:sz w:val="21"/>
        </w:rPr>
        <w:t>Copy Nginx config → symlink to sites-enabled → remove default site → nginx -t → restart nginx</w:t>
      </w:r>
    </w:p>
    <w:p>
      <w:pPr>
        <w:pStyle w:val="ListNumber"/>
        <w:spacing w:after="40"/>
      </w:pPr>
      <w:r>
        <w:rPr>
          <w:color w:val="1A1A2E"/>
          <w:sz w:val="21"/>
        </w:rPr>
        <w:t>Print the server's public IP from ifconfig.me to confirm the live URL</w:t>
      </w:r>
    </w:p>
    <w:p>
      <w:pPr>
        <w:pStyle w:val="Heading2"/>
        <w:spacing w:before="160" w:after="80"/>
      </w:pPr>
      <w:r>
        <w:rPr>
          <w:color w:val="007A87"/>
        </w:rPr>
        <w:t>13.4  Nginx Configuration (deploy/nginx.conf)</w:t>
      </w:r>
    </w:p>
    <w:p>
      <w:pPr>
        <w:spacing w:after="80"/>
      </w:pPr>
      <w:r>
        <w:rPr>
          <w:b w:val="0"/>
          <w:color w:val="1A1A2E"/>
          <w:sz w:val="21"/>
        </w:rPr>
        <w:t>The Nginx config is minimal and production-correct:</w:t>
      </w:r>
    </w:p>
    <w:p>
      <w:pPr>
        <w:pStyle w:val="ListBullet"/>
        <w:spacing w:after="40"/>
        <w:ind w:left="454"/>
      </w:pPr>
      <w:r>
        <w:rPr>
          <w:color w:val="1A1A2E"/>
          <w:sz w:val="21"/>
        </w:rPr>
        <w:t>Listens on port 80 (HTTP), server_name _ accepts any hostname/IP</w:t>
      </w:r>
    </w:p>
    <w:p>
      <w:pPr>
        <w:pStyle w:val="ListBullet"/>
        <w:spacing w:after="40"/>
        <w:ind w:left="454"/>
      </w:pPr>
      <w:r>
        <w:rPr>
          <w:color w:val="1A1A2E"/>
          <w:sz w:val="21"/>
        </w:rPr>
        <w:t>All traffic proxied to the Gunicorn Unix socket (faster than TCP loopback)</w:t>
      </w:r>
    </w:p>
    <w:p>
      <w:pPr>
        <w:pStyle w:val="ListBullet"/>
        <w:spacing w:after="40"/>
        <w:ind w:left="454"/>
      </w:pPr>
      <w:r>
        <w:rPr>
          <w:color w:val="1A1A2E"/>
          <w:sz w:val="21"/>
        </w:rPr>
        <w:t>Passes X-Real-IP, X-Forwarded-For, X-Forwarded-Proto headers for correct IP logging in Flask</w:t>
      </w:r>
    </w:p>
    <w:p>
      <w:pPr>
        <w:pStyle w:val="ListBullet"/>
        <w:spacing w:after="40"/>
        <w:ind w:left="454"/>
      </w:pPr>
      <w:r>
        <w:rPr>
          <w:color w:val="1A1A2E"/>
          <w:sz w:val="21"/>
        </w:rPr>
        <w:t>proxy_read_timeout 120s — matches Gunicorn's timeout so long LLM inference calls (up to ~30s) do not get cut off by Nginx first</w:t>
      </w:r>
    </w:p>
    <w:p>
      <w:pPr>
        <w:pStyle w:val="ListBullet"/>
        <w:spacing w:after="40"/>
        <w:ind w:left="454"/>
      </w:pPr>
      <w:r>
        <w:rPr>
          <w:color w:val="1A1A2E"/>
          <w:sz w:val="21"/>
        </w:rPr>
        <w:t>client_max_body_size 10M — allows larger JSON payloads if needed</w:t>
      </w:r>
    </w:p>
    <w:p>
      <w:pPr>
        <w:spacing w:after="40"/>
        <w:ind w:left="454"/>
      </w:pPr>
      <w:r>
        <w:rPr>
          <w:rFonts w:ascii="Courier New" w:hAnsi="Courier New"/>
          <w:color w:val="1F6F1F"/>
          <w:sz w:val="18"/>
        </w:rPr>
        <w:t>server {</w:t>
      </w:r>
    </w:p>
    <w:p>
      <w:pPr>
        <w:spacing w:after="40"/>
        <w:ind w:left="454"/>
      </w:pPr>
      <w:r>
        <w:rPr>
          <w:rFonts w:ascii="Courier New" w:hAnsi="Courier New"/>
          <w:color w:val="1F6F1F"/>
          <w:sz w:val="18"/>
        </w:rPr>
        <w:t xml:space="preserve">    listen 80;</w:t>
      </w:r>
    </w:p>
    <w:p>
      <w:pPr>
        <w:spacing w:after="40"/>
        <w:ind w:left="454"/>
      </w:pPr>
      <w:r>
        <w:rPr>
          <w:rFonts w:ascii="Courier New" w:hAnsi="Courier New"/>
          <w:color w:val="1F6F1F"/>
          <w:sz w:val="18"/>
        </w:rPr>
        <w:t xml:space="preserve">    server_name _;</w:t>
      </w:r>
    </w:p>
    <w:p>
      <w:pPr>
        <w:spacing w:after="40"/>
        <w:ind w:left="454"/>
      </w:pPr>
      <w:r>
        <w:rPr>
          <w:rFonts w:ascii="Courier New" w:hAnsi="Courier New"/>
          <w:color w:val="1F6F1F"/>
          <w:sz w:val="18"/>
        </w:rPr>
        <w:t xml:space="preserve">    client_max_body_size 10M;</w:t>
      </w:r>
    </w:p>
    <w:p>
      <w:pPr>
        <w:spacing w:after="40"/>
        <w:ind w:left="454"/>
      </w:pPr>
      <w:r>
        <w:rPr>
          <w:rFonts w:ascii="Courier New" w:hAnsi="Courier New"/>
          <w:color w:val="1F6F1F"/>
          <w:sz w:val="18"/>
        </w:rPr>
        <w:t xml:space="preserve">    location / {</w:t>
      </w:r>
    </w:p>
    <w:p>
      <w:pPr>
        <w:spacing w:after="40"/>
        <w:ind w:left="454"/>
      </w:pPr>
      <w:r>
        <w:rPr>
          <w:rFonts w:ascii="Courier New" w:hAnsi="Courier New"/>
          <w:color w:val="1F6F1F"/>
          <w:sz w:val="18"/>
        </w:rPr>
        <w:t xml:space="preserve">        proxy_pass http://unix:/var/www/shunt_classification_and_ligation/shunt.sock;</w:t>
      </w:r>
    </w:p>
    <w:p>
      <w:pPr>
        <w:spacing w:after="40"/>
        <w:ind w:left="454"/>
      </w:pPr>
      <w:r>
        <w:rPr>
          <w:rFonts w:ascii="Courier New" w:hAnsi="Courier New"/>
          <w:color w:val="1F6F1F"/>
          <w:sz w:val="18"/>
        </w:rPr>
        <w:t xml:space="preserve">        proxy_read_timeout 120s;</w:t>
      </w:r>
    </w:p>
    <w:p>
      <w:pPr>
        <w:spacing w:after="40"/>
        <w:ind w:left="454"/>
      </w:pPr>
      <w:r>
        <w:rPr>
          <w:rFonts w:ascii="Courier New" w:hAnsi="Courier New"/>
          <w:color w:val="1F6F1F"/>
          <w:sz w:val="18"/>
        </w:rPr>
        <w:t xml:space="preserve">        proxy_connect_timeout 10s;</w:t>
      </w:r>
    </w:p>
    <w:p>
      <w:pPr>
        <w:spacing w:after="40"/>
        <w:ind w:left="454"/>
      </w:pPr>
      <w:r>
        <w:rPr>
          <w:rFonts w:ascii="Courier New" w:hAnsi="Courier New"/>
          <w:color w:val="1F6F1F"/>
          <w:sz w:val="18"/>
        </w:rPr>
        <w:t xml:space="preserve">    }</w:t>
      </w:r>
    </w:p>
    <w:p>
      <w:pPr>
        <w:spacing w:after="40"/>
        <w:ind w:left="454"/>
      </w:pPr>
      <w:r>
        <w:rPr>
          <w:rFonts w:ascii="Courier New" w:hAnsi="Courier New"/>
          <w:color w:val="1F6F1F"/>
          <w:sz w:val="18"/>
        </w:rPr>
        <w:t>}</w:t>
      </w:r>
    </w:p>
    <w:p>
      <w:pPr>
        <w:pStyle w:val="Heading2"/>
        <w:spacing w:before="160" w:after="80"/>
      </w:pPr>
      <w:r>
        <w:rPr>
          <w:color w:val="007A87"/>
        </w:rPr>
        <w:t>13.5  Gunicorn Configuration (backend/gunicorn.conf.py)</w:t>
      </w:r>
    </w:p>
    <w:p>
      <w:pPr>
        <w:spacing w:after="80"/>
      </w:pPr>
      <w:r>
        <w:rPr>
          <w:b w:val="0"/>
          <w:color w:val="1A1A2E"/>
          <w:sz w:val="21"/>
        </w:rPr>
        <w:t>Gunicorn is the WSGI bridge between Nginx and the Flask app:</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Setting</w:t>
            </w:r>
          </w:p>
        </w:tc>
        <w:tc>
          <w:tcPr>
            <w:tcW w:type="dxa" w:w="4561"/>
            <w:shd w:fill="0D2B55" w:color="auto" w:val="clear"/>
          </w:tcPr>
          <w:p>
            <w:r>
              <w:rPr>
                <w:b/>
                <w:color w:val="FFFFFF"/>
                <w:sz w:val="19"/>
              </w:rPr>
              <w:t>Value &amp; Reason</w:t>
            </w:r>
          </w:p>
        </w:tc>
      </w:tr>
      <w:tr>
        <w:tc>
          <w:tcPr>
            <w:tcW w:type="dxa" w:w="4561"/>
          </w:tcPr>
          <w:p>
            <w:r>
              <w:rPr>
                <w:b w:val="0"/>
                <w:sz w:val="19"/>
              </w:rPr>
              <w:t>bind</w:t>
            </w:r>
          </w:p>
        </w:tc>
        <w:tc>
          <w:tcPr>
            <w:tcW w:type="dxa" w:w="4561"/>
          </w:tcPr>
          <w:p>
            <w:r>
              <w:rPr>
                <w:b w:val="0"/>
                <w:sz w:val="19"/>
              </w:rPr>
              <w:t>Unix socket at /var/www/shunt_classification_and_ligation/shunt.sock — faster than TCP, no port conflict</w:t>
            </w:r>
          </w:p>
        </w:tc>
      </w:tr>
      <w:tr>
        <w:tc>
          <w:tcPr>
            <w:tcW w:type="dxa" w:w="4561"/>
          </w:tcPr>
          <w:p>
            <w:r>
              <w:rPr>
                <w:b w:val="0"/>
                <w:sz w:val="19"/>
              </w:rPr>
              <w:t>workers</w:t>
            </w:r>
          </w:p>
        </w:tc>
        <w:tc>
          <w:tcPr>
            <w:tcW w:type="dxa" w:w="4561"/>
          </w:tcPr>
          <w:p>
            <w:r>
              <w:rPr>
                <w:b w:val="0"/>
                <w:sz w:val="19"/>
              </w:rPr>
              <w:t>1 (sync) — single worker is correct here because the app is I/O-bound via external APIs, not CPU-bound</w:t>
            </w:r>
          </w:p>
        </w:tc>
      </w:tr>
      <w:tr>
        <w:tc>
          <w:tcPr>
            <w:tcW w:type="dxa" w:w="4561"/>
          </w:tcPr>
          <w:p>
            <w:r>
              <w:rPr>
                <w:b w:val="0"/>
                <w:sz w:val="19"/>
              </w:rPr>
              <w:t>worker_class</w:t>
            </w:r>
          </w:p>
        </w:tc>
        <w:tc>
          <w:tcPr>
            <w:tcW w:type="dxa" w:w="4561"/>
          </w:tcPr>
          <w:p>
            <w:r>
              <w:rPr>
                <w:b w:val="0"/>
                <w:sz w:val="19"/>
              </w:rPr>
              <w:t>sync — appropriate for long-running but non-concurrent requests</w:t>
            </w:r>
          </w:p>
        </w:tc>
      </w:tr>
      <w:tr>
        <w:tc>
          <w:tcPr>
            <w:tcW w:type="dxa" w:w="4561"/>
          </w:tcPr>
          <w:p>
            <w:r>
              <w:rPr>
                <w:b w:val="0"/>
                <w:sz w:val="19"/>
              </w:rPr>
              <w:t>timeout</w:t>
            </w:r>
          </w:p>
        </w:tc>
        <w:tc>
          <w:tcPr>
            <w:tcW w:type="dxa" w:w="4561"/>
          </w:tcPr>
          <w:p>
            <w:r>
              <w:rPr>
                <w:b w:val="0"/>
                <w:sz w:val="19"/>
              </w:rPr>
              <w:t>120 seconds — allows time for Groq LLM API calls that may take 10–30 seconds</w:t>
            </w:r>
          </w:p>
        </w:tc>
      </w:tr>
      <w:tr>
        <w:tc>
          <w:tcPr>
            <w:tcW w:type="dxa" w:w="4561"/>
          </w:tcPr>
          <w:p>
            <w:r>
              <w:rPr>
                <w:b w:val="0"/>
                <w:sz w:val="19"/>
              </w:rPr>
              <w:t>keepalive</w:t>
            </w:r>
          </w:p>
        </w:tc>
        <w:tc>
          <w:tcPr>
            <w:tcW w:type="dxa" w:w="4561"/>
          </w:tcPr>
          <w:p>
            <w:r>
              <w:rPr>
                <w:b w:val="0"/>
                <w:sz w:val="19"/>
              </w:rPr>
              <w:t>5 seconds — reuse HTTP connections from Nginx</w:t>
            </w:r>
          </w:p>
        </w:tc>
      </w:tr>
      <w:tr>
        <w:tc>
          <w:tcPr>
            <w:tcW w:type="dxa" w:w="4561"/>
          </w:tcPr>
          <w:p>
            <w:r>
              <w:rPr>
                <w:b w:val="0"/>
                <w:sz w:val="19"/>
              </w:rPr>
              <w:t>errorlog</w:t>
            </w:r>
          </w:p>
        </w:tc>
        <w:tc>
          <w:tcPr>
            <w:tcW w:type="dxa" w:w="4561"/>
          </w:tcPr>
          <w:p>
            <w:r>
              <w:rPr>
                <w:b w:val="0"/>
                <w:sz w:val="19"/>
              </w:rPr>
              <w:t>/var/log/shunt_classification_and_ligation/gunicorn-error.log</w:t>
            </w:r>
          </w:p>
        </w:tc>
      </w:tr>
      <w:tr>
        <w:tc>
          <w:tcPr>
            <w:tcW w:type="dxa" w:w="4561"/>
          </w:tcPr>
          <w:p>
            <w:r>
              <w:rPr>
                <w:b w:val="0"/>
                <w:sz w:val="19"/>
              </w:rPr>
              <w:t>accesslog</w:t>
            </w:r>
          </w:p>
        </w:tc>
        <w:tc>
          <w:tcPr>
            <w:tcW w:type="dxa" w:w="4561"/>
          </w:tcPr>
          <w:p>
            <w:r>
              <w:rPr>
                <w:b w:val="0"/>
                <w:sz w:val="19"/>
              </w:rPr>
              <w:t>/var/log/shunt_classification_and_ligation/gunicorn-access.log</w:t>
            </w:r>
          </w:p>
        </w:tc>
      </w:tr>
      <w:tr>
        <w:tc>
          <w:tcPr>
            <w:tcW w:type="dxa" w:w="4561"/>
          </w:tcPr>
          <w:p>
            <w:r>
              <w:rPr>
                <w:b w:val="0"/>
                <w:sz w:val="19"/>
              </w:rPr>
              <w:t>loglevel</w:t>
            </w:r>
          </w:p>
        </w:tc>
        <w:tc>
          <w:tcPr>
            <w:tcW w:type="dxa" w:w="4561"/>
          </w:tcPr>
          <w:p>
            <w:r>
              <w:rPr>
                <w:b w:val="0"/>
                <w:sz w:val="19"/>
              </w:rPr>
              <w:t>info</w:t>
            </w:r>
          </w:p>
        </w:tc>
      </w:tr>
    </w:tbl>
    <w:p/>
    <w:p>
      <w:pPr>
        <w:pStyle w:val="Heading2"/>
        <w:spacing w:before="160" w:after="80"/>
      </w:pPr>
      <w:r>
        <w:rPr>
          <w:color w:val="007A87"/>
        </w:rPr>
        <w:t>13.6  Systemd Service (deploy/shunt.service)</w:t>
      </w:r>
    </w:p>
    <w:p>
      <w:pPr>
        <w:spacing w:after="80"/>
      </w:pPr>
      <w:r>
        <w:rPr>
          <w:b w:val="0"/>
          <w:color w:val="1A1A2E"/>
          <w:sz w:val="21"/>
        </w:rPr>
        <w:t>The application runs as a systemd service (shunt.service), which means it starts automatically when the server boots and restarts automatically (after 5 seconds) if the process crashes. Key configuration:</w:t>
      </w:r>
    </w:p>
    <w:p>
      <w:pPr>
        <w:pStyle w:val="ListBullet"/>
        <w:spacing w:after="40"/>
        <w:ind w:left="454"/>
      </w:pPr>
      <w:r>
        <w:rPr>
          <w:color w:val="1A1A2E"/>
          <w:sz w:val="21"/>
        </w:rPr>
        <w:t>WorkingDirectory: /var/www/Cygnus_Med_Demo/Task_1_App/backend</w:t>
      </w:r>
    </w:p>
    <w:p>
      <w:pPr>
        <w:pStyle w:val="ListBullet"/>
        <w:spacing w:after="40"/>
        <w:ind w:left="454"/>
      </w:pPr>
      <w:r>
        <w:rPr>
          <w:color w:val="1A1A2E"/>
          <w:sz w:val="21"/>
        </w:rPr>
        <w:t>EnvironmentFile: backend/.env — loads GROQ_API_KEY and other secrets into the process environment without exposing them in the service file</w:t>
      </w:r>
    </w:p>
    <w:p>
      <w:pPr>
        <w:pStyle w:val="ListBullet"/>
        <w:spacing w:after="40"/>
        <w:ind w:left="454"/>
      </w:pPr>
      <w:r>
        <w:rPr>
          <w:color w:val="1A1A2E"/>
          <w:sz w:val="21"/>
        </w:rPr>
        <w:t>ExecStartPre: Before starting the app, the service runs git pull origin main and pip install -r requirements.txt so the latest code and dependencies are always in sync on server restart</w:t>
      </w:r>
    </w:p>
    <w:p>
      <w:pPr>
        <w:pStyle w:val="ListBullet"/>
        <w:spacing w:after="40"/>
        <w:ind w:left="454"/>
      </w:pPr>
      <w:r>
        <w:rPr>
          <w:color w:val="1A1A2E"/>
          <w:sz w:val="21"/>
        </w:rPr>
        <w:t>ExecStart: Gunicorn launched via the venv Python interpreter with the gunicorn.conf.py config file</w:t>
      </w:r>
    </w:p>
    <w:p>
      <w:pPr>
        <w:pStyle w:val="ListBullet"/>
        <w:spacing w:after="40"/>
        <w:ind w:left="454"/>
      </w:pPr>
      <w:r>
        <w:rPr>
          <w:color w:val="1A1A2E"/>
          <w:sz w:val="21"/>
        </w:rPr>
        <w:t>Restart=always with RestartSec=5 — automatic recovery from any crash</w:t>
      </w:r>
    </w:p>
    <w:p>
      <w:pPr>
        <w:pStyle w:val="ListBullet"/>
        <w:spacing w:after="40"/>
        <w:ind w:left="454"/>
      </w:pPr>
      <w:r>
        <w:rPr>
          <w:color w:val="1A1A2E"/>
          <w:sz w:val="21"/>
        </w:rPr>
        <w:t>Logs written to append-mode files (not journald) for persistent storage across reboots</w:t>
      </w:r>
    </w:p>
    <w:p>
      <w:pPr>
        <w:pStyle w:val="Heading2"/>
        <w:spacing w:before="160" w:after="80"/>
      </w:pPr>
      <w:r>
        <w:rPr>
          <w:color w:val="007A87"/>
        </w:rPr>
        <w:t>13.7  Continuous Deployment via GitHub Actions (.github/workflows/deploy.yml)</w:t>
      </w:r>
    </w:p>
    <w:p>
      <w:pPr>
        <w:spacing w:after="80"/>
      </w:pPr>
      <w:r>
        <w:rPr>
          <w:b w:val="0"/>
          <w:color w:val="1A1A2E"/>
          <w:sz w:val="21"/>
        </w:rPr>
        <w:t>Every push to the main branch triggers an automatic deployment to the Alibaba Cloud ECS server. The GitHub Actions workflow is intentionally simple — it does not build, test, or package anything on the runner. Instead it just opens an SSH connection to the live server and runs the update script there.</w:t>
      </w:r>
    </w:p>
    <w:p>
      <w:pPr>
        <w:spacing w:after="80"/>
      </w:pPr>
      <w:r>
        <w:rPr>
          <w:b w:val="0"/>
          <w:color w:val="1A1A2E"/>
          <w:sz w:val="21"/>
        </w:rPr>
        <w:t>Workflow steps:</w:t>
      </w:r>
    </w:p>
    <w:p>
      <w:pPr>
        <w:pStyle w:val="ListNumber"/>
        <w:spacing w:after="40"/>
      </w:pPr>
      <w:r>
        <w:rPr>
          <w:color w:val="1A1A2E"/>
          <w:sz w:val="21"/>
        </w:rPr>
        <w:t>Triggered by: push to main branch</w:t>
      </w:r>
    </w:p>
    <w:p>
      <w:pPr>
        <w:pStyle w:val="ListNumber"/>
        <w:spacing w:after="40"/>
      </w:pPr>
      <w:r>
        <w:rPr>
          <w:color w:val="1A1A2E"/>
          <w:sz w:val="21"/>
        </w:rPr>
        <w:t>Runner: ubuntu-latest (GitHub-hosted)</w:t>
      </w:r>
    </w:p>
    <w:p>
      <w:pPr>
        <w:pStyle w:val="ListNumber"/>
        <w:spacing w:after="40"/>
      </w:pPr>
      <w:r>
        <w:rPr>
          <w:color w:val="1A1A2E"/>
          <w:sz w:val="21"/>
        </w:rPr>
        <w:t>Set up SSH: reads SSH_PRIVATE_KEY from GitHub Secrets, writes to ~/.ssh/deploy_key, chmod 600</w:t>
      </w:r>
    </w:p>
    <w:p>
      <w:pPr>
        <w:pStyle w:val="ListNumber"/>
        <w:spacing w:after="40"/>
      </w:pPr>
      <w:r>
        <w:rPr>
          <w:color w:val="1A1A2E"/>
          <w:sz w:val="21"/>
        </w:rPr>
        <w:t>Trust server: ssh-keyscan adds the server's host key to known_hosts (prevents interactive prompt)</w:t>
      </w:r>
    </w:p>
    <w:p>
      <w:pPr>
        <w:pStyle w:val="ListNumber"/>
        <w:spacing w:after="40"/>
      </w:pPr>
      <w:r>
        <w:rPr>
          <w:color w:val="1A1A2E"/>
          <w:sz w:val="21"/>
        </w:rPr>
        <w:t>Deploy: SSH into root@&lt;SERVER_IP&gt; and execute /var/www/Cygnus_Med_Demo/Task_1_App/deploy/update.sh</w:t>
      </w:r>
    </w:p>
    <w:p>
      <w:pPr>
        <w:spacing w:after="80"/>
      </w:pPr>
      <w:r>
        <w:rPr>
          <w:b w:val="0"/>
          <w:color w:val="1A1A2E"/>
          <w:sz w:val="21"/>
        </w:rPr>
        <w:t>GitHub Secrets required:</w:t>
      </w:r>
    </w:p>
    <w:p>
      <w:pPr>
        <w:pStyle w:val="ListBullet"/>
        <w:spacing w:after="40"/>
        <w:ind w:left="454"/>
      </w:pPr>
      <w:r>
        <w:rPr>
          <w:color w:val="1A1A2E"/>
          <w:sz w:val="21"/>
        </w:rPr>
        <w:t>SSH_PRIVATE_KEY — the private half of an SSH key pair whose public key is in the server's authorized_keys</w:t>
      </w:r>
    </w:p>
    <w:p>
      <w:pPr>
        <w:pStyle w:val="ListBullet"/>
        <w:spacing w:after="40"/>
        <w:ind w:left="454"/>
      </w:pPr>
      <w:r>
        <w:rPr>
          <w:color w:val="1A1A2E"/>
          <w:sz w:val="21"/>
        </w:rPr>
        <w:t>SERVER_IP — the public IP address of the Alibaba Cloud ECS instance</w:t>
      </w:r>
    </w:p>
    <w:p>
      <w:pPr>
        <w:spacing w:after="40"/>
        <w:ind w:left="454"/>
      </w:pPr>
      <w:r>
        <w:rPr>
          <w:rFonts w:ascii="Courier New" w:hAnsi="Courier New"/>
          <w:color w:val="1F6F1F"/>
          <w:sz w:val="18"/>
        </w:rPr>
        <w:t># deploy.yml (simplified view)</w:t>
      </w:r>
    </w:p>
    <w:p>
      <w:pPr>
        <w:spacing w:after="40"/>
        <w:ind w:left="454"/>
      </w:pPr>
      <w:r>
        <w:rPr>
          <w:rFonts w:ascii="Courier New" w:hAnsi="Courier New"/>
          <w:color w:val="1F6F1F"/>
          <w:sz w:val="18"/>
        </w:rPr>
        <w:t>on:</w:t>
      </w:r>
    </w:p>
    <w:p>
      <w:pPr>
        <w:spacing w:after="40"/>
        <w:ind w:left="454"/>
      </w:pPr>
      <w:r>
        <w:rPr>
          <w:rFonts w:ascii="Courier New" w:hAnsi="Courier New"/>
          <w:color w:val="1F6F1F"/>
          <w:sz w:val="18"/>
        </w:rPr>
        <w:t xml:space="preserve">  push:</w:t>
      </w:r>
    </w:p>
    <w:p>
      <w:pPr>
        <w:spacing w:after="40"/>
        <w:ind w:left="454"/>
      </w:pPr>
      <w:r>
        <w:rPr>
          <w:rFonts w:ascii="Courier New" w:hAnsi="Courier New"/>
          <w:color w:val="1F6F1F"/>
          <w:sz w:val="18"/>
        </w:rPr>
        <w:t xml:space="preserve">    branches: [main]</w:t>
      </w:r>
    </w:p>
    <w:p>
      <w:pPr>
        <w:spacing w:after="40"/>
        <w:ind w:left="454"/>
      </w:pPr>
      <w:r>
        <w:rPr>
          <w:rFonts w:ascii="Courier New" w:hAnsi="Courier New"/>
          <w:color w:val="1F6F1F"/>
          <w:sz w:val="18"/>
        </w:rPr>
        <w:t>jobs:</w:t>
      </w:r>
    </w:p>
    <w:p>
      <w:pPr>
        <w:spacing w:after="40"/>
        <w:ind w:left="454"/>
      </w:pPr>
      <w:r>
        <w:rPr>
          <w:rFonts w:ascii="Courier New" w:hAnsi="Courier New"/>
          <w:color w:val="1F6F1F"/>
          <w:sz w:val="18"/>
        </w:rPr>
        <w:t xml:space="preserve">  deploy:</w:t>
      </w:r>
    </w:p>
    <w:p>
      <w:pPr>
        <w:spacing w:after="40"/>
        <w:ind w:left="454"/>
      </w:pPr>
      <w:r>
        <w:rPr>
          <w:rFonts w:ascii="Courier New" w:hAnsi="Courier New"/>
          <w:color w:val="1F6F1F"/>
          <w:sz w:val="18"/>
        </w:rPr>
        <w:t xml:space="preserve">    runs-on: ubuntu-latest</w:t>
      </w:r>
    </w:p>
    <w:p>
      <w:pPr>
        <w:spacing w:after="40"/>
        <w:ind w:left="454"/>
      </w:pPr>
      <w:r>
        <w:rPr>
          <w:rFonts w:ascii="Courier New" w:hAnsi="Courier New"/>
          <w:color w:val="1F6F1F"/>
          <w:sz w:val="18"/>
        </w:rPr>
        <w:t xml:space="preserve">    steps:</w:t>
      </w:r>
    </w:p>
    <w:p>
      <w:pPr>
        <w:spacing w:after="40"/>
        <w:ind w:left="454"/>
      </w:pPr>
      <w:r>
        <w:rPr>
          <w:rFonts w:ascii="Courier New" w:hAnsi="Courier New"/>
          <w:color w:val="1F6F1F"/>
          <w:sz w:val="18"/>
        </w:rPr>
        <w:t xml:space="preserve">      - name: Deploy via SSH</w:t>
      </w:r>
    </w:p>
    <w:p>
      <w:pPr>
        <w:spacing w:after="40"/>
        <w:ind w:left="454"/>
      </w:pPr>
      <w:r>
        <w:rPr>
          <w:rFonts w:ascii="Courier New" w:hAnsi="Courier New"/>
          <w:color w:val="1F6F1F"/>
          <w:sz w:val="18"/>
        </w:rPr>
        <w:t xml:space="preserve">        run: |</w:t>
      </w:r>
    </w:p>
    <w:p>
      <w:pPr>
        <w:spacing w:after="40"/>
        <w:ind w:left="454"/>
      </w:pPr>
      <w:r>
        <w:rPr>
          <w:rFonts w:ascii="Courier New" w:hAnsi="Courier New"/>
          <w:color w:val="1F6F1F"/>
          <w:sz w:val="18"/>
        </w:rPr>
        <w:t xml:space="preserve">          ssh -i ~/.ssh/deploy_key root@${{ secrets.SERVER_IP }} \</w:t>
      </w:r>
    </w:p>
    <w:p>
      <w:pPr>
        <w:spacing w:after="40"/>
        <w:ind w:left="454"/>
      </w:pPr>
      <w:r>
        <w:rPr>
          <w:rFonts w:ascii="Courier New" w:hAnsi="Courier New"/>
          <w:color w:val="1F6F1F"/>
          <w:sz w:val="18"/>
        </w:rPr>
        <w:t xml:space="preserve">            'bash /var/www/Cygnus_Med_Demo/Task_1_App/deploy/update.sh'</w:t>
      </w:r>
    </w:p>
    <w:p>
      <w:pPr>
        <w:pStyle w:val="Heading2"/>
        <w:spacing w:before="160" w:after="80"/>
      </w:pPr>
      <w:r>
        <w:rPr>
          <w:color w:val="007A87"/>
        </w:rPr>
        <w:t>13.8  Update / Rollout Script (deploy/update.sh)</w:t>
      </w:r>
    </w:p>
    <w:p>
      <w:pPr>
        <w:spacing w:after="80"/>
      </w:pPr>
      <w:r>
        <w:rPr>
          <w:b w:val="0"/>
          <w:color w:val="1A1A2E"/>
          <w:sz w:val="21"/>
        </w:rPr>
        <w:t>The update script is what actually runs on the server during every deployment. It has special logic to protect the chat history database — a critical design choice given that the SQLite file accumulates real clinical session data:</w:t>
      </w:r>
    </w:p>
    <w:p>
      <w:pPr>
        <w:pStyle w:val="ListNumber"/>
        <w:spacing w:after="40"/>
      </w:pPr>
      <w:r>
        <w:rPr>
          <w:color w:val="1A1A2E"/>
          <w:sz w:val="21"/>
        </w:rPr>
        <w:t>Backup current chat_history.db to /tmp/ before git pull (in case git somehow deletes it)</w:t>
      </w:r>
    </w:p>
    <w:p>
      <w:pPr>
        <w:pStyle w:val="ListNumber"/>
        <w:spacing w:after="40"/>
      </w:pPr>
      <w:r>
        <w:rPr>
          <w:color w:val="1A1A2E"/>
          <w:sz w:val="21"/>
        </w:rPr>
        <w:t>git pull origin main — fetch latest code</w:t>
      </w:r>
    </w:p>
    <w:p>
      <w:pPr>
        <w:pStyle w:val="ListNumber"/>
        <w:spacing w:after="40"/>
      </w:pPr>
      <w:r>
        <w:rPr>
          <w:color w:val="1A1A2E"/>
          <w:sz w:val="21"/>
        </w:rPr>
        <w:t>Count sessions in current DB. If the database is missing or empty (0 sessions), restore from a known-good backup embedded in git history at commit 8d8fb2ea (the June 4 backup — 280 sessions preserved)</w:t>
      </w:r>
    </w:p>
    <w:p>
      <w:pPr>
        <w:pStyle w:val="ListNumber"/>
        <w:spacing w:after="40"/>
      </w:pPr>
      <w:r>
        <w:rPr>
          <w:color w:val="1A1A2E"/>
          <w:sz w:val="21"/>
        </w:rPr>
        <w:t>pip install --no-cache-dir -r requirements.txt — install any new dependencies silently</w:t>
      </w:r>
    </w:p>
    <w:p>
      <w:pPr>
        <w:pStyle w:val="ListNumber"/>
        <w:spacing w:after="40"/>
      </w:pPr>
      <w:r>
        <w:rPr>
          <w:color w:val="1A1A2E"/>
          <w:sz w:val="21"/>
        </w:rPr>
        <w:t>systemctl restart shunt — hot-swap the running process</w:t>
      </w:r>
    </w:p>
    <w:p>
      <w:pPr>
        <w:pStyle w:val="ListNumber"/>
        <w:spacing w:after="40"/>
      </w:pPr>
      <w:r>
        <w:rPr>
          <w:color w:val="1A1A2E"/>
          <w:sz w:val="21"/>
        </w:rPr>
        <w:t>Print the deployment timestamp</w:t>
      </w:r>
    </w:p>
    <w:p>
      <w:pPr>
        <w:spacing w:after="80"/>
      </w:pPr>
      <w:r>
        <w:rPr>
          <w:b w:val="0"/>
          <w:color w:val="147A35"/>
          <w:sz w:val="21"/>
        </w:rPr>
        <w:t>The database recovery logic (step 3) is especially important: it uses git show to extract the database file from a specific historical commit object — meaning even if the live DB is accidentally lost, a full 280-session backup is permanently stored in the git object store and automatically restored on next deployment.</w:t>
      </w:r>
    </w:p>
    <w:p>
      <w:pPr>
        <w:pStyle w:val="Heading2"/>
        <w:spacing w:before="160" w:after="80"/>
      </w:pPr>
      <w:r>
        <w:rPr>
          <w:color w:val="007A87"/>
        </w:rPr>
        <w:t>13.9  Environment Variables (.env)</w:t>
      </w:r>
    </w:p>
    <w:p>
      <w:pPr>
        <w:spacing w:after="80"/>
      </w:pPr>
      <w:r>
        <w:rPr>
          <w:b w:val="0"/>
          <w:color w:val="1A1A2E"/>
          <w:sz w:val="21"/>
        </w:rPr>
        <w:t>All secrets and environment-specific configuration are stored in backend/.env (not committed to git — only .env.example is tracked):</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Variable</w:t>
            </w:r>
          </w:p>
        </w:tc>
        <w:tc>
          <w:tcPr>
            <w:tcW w:type="dxa" w:w="3041"/>
            <w:shd w:fill="0D2B55" w:color="auto" w:val="clear"/>
          </w:tcPr>
          <w:p>
            <w:r>
              <w:rPr>
                <w:b/>
                <w:color w:val="FFFFFF"/>
                <w:sz w:val="19"/>
              </w:rPr>
              <w:t>Example Value</w:t>
            </w:r>
          </w:p>
        </w:tc>
        <w:tc>
          <w:tcPr>
            <w:tcW w:type="dxa" w:w="3041"/>
            <w:shd w:fill="0D2B55" w:color="auto" w:val="clear"/>
          </w:tcPr>
          <w:p>
            <w:r>
              <w:rPr>
                <w:b/>
                <w:color w:val="FFFFFF"/>
                <w:sz w:val="19"/>
              </w:rPr>
              <w:t>Purpose</w:t>
            </w:r>
          </w:p>
        </w:tc>
      </w:tr>
      <w:tr>
        <w:tc>
          <w:tcPr>
            <w:tcW w:type="dxa" w:w="3041"/>
          </w:tcPr>
          <w:p>
            <w:r>
              <w:rPr>
                <w:b w:val="0"/>
                <w:sz w:val="19"/>
              </w:rPr>
              <w:t>GROQ_API_KEY</w:t>
            </w:r>
          </w:p>
        </w:tc>
        <w:tc>
          <w:tcPr>
            <w:tcW w:type="dxa" w:w="3041"/>
          </w:tcPr>
          <w:p>
            <w:r>
              <w:rPr>
                <w:b w:val="0"/>
                <w:sz w:val="19"/>
              </w:rPr>
              <w:t>gsk_…</w:t>
            </w:r>
          </w:p>
        </w:tc>
        <w:tc>
          <w:tcPr>
            <w:tcW w:type="dxa" w:w="3041"/>
          </w:tcPr>
          <w:p>
            <w:r>
              <w:rPr>
                <w:b w:val="0"/>
                <w:sz w:val="19"/>
              </w:rPr>
              <w:t>Required — Groq LLM API authentication</w:t>
            </w:r>
          </w:p>
        </w:tc>
      </w:tr>
      <w:tr>
        <w:tc>
          <w:tcPr>
            <w:tcW w:type="dxa" w:w="3041"/>
          </w:tcPr>
          <w:p>
            <w:r>
              <w:rPr>
                <w:b w:val="0"/>
                <w:sz w:val="19"/>
              </w:rPr>
              <w:t>QDRANT_HOST</w:t>
            </w:r>
          </w:p>
        </w:tc>
        <w:tc>
          <w:tcPr>
            <w:tcW w:type="dxa" w:w="3041"/>
          </w:tcPr>
          <w:p>
            <w:r>
              <w:rPr>
                <w:b w:val="0"/>
                <w:sz w:val="19"/>
              </w:rPr>
              <w:t>(blank)</w:t>
            </w:r>
          </w:p>
        </w:tc>
        <w:tc>
          <w:tcPr>
            <w:tcW w:type="dxa" w:w="3041"/>
          </w:tcPr>
          <w:p>
            <w:r>
              <w:rPr>
                <w:b w:val="0"/>
                <w:sz w:val="19"/>
              </w:rPr>
              <w:t>Blank = use local file-mode Qdrant (qdrant_storage/)</w:t>
            </w:r>
          </w:p>
        </w:tc>
      </w:tr>
      <w:tr>
        <w:tc>
          <w:tcPr>
            <w:tcW w:type="dxa" w:w="3041"/>
          </w:tcPr>
          <w:p>
            <w:r>
              <w:rPr>
                <w:b w:val="0"/>
                <w:sz w:val="19"/>
              </w:rPr>
              <w:t>QDRANT_PORT</w:t>
            </w:r>
          </w:p>
        </w:tc>
        <w:tc>
          <w:tcPr>
            <w:tcW w:type="dxa" w:w="3041"/>
          </w:tcPr>
          <w:p>
            <w:r>
              <w:rPr>
                <w:b w:val="0"/>
                <w:sz w:val="19"/>
              </w:rPr>
              <w:t>6333</w:t>
            </w:r>
          </w:p>
        </w:tc>
        <w:tc>
          <w:tcPr>
            <w:tcW w:type="dxa" w:w="3041"/>
          </w:tcPr>
          <w:p>
            <w:r>
              <w:rPr>
                <w:b w:val="0"/>
                <w:sz w:val="19"/>
              </w:rPr>
              <w:t>Default Qdrant port (unused in local mode)</w:t>
            </w:r>
          </w:p>
        </w:tc>
      </w:tr>
      <w:tr>
        <w:tc>
          <w:tcPr>
            <w:tcW w:type="dxa" w:w="3041"/>
          </w:tcPr>
          <w:p>
            <w:r>
              <w:rPr>
                <w:b w:val="0"/>
                <w:sz w:val="19"/>
              </w:rPr>
              <w:t>QDRANT_API_KEY</w:t>
            </w:r>
          </w:p>
        </w:tc>
        <w:tc>
          <w:tcPr>
            <w:tcW w:type="dxa" w:w="3041"/>
          </w:tcPr>
          <w:p>
            <w:r>
              <w:rPr>
                <w:b w:val="0"/>
                <w:sz w:val="19"/>
              </w:rPr>
              <w:t>(blank)</w:t>
            </w:r>
          </w:p>
        </w:tc>
        <w:tc>
          <w:tcPr>
            <w:tcW w:type="dxa" w:w="3041"/>
          </w:tcPr>
          <w:p>
            <w:r>
              <w:rPr>
                <w:b w:val="0"/>
                <w:sz w:val="19"/>
              </w:rPr>
              <w:t>Blank = no auth needed for local Qdrant</w:t>
            </w:r>
          </w:p>
        </w:tc>
      </w:tr>
      <w:tr>
        <w:tc>
          <w:tcPr>
            <w:tcW w:type="dxa" w:w="3041"/>
          </w:tcPr>
          <w:p>
            <w:r>
              <w:rPr>
                <w:b w:val="0"/>
                <w:sz w:val="19"/>
              </w:rPr>
              <w:t>OLLAMA_BASE_URL</w:t>
            </w:r>
          </w:p>
        </w:tc>
        <w:tc>
          <w:tcPr>
            <w:tcW w:type="dxa" w:w="3041"/>
          </w:tcPr>
          <w:p>
            <w:r>
              <w:rPr>
                <w:b w:val="0"/>
                <w:sz w:val="19"/>
              </w:rPr>
              <w:t>http://localhost:11434</w:t>
            </w:r>
          </w:p>
        </w:tc>
        <w:tc>
          <w:tcPr>
            <w:tcW w:type="dxa" w:w="3041"/>
          </w:tcPr>
          <w:p>
            <w:r>
              <w:rPr>
                <w:b w:val="0"/>
                <w:sz w:val="19"/>
              </w:rPr>
              <w:t>Ollama embedding server URL (local)</w:t>
            </w:r>
          </w:p>
        </w:tc>
      </w:tr>
      <w:tr>
        <w:tc>
          <w:tcPr>
            <w:tcW w:type="dxa" w:w="3041"/>
          </w:tcPr>
          <w:p>
            <w:r>
              <w:rPr>
                <w:b w:val="0"/>
                <w:sz w:val="19"/>
              </w:rPr>
              <w:t>GOOGLE_SHEETS_CREDENTIALS_FILE</w:t>
            </w:r>
          </w:p>
        </w:tc>
        <w:tc>
          <w:tcPr>
            <w:tcW w:type="dxa" w:w="3041"/>
          </w:tcPr>
          <w:p>
            <w:r>
              <w:rPr>
                <w:b w:val="0"/>
                <w:sz w:val="19"/>
              </w:rPr>
              <w:t>(blank)</w:t>
            </w:r>
          </w:p>
        </w:tc>
        <w:tc>
          <w:tcPr>
            <w:tcW w:type="dxa" w:w="3041"/>
          </w:tcPr>
          <w:p>
            <w:r>
              <w:rPr>
                <w:b w:val="0"/>
                <w:sz w:val="19"/>
              </w:rPr>
              <w:t>Optional — enables feedback logging to Google Sheets</w:t>
            </w:r>
          </w:p>
        </w:tc>
      </w:tr>
      <w:tr>
        <w:tc>
          <w:tcPr>
            <w:tcW w:type="dxa" w:w="3041"/>
          </w:tcPr>
          <w:p>
            <w:r>
              <w:rPr>
                <w:b w:val="0"/>
                <w:sz w:val="19"/>
              </w:rPr>
              <w:t>GOOGLE_SHEETS_ID</w:t>
            </w:r>
          </w:p>
        </w:tc>
        <w:tc>
          <w:tcPr>
            <w:tcW w:type="dxa" w:w="3041"/>
          </w:tcPr>
          <w:p>
            <w:r>
              <w:rPr>
                <w:b w:val="0"/>
                <w:sz w:val="19"/>
              </w:rPr>
              <w:t>(blank)</w:t>
            </w:r>
          </w:p>
        </w:tc>
        <w:tc>
          <w:tcPr>
            <w:tcW w:type="dxa" w:w="3041"/>
          </w:tcPr>
          <w:p>
            <w:r>
              <w:rPr>
                <w:b w:val="0"/>
                <w:sz w:val="19"/>
              </w:rPr>
              <w:t>Optional — target spreadsheet ID</w:t>
            </w:r>
          </w:p>
        </w:tc>
      </w:tr>
      <w:tr>
        <w:tc>
          <w:tcPr>
            <w:tcW w:type="dxa" w:w="3041"/>
          </w:tcPr>
          <w:p>
            <w:r>
              <w:rPr>
                <w:b w:val="0"/>
                <w:sz w:val="19"/>
              </w:rPr>
              <w:t>CMED_PORT</w:t>
            </w:r>
          </w:p>
        </w:tc>
        <w:tc>
          <w:tcPr>
            <w:tcW w:type="dxa" w:w="3041"/>
          </w:tcPr>
          <w:p>
            <w:r>
              <w:rPr>
                <w:b w:val="0"/>
                <w:sz w:val="19"/>
              </w:rPr>
              <w:t>7860</w:t>
            </w:r>
          </w:p>
        </w:tc>
        <w:tc>
          <w:tcPr>
            <w:tcW w:type="dxa" w:w="3041"/>
          </w:tcPr>
          <w:p>
            <w:r>
              <w:rPr>
                <w:b w:val="0"/>
                <w:sz w:val="19"/>
              </w:rPr>
              <w:t>Flask development port (Gunicorn ignores this)</w:t>
            </w:r>
          </w:p>
        </w:tc>
      </w:tr>
      <w:tr>
        <w:tc>
          <w:tcPr>
            <w:tcW w:type="dxa" w:w="3041"/>
          </w:tcPr>
          <w:p>
            <w:r>
              <w:rPr>
                <w:b w:val="0"/>
                <w:sz w:val="19"/>
              </w:rPr>
              <w:t>CORS_ORIGINS</w:t>
            </w:r>
          </w:p>
        </w:tc>
        <w:tc>
          <w:tcPr>
            <w:tcW w:type="dxa" w:w="3041"/>
          </w:tcPr>
          <w:p>
            <w:r>
              <w:rPr>
                <w:b w:val="0"/>
                <w:sz w:val="19"/>
              </w:rPr>
              <w:t>*</w:t>
            </w:r>
          </w:p>
        </w:tc>
        <w:tc>
          <w:tcPr>
            <w:tcW w:type="dxa" w:w="3041"/>
          </w:tcPr>
          <w:p>
            <w:r>
              <w:rPr>
                <w:b w:val="0"/>
                <w:sz w:val="19"/>
              </w:rPr>
              <w:t>Allowed CORS origins for API calls</w:t>
            </w:r>
          </w:p>
        </w:tc>
      </w:tr>
    </w:tbl>
    <w:p/>
    <w:p>
      <w:pPr>
        <w:pStyle w:val="Heading2"/>
        <w:spacing w:before="160" w:after="80"/>
      </w:pPr>
      <w:r>
        <w:rPr>
          <w:color w:val="007A87"/>
        </w:rPr>
        <w:t>13.10  Deployment Flow — End to End</w:t>
      </w:r>
    </w:p>
    <w:p>
      <w:pPr>
        <w:spacing w:after="80"/>
      </w:pPr>
      <w:r>
        <w:rPr>
          <w:b w:val="0"/>
          <w:color w:val="1A1A2E"/>
          <w:sz w:val="21"/>
        </w:rPr>
        <w:t>A complete deployment from code change to live production:</w:t>
      </w:r>
    </w:p>
    <w:p>
      <w:pPr>
        <w:pStyle w:val="ListNumber"/>
        <w:spacing w:after="40"/>
      </w:pPr>
      <w:r>
        <w:rPr>
          <w:color w:val="1A1A2E"/>
          <w:sz w:val="21"/>
        </w:rPr>
        <w:t>Developer pushes to main branch on GitHub</w:t>
      </w:r>
    </w:p>
    <w:p>
      <w:pPr>
        <w:pStyle w:val="ListNumber"/>
        <w:spacing w:after="40"/>
      </w:pPr>
      <w:r>
        <w:rPr>
          <w:color w:val="1A1A2E"/>
          <w:sz w:val="21"/>
        </w:rPr>
        <w:t>GitHub Actions workflow triggers (within ~30 seconds)</w:t>
      </w:r>
    </w:p>
    <w:p>
      <w:pPr>
        <w:pStyle w:val="ListNumber"/>
        <w:spacing w:after="40"/>
      </w:pPr>
      <w:r>
        <w:rPr>
          <w:color w:val="1A1A2E"/>
          <w:sz w:val="21"/>
        </w:rPr>
        <w:t>GitHub runner opens SSH to ECS server using stored private key</w:t>
      </w:r>
    </w:p>
    <w:p>
      <w:pPr>
        <w:pStyle w:val="ListNumber"/>
        <w:spacing w:after="40"/>
      </w:pPr>
      <w:r>
        <w:rPr>
          <w:color w:val="1A1A2E"/>
          <w:sz w:val="21"/>
        </w:rPr>
        <w:t>update.sh runs on server: backup DB → git pull → check DB integrity → pip install → systemctl restart shunt</w:t>
      </w:r>
    </w:p>
    <w:p>
      <w:pPr>
        <w:pStyle w:val="ListNumber"/>
        <w:spacing w:after="40"/>
      </w:pPr>
      <w:r>
        <w:rPr>
          <w:color w:val="1A1A2E"/>
          <w:sz w:val="21"/>
        </w:rPr>
        <w:t>systemd stops the old Gunicorn process, starts a new one</w:t>
      </w:r>
    </w:p>
    <w:p>
      <w:pPr>
        <w:pStyle w:val="ListNumber"/>
        <w:spacing w:after="40"/>
      </w:pPr>
      <w:r>
        <w:rPr>
          <w:color w:val="1A1A2E"/>
          <w:sz w:val="21"/>
        </w:rPr>
        <w:t>New Gunicorn worker loads the updated Flask app, runs startup checks (Qdrant collection, cross-encoder, BM25 index)</w:t>
      </w:r>
    </w:p>
    <w:p>
      <w:pPr>
        <w:pStyle w:val="ListNumber"/>
        <w:spacing w:after="40"/>
      </w:pPr>
      <w:r>
        <w:rPr>
          <w:color w:val="1A1A2E"/>
          <w:sz w:val="21"/>
        </w:rPr>
        <w:t>Nginx continues serving requests without interruption — the Unix socket reconnects to the new worker</w:t>
      </w:r>
    </w:p>
    <w:p>
      <w:pPr>
        <w:pStyle w:val="ListNumber"/>
        <w:spacing w:after="40"/>
      </w:pPr>
      <w:r>
        <w:rPr>
          <w:color w:val="1A1A2E"/>
          <w:sz w:val="21"/>
        </w:rPr>
        <w:t>Total downtime: ~3–5 seconds during Gunicorn restart</w:t>
      </w:r>
    </w:p>
    <w:p>
      <w:pPr>
        <w:pStyle w:val="Heading2"/>
        <w:spacing w:before="160" w:after="80"/>
      </w:pPr>
      <w:r>
        <w:rPr>
          <w:color w:val="007A87"/>
        </w:rPr>
        <w:t>13.11  Logging &amp; Monitoring</w:t>
      </w:r>
    </w:p>
    <w:p>
      <w:pPr>
        <w:spacing w:after="80"/>
      </w:pPr>
      <w:r>
        <w:rPr>
          <w:b w:val="0"/>
          <w:color w:val="1A1A2E"/>
          <w:sz w:val="21"/>
        </w:rPr>
        <w:t>Four log files are maintained on the server:</w:t>
      </w:r>
    </w:p>
    <w:p>
      <w:pPr>
        <w:pStyle w:val="ListBullet"/>
        <w:spacing w:after="40"/>
        <w:ind w:left="454"/>
      </w:pPr>
      <w:r>
        <w:rPr>
          <w:color w:val="1A1A2E"/>
          <w:sz w:val="21"/>
        </w:rPr>
        <w:t>/var/log/shunt_classification_and_ligation/app.log — Flask application stdout (request logs, startup messages, BM25 index status)</w:t>
      </w:r>
    </w:p>
    <w:p>
      <w:pPr>
        <w:pStyle w:val="ListBullet"/>
        <w:spacing w:after="40"/>
        <w:ind w:left="454"/>
      </w:pPr>
      <w:r>
        <w:rPr>
          <w:color w:val="1A1A2E"/>
          <w:sz w:val="21"/>
        </w:rPr>
        <w:t>/var/log/shunt_classification_and_ligation/app-error.log — Flask stderr (exceptions, traceback from route handlers)</w:t>
      </w:r>
    </w:p>
    <w:p>
      <w:pPr>
        <w:pStyle w:val="ListBullet"/>
        <w:spacing w:after="40"/>
        <w:ind w:left="454"/>
      </w:pPr>
      <w:r>
        <w:rPr>
          <w:color w:val="1A1A2E"/>
          <w:sz w:val="21"/>
        </w:rPr>
        <w:t>/var/log/shunt_classification_and_ligation/gunicorn-access.log — HTTP access log (method, path, status code, response time)</w:t>
      </w:r>
    </w:p>
    <w:p>
      <w:pPr>
        <w:pStyle w:val="ListBullet"/>
        <w:spacing w:after="40"/>
        <w:ind w:left="454"/>
      </w:pPr>
      <w:r>
        <w:rPr>
          <w:color w:val="1A1A2E"/>
          <w:sz w:val="21"/>
        </w:rPr>
        <w:t>/var/log/shunt_classification_and_ligation/gunicorn-error.log — Gunicorn worker errors (worker timeouts, crash reports)</w:t>
      </w:r>
    </w:p>
    <w:p>
      <w:pPr>
        <w:spacing w:after="80"/>
      </w:pPr>
      <w:r>
        <w:rPr>
          <w:b w:val="0"/>
          <w:color w:val="1A1A2E"/>
          <w:sz w:val="21"/>
        </w:rPr>
        <w:t>All logs are written in append mode so they persist across service restarts. No log rotation is configured in the current deployment — this should be added for long-running production use (e.g., logrotate with weekly rotation and 4-week retention).</w:t>
      </w:r>
    </w:p>
    <w:p>
      <w:pPr>
        <w:pStyle w:val="Heading2"/>
        <w:spacing w:before="160" w:after="80"/>
      </w:pPr>
      <w:r>
        <w:rPr>
          <w:color w:val="007A87"/>
        </w:rPr>
        <w:t>13.12  Security Considerations</w:t>
      </w:r>
    </w:p>
    <w:p>
      <w:pPr>
        <w:spacing w:after="80"/>
      </w:pPr>
      <w:r>
        <w:rPr>
          <w:b w:val="0"/>
          <w:color w:val="1A1A2E"/>
          <w:sz w:val="21"/>
        </w:rPr>
        <w:t>The current deployment has the following security posture:</w:t>
      </w:r>
    </w:p>
    <w:p>
      <w:pPr>
        <w:pStyle w:val="ListBullet"/>
        <w:spacing w:after="40"/>
        <w:ind w:left="454"/>
      </w:pPr>
      <w:r>
        <w:rPr>
          <w:color w:val="1A1A2E"/>
          <w:sz w:val="21"/>
        </w:rPr>
        <w:t>GROQ_API_KEY stored in .env with chmod 600 (owner-read-only) — not in git history</w:t>
      </w:r>
    </w:p>
    <w:p>
      <w:pPr>
        <w:pStyle w:val="ListBullet"/>
        <w:spacing w:after="40"/>
        <w:ind w:left="454"/>
      </w:pPr>
      <w:r>
        <w:rPr>
          <w:color w:val="1A1A2E"/>
          <w:sz w:val="21"/>
        </w:rPr>
        <w:t>SSH key-based authentication only — no password login</w:t>
      </w:r>
    </w:p>
    <w:p>
      <w:pPr>
        <w:pStyle w:val="ListBullet"/>
        <w:spacing w:after="40"/>
        <w:ind w:left="454"/>
      </w:pPr>
      <w:r>
        <w:rPr>
          <w:color w:val="1A1A2E"/>
          <w:sz w:val="21"/>
        </w:rPr>
        <w:t>No HTTPS/TLS in current config — the Nginx config only listens on port 80. For production clinical use, a TLS certificate (e.g., Let's Encrypt via Certbot) must be added and HTTP redirected to HTTPS</w:t>
      </w:r>
    </w:p>
    <w:p>
      <w:pPr>
        <w:pStyle w:val="ListBullet"/>
        <w:spacing w:after="40"/>
        <w:ind w:left="454"/>
      </w:pPr>
      <w:r>
        <w:rPr>
          <w:color w:val="1A1A2E"/>
          <w:sz w:val="21"/>
        </w:rPr>
        <w:t>Running as root — the systemd service runs as root user. For production hardening, a dedicated non-root user (e.g., www-data) should be used with minimal permissions</w:t>
      </w:r>
    </w:p>
    <w:p>
      <w:pPr>
        <w:pStyle w:val="ListBullet"/>
        <w:spacing w:after="40"/>
        <w:ind w:left="454"/>
      </w:pPr>
      <w:r>
        <w:rPr>
          <w:color w:val="1A1A2E"/>
          <w:sz w:val="21"/>
        </w:rPr>
        <w:t>No rate limiting on the Nginx level — should be added for public deployments to prevent API abuse</w:t>
      </w:r>
    </w:p>
    <w:p>
      <w:pPr>
        <w:pStyle w:val="ListBullet"/>
        <w:spacing w:after="40"/>
        <w:ind w:left="454"/>
      </w:pPr>
      <w:r>
        <w:rPr>
          <w:color w:val="1A1A2E"/>
          <w:sz w:val="21"/>
        </w:rPr>
        <w:t>CORS_ORIGINS=* is permissive — should be restricted to the specific domain in production</w:t>
      </w:r>
    </w:p>
    <w:p>
      <w:pPr>
        <w:pStyle w:val="Heading2"/>
        <w:spacing w:before="160" w:after="80"/>
      </w:pPr>
      <w:r>
        <w:rPr>
          <w:color w:val="007A87"/>
        </w:rPr>
        <w:t>13.13  What Worked in Cloud Deployment</w:t>
      </w:r>
    </w:p>
    <w:p>
      <w:pPr>
        <w:spacing w:after="80"/>
      </w:pPr>
      <w:r>
        <w:rPr>
          <w:b/>
          <w:color w:val="147A35"/>
          <w:sz w:val="21"/>
        </w:rPr>
        <w:t>The following deployment choices proved reliable:</w:t>
      </w:r>
    </w:p>
    <w:p>
      <w:pPr>
        <w:pStyle w:val="ListBullet"/>
        <w:spacing w:after="40"/>
        <w:ind w:left="454"/>
      </w:pPr>
      <w:r>
        <w:rPr>
          <w:color w:val="147A35"/>
          <w:sz w:val="21"/>
        </w:rPr>
        <w:t>Unix socket between Nginx and Gunicorn: faster than TCP loopback and eliminates port conflicts.</w:t>
      </w:r>
    </w:p>
    <w:p>
      <w:pPr>
        <w:pStyle w:val="ListBullet"/>
        <w:spacing w:after="40"/>
        <w:ind w:left="454"/>
      </w:pPr>
      <w:r>
        <w:rPr>
          <w:color w:val="147A35"/>
          <w:sz w:val="21"/>
        </w:rPr>
        <w:t>120-second proxy timeout (Nginx) matching Gunicorn timeout: prevented gateway errors on slow LLM calls that could take 15–30 seconds.</w:t>
      </w:r>
    </w:p>
    <w:p>
      <w:pPr>
        <w:pStyle w:val="ListBullet"/>
        <w:spacing w:after="40"/>
        <w:ind w:left="454"/>
      </w:pPr>
      <w:r>
        <w:rPr>
          <w:color w:val="147A35"/>
          <w:sz w:val="21"/>
        </w:rPr>
        <w:t>Git-embedded DB recovery: storing the June 4 chat history DB directly in the git object store provided a zero-infrastructure backup that auto-restores on bad deployments.</w:t>
      </w:r>
    </w:p>
    <w:p>
      <w:pPr>
        <w:pStyle w:val="ListBullet"/>
        <w:spacing w:after="40"/>
        <w:ind w:left="454"/>
      </w:pPr>
      <w:r>
        <w:rPr>
          <w:color w:val="147A35"/>
          <w:sz w:val="21"/>
        </w:rPr>
        <w:t>Pre-built Qdrant collection shipped with code: no vector ingestion step on deployment, meaning first startup is fast (seconds, not minutes).</w:t>
      </w:r>
    </w:p>
    <w:p>
      <w:pPr>
        <w:pStyle w:val="ListBullet"/>
        <w:spacing w:after="40"/>
        <w:ind w:left="454"/>
      </w:pPr>
      <w:r>
        <w:rPr>
          <w:color w:val="147A35"/>
          <w:sz w:val="21"/>
        </w:rPr>
        <w:t>systemd auto-restart: recovered the app automatically from Gunicorn worker crashes without manual intervention.</w:t>
      </w:r>
    </w:p>
    <w:p>
      <w:pPr>
        <w:pStyle w:val="ListBullet"/>
        <w:spacing w:after="40"/>
        <w:ind w:left="454"/>
      </w:pPr>
      <w:r>
        <w:rPr>
          <w:color w:val="147A35"/>
          <w:sz w:val="21"/>
        </w:rPr>
        <w:t>GitHub Actions SSH deploy: simple, auditable, no container registry or build step needed. The server does the work, not the CI runner.</w:t>
      </w:r>
    </w:p>
    <w:p>
      <w:pPr>
        <w:pStyle w:val="Heading2"/>
        <w:spacing w:before="160" w:after="80"/>
      </w:pPr>
      <w:r>
        <w:rPr>
          <w:color w:val="007A87"/>
        </w:rPr>
        <w:t>13.14  What Did Not Work / Known Gaps</w:t>
      </w:r>
    </w:p>
    <w:p>
      <w:pPr>
        <w:spacing w:after="80"/>
      </w:pPr>
      <w:r>
        <w:rPr>
          <w:b/>
          <w:color w:val="B0251F"/>
          <w:sz w:val="21"/>
        </w:rPr>
        <w:t>The following gaps exist in the current cloud deployment:</w:t>
      </w:r>
    </w:p>
    <w:p>
      <w:pPr>
        <w:pStyle w:val="ListBullet"/>
        <w:spacing w:after="40"/>
        <w:ind w:left="454"/>
      </w:pPr>
      <w:r>
        <w:rPr>
          <w:color w:val="B0251F"/>
          <w:sz w:val="21"/>
        </w:rPr>
        <w:t>No HTTPS/TLS: Data is transmitted in plaintext over HTTP. Not acceptable for clinical production use — must add Let's Encrypt SSL before handling real patient data.</w:t>
      </w:r>
    </w:p>
    <w:p>
      <w:pPr>
        <w:pStyle w:val="ListBullet"/>
        <w:spacing w:after="40"/>
        <w:ind w:left="454"/>
      </w:pPr>
      <w:r>
        <w:rPr>
          <w:color w:val="B0251F"/>
          <w:sz w:val="21"/>
        </w:rPr>
        <w:t>Running as root: Security best practice requires a dedicated service user. Root access means a code vulnerability could compromise the entire server.</w:t>
      </w:r>
    </w:p>
    <w:p>
      <w:pPr>
        <w:pStyle w:val="ListBullet"/>
        <w:spacing w:after="40"/>
        <w:ind w:left="454"/>
      </w:pPr>
      <w:r>
        <w:rPr>
          <w:color w:val="B0251F"/>
          <w:sz w:val="21"/>
        </w:rPr>
        <w:t>No log rotation: Log files grow indefinitely. Long-term deployment will fill disk.</w:t>
      </w:r>
    </w:p>
    <w:p>
      <w:pPr>
        <w:pStyle w:val="ListBullet"/>
        <w:spacing w:after="40"/>
        <w:ind w:left="454"/>
      </w:pPr>
      <w:r>
        <w:rPr>
          <w:color w:val="B0251F"/>
          <w:sz w:val="21"/>
        </w:rPr>
        <w:t>Single worker / no load balancing: One Gunicorn sync worker means one concurrent request at a time. LLM calls (10–30s) block all other users during that time.</w:t>
      </w:r>
    </w:p>
    <w:p>
      <w:pPr>
        <w:pStyle w:val="ListBullet"/>
        <w:spacing w:after="40"/>
        <w:ind w:left="454"/>
      </w:pPr>
      <w:r>
        <w:rPr>
          <w:color w:val="B0251F"/>
          <w:sz w:val="21"/>
        </w:rPr>
        <w:t>No health-check endpoint monitoring: There is no external uptime monitor configured — if the server silently crashes, no alert is sent.</w:t>
      </w:r>
    </w:p>
    <w:p>
      <w:pPr>
        <w:pStyle w:val="ListBullet"/>
        <w:spacing w:after="40"/>
        <w:ind w:left="454"/>
      </w:pPr>
      <w:r>
        <w:rPr>
          <w:color w:val="B0251F"/>
          <w:sz w:val="21"/>
        </w:rPr>
        <w:t>SQLite for production: SQLite has write-locking limitations under concurrent access. For a multi-user production system, PostgreSQL should replace it.</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