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left="1275"/>
        <w:rPr>
          <w:sz w:val="20"/>
        </w:rPr>
      </w:pPr>
      <w:r>
        <w:rPr>
          <w:sz w:val="20"/>
          <w:lang w:val="en-IN" w:eastAsia="en-IN"/>
        </w:rPr>
        <mc:AlternateContent>
          <mc:Choice Requires="wpg">
            <w:drawing>
              <wp:inline xmlns:wp="http://schemas.openxmlformats.org/drawingml/2006/wordprocessingDrawing" distT="0" distB="0" distL="0" distR="0">
                <wp:extent cx="4364336" cy="1109091"/>
                <wp:effectExtent l="0" t="0" r="0" b="0"/>
                <wp:docPr id="3"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11"/>
                        <a:stretch/>
                      </pic:blipFill>
                      <pic:spPr bwMode="auto">
                        <a:xfrm>
                          <a:off x="0" y="0"/>
                          <a:ext cx="4364336" cy="1109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3.65pt;height:87.33pt;mso-wrap-distance-left:0.00pt;mso-wrap-distance-top:0.00pt;mso-wrap-distance-right:0.00pt;mso-wrap-distance-bottom:0.00pt;z-index:1;" stroked="false">
                <v:imagedata r:id="rId11" o:title=""/>
                <o:lock v:ext="edit" rotation="t"/>
              </v:shape>
            </w:pict>
          </mc:Fallback>
        </mc:AlternateContent>
      </w:r>
      <w:r>
        <w:rPr>
          <w:sz w:val="20"/>
        </w:rPr>
      </w:r>
    </w:p>
    <w:p>
      <w:pPr>
        <w:pStyle w:val="777"/>
        <w:pBdr/>
        <w:spacing/>
        <w:ind/>
        <w:rPr/>
      </w:pPr>
      <w:r>
        <w:t xml:space="preserve">RAJALAKSHMI</w:t>
      </w:r>
      <w:r>
        <w:rPr>
          <w:spacing w:val="-5"/>
        </w:rPr>
        <w:t xml:space="preserve"> </w:t>
      </w:r>
      <w:r>
        <w:t xml:space="preserve">INSTITUTE</w:t>
      </w:r>
      <w:r>
        <w:rPr>
          <w:spacing w:val="-7"/>
        </w:rPr>
        <w:t xml:space="preserve"> </w:t>
      </w:r>
      <w:r>
        <w:t xml:space="preserve">OF</w:t>
      </w:r>
      <w:r>
        <w:rPr>
          <w:spacing w:val="-5"/>
        </w:rPr>
        <w:t xml:space="preserve"> </w:t>
      </w:r>
      <w:r>
        <w:rPr>
          <w:spacing w:val="-2"/>
        </w:rPr>
        <w:t xml:space="preserve">TECHNOLOGY</w:t>
      </w:r>
      <w:r/>
    </w:p>
    <w:p>
      <w:pPr>
        <w:pBdr/>
        <w:spacing w:line="327" w:lineRule="exact"/>
        <w:ind w:right="495" w:left="505"/>
        <w:jc w:val="center"/>
        <w:rPr>
          <w:rFonts w:ascii="Cambria"/>
          <w:sz w:val="28"/>
        </w:rPr>
      </w:pPr>
      <w:r>
        <w:rPr>
          <w:rFonts w:ascii="Cambria"/>
          <w:sz w:val="28"/>
        </w:rPr>
        <w:t xml:space="preserve">(An</w:t>
      </w:r>
      <w:r>
        <w:rPr>
          <w:rFonts w:ascii="Cambria"/>
          <w:spacing w:val="-8"/>
          <w:sz w:val="28"/>
        </w:rPr>
        <w:t xml:space="preserve"> </w:t>
      </w:r>
      <w:r>
        <w:rPr>
          <w:rFonts w:ascii="Cambria"/>
          <w:sz w:val="28"/>
        </w:rPr>
        <w:t xml:space="preserve">Autonomous</w:t>
      </w:r>
      <w:r>
        <w:rPr>
          <w:rFonts w:ascii="Cambria"/>
          <w:spacing w:val="-4"/>
          <w:sz w:val="28"/>
        </w:rPr>
        <w:t xml:space="preserve"> </w:t>
      </w:r>
      <w:r>
        <w:rPr>
          <w:rFonts w:ascii="Cambria"/>
          <w:sz w:val="28"/>
        </w:rPr>
        <w:t xml:space="preserve">Institution,</w:t>
      </w:r>
      <w:r>
        <w:rPr>
          <w:rFonts w:ascii="Cambria"/>
          <w:spacing w:val="-3"/>
          <w:sz w:val="28"/>
        </w:rPr>
        <w:t xml:space="preserve"> </w:t>
      </w:r>
      <w:r>
        <w:rPr>
          <w:rFonts w:ascii="Cambria"/>
          <w:sz w:val="28"/>
        </w:rPr>
        <w:t xml:space="preserve">Affiliated</w:t>
      </w:r>
      <w:r>
        <w:rPr>
          <w:rFonts w:ascii="Cambria"/>
          <w:spacing w:val="-4"/>
          <w:sz w:val="28"/>
        </w:rPr>
        <w:t xml:space="preserve"> </w:t>
      </w:r>
      <w:r>
        <w:rPr>
          <w:rFonts w:ascii="Cambria"/>
          <w:sz w:val="28"/>
        </w:rPr>
        <w:t xml:space="preserve">to</w:t>
      </w:r>
      <w:r>
        <w:rPr>
          <w:rFonts w:ascii="Cambria"/>
          <w:spacing w:val="-4"/>
          <w:sz w:val="28"/>
        </w:rPr>
        <w:t xml:space="preserve"> </w:t>
      </w:r>
      <w:r>
        <w:rPr>
          <w:rFonts w:ascii="Cambria"/>
          <w:sz w:val="28"/>
        </w:rPr>
        <w:t xml:space="preserve">Anna</w:t>
      </w:r>
      <w:r>
        <w:rPr>
          <w:rFonts w:ascii="Cambria"/>
          <w:spacing w:val="-6"/>
          <w:sz w:val="28"/>
        </w:rPr>
        <w:t xml:space="preserve"> </w:t>
      </w:r>
      <w:r>
        <w:rPr>
          <w:rFonts w:ascii="Cambria"/>
          <w:sz w:val="28"/>
        </w:rPr>
        <w:t xml:space="preserve">University,</w:t>
      </w:r>
      <w:r>
        <w:rPr>
          <w:rFonts w:ascii="Cambria"/>
          <w:spacing w:val="-3"/>
          <w:sz w:val="28"/>
        </w:rPr>
        <w:t xml:space="preserve"> </w:t>
      </w:r>
      <w:r>
        <w:rPr>
          <w:rFonts w:ascii="Cambria"/>
          <w:spacing w:val="-2"/>
          <w:sz w:val="28"/>
        </w:rPr>
        <w:t xml:space="preserve">Chennai)</w:t>
      </w:r>
      <w:r>
        <w:rPr>
          <w:rFonts w:ascii="Cambria"/>
          <w:sz w:val="28"/>
        </w:rPr>
      </w:r>
    </w:p>
    <w:p>
      <w:pPr>
        <w:pStyle w:val="782"/>
        <w:pBdr/>
        <w:spacing/>
        <w:ind/>
        <w:rPr>
          <w:rFonts w:ascii="Cambria"/>
          <w:sz w:val="28"/>
        </w:rPr>
      </w:pPr>
      <w:r>
        <w:rPr>
          <w:rFonts w:ascii="Cambria"/>
          <w:sz w:val="28"/>
        </w:rPr>
      </w:r>
      <w:r>
        <w:rPr>
          <w:rFonts w:ascii="Cambria"/>
          <w:sz w:val="28"/>
        </w:rPr>
      </w:r>
    </w:p>
    <w:p>
      <w:pPr>
        <w:pStyle w:val="782"/>
        <w:pBdr/>
        <w:spacing w:before="197"/>
        <w:ind/>
        <w:rPr>
          <w:rFonts w:ascii="Cambria"/>
          <w:sz w:val="28"/>
        </w:rPr>
      </w:pPr>
      <w:r>
        <w:rPr>
          <w:rFonts w:ascii="Cambria"/>
          <w:sz w:val="28"/>
        </w:rPr>
      </w:r>
      <w:r>
        <w:rPr>
          <w:rFonts w:ascii="Cambria"/>
          <w:sz w:val="28"/>
        </w:rPr>
      </w:r>
    </w:p>
    <w:p>
      <w:pPr>
        <w:pBdr/>
        <w:spacing w:before="1" w:line="482" w:lineRule="auto"/>
        <w:ind w:right="495" w:left="493"/>
        <w:jc w:val="center"/>
        <w:rPr>
          <w:b/>
          <w:spacing w:val="-2"/>
          <w:sz w:val="24"/>
        </w:rPr>
      </w:pPr>
      <w:r>
        <w:rPr>
          <w:b/>
          <w:spacing w:val="-2"/>
          <w:sz w:val="24"/>
        </w:rPr>
        <w:t xml:space="preserve">DEPARTMENT</w:t>
      </w:r>
      <w:r>
        <w:rPr>
          <w:b/>
          <w:spacing w:val="-10"/>
          <w:sz w:val="24"/>
        </w:rPr>
        <w:t xml:space="preserve"> </w:t>
      </w:r>
      <w:r>
        <w:rPr>
          <w:b/>
          <w:spacing w:val="-2"/>
          <w:sz w:val="24"/>
        </w:rPr>
        <w:t xml:space="preserve">OF</w:t>
      </w:r>
      <w:r>
        <w:rPr>
          <w:b/>
          <w:spacing w:val="-22"/>
          <w:sz w:val="24"/>
        </w:rPr>
        <w:t xml:space="preserve"> </w:t>
      </w:r>
      <w:r>
        <w:rPr>
          <w:b/>
          <w:spacing w:val="-2"/>
          <w:sz w:val="24"/>
        </w:rPr>
        <w:t xml:space="preserve">COMPUTER SCIENCE AND ENGINEERING</w:t>
      </w:r>
      <w:r>
        <w:rPr>
          <w:b/>
          <w:spacing w:val="-2"/>
          <w:sz w:val="24"/>
        </w:rPr>
      </w:r>
    </w:p>
    <w:p>
      <w:pPr>
        <w:pBdr/>
        <w:spacing w:before="1" w:line="482" w:lineRule="auto"/>
        <w:ind w:right="495" w:left="493"/>
        <w:jc w:val="center"/>
        <w:rPr>
          <w:b/>
          <w:spacing w:val="-2"/>
          <w:sz w:val="24"/>
        </w:rPr>
      </w:pPr>
      <w:r>
        <w:rPr>
          <w:b/>
          <w:spacing w:val="-2"/>
          <w:sz w:val="24"/>
        </w:rPr>
        <w:t xml:space="preserve">(A</w:t>
      </w:r>
      <w:r>
        <w:rPr>
          <w:b/>
          <w:spacing w:val="-2"/>
          <w:sz w:val="24"/>
        </w:rPr>
        <w:t xml:space="preserve">RTIFICIAL</w:t>
      </w:r>
      <w:r>
        <w:rPr>
          <w:b/>
          <w:spacing w:val="-16"/>
          <w:sz w:val="24"/>
        </w:rPr>
        <w:t xml:space="preserve"> </w:t>
      </w:r>
      <w:r>
        <w:rPr>
          <w:b/>
          <w:spacing w:val="-2"/>
          <w:sz w:val="24"/>
        </w:rPr>
        <w:t xml:space="preserve">INTELLIGENCE</w:t>
      </w:r>
      <w:r>
        <w:rPr>
          <w:b/>
          <w:spacing w:val="-16"/>
          <w:sz w:val="24"/>
        </w:rPr>
        <w:t xml:space="preserve"> </w:t>
      </w:r>
      <w:r>
        <w:rPr>
          <w:b/>
          <w:spacing w:val="-2"/>
          <w:sz w:val="24"/>
        </w:rPr>
        <w:t xml:space="preserve">AND </w:t>
      </w:r>
      <w:r>
        <w:rPr>
          <w:b/>
          <w:spacing w:val="-2"/>
          <w:sz w:val="24"/>
        </w:rPr>
        <w:t xml:space="preserve">MACHINE LEARNING)</w:t>
      </w:r>
      <w:r>
        <w:rPr>
          <w:b/>
          <w:spacing w:val="-2"/>
          <w:sz w:val="24"/>
        </w:rPr>
      </w:r>
    </w:p>
    <w:p>
      <w:pPr>
        <w:pBdr/>
        <w:spacing w:before="1" w:line="482" w:lineRule="auto"/>
        <w:ind w:right="495" w:left="493"/>
        <w:jc w:val="center"/>
        <w:rPr>
          <w:b/>
          <w:sz w:val="24"/>
        </w:rPr>
      </w:pPr>
      <w:r>
        <w:rPr>
          <w:b/>
          <w:spacing w:val="-2"/>
          <w:sz w:val="24"/>
        </w:rPr>
        <w:t xml:space="preserve"> </w:t>
      </w:r>
      <w:r>
        <w:rPr>
          <w:b/>
          <w:sz w:val="24"/>
        </w:rPr>
        <w:t xml:space="preserve">ACADEMIC YEAR 2026 - 2027</w:t>
      </w:r>
      <w:r>
        <w:rPr>
          <w:b/>
          <w:sz w:val="24"/>
        </w:rPr>
      </w:r>
    </w:p>
    <w:p>
      <w:pPr>
        <w:pBdr/>
        <w:spacing/>
        <w:ind w:right="495" w:left="498"/>
        <w:jc w:val="center"/>
        <w:rPr>
          <w:b/>
          <w:sz w:val="24"/>
        </w:rPr>
      </w:pPr>
      <w:r>
        <w:rPr>
          <w:b/>
          <w:sz w:val="24"/>
        </w:rPr>
        <w:t xml:space="preserve">SEMESTER</w:t>
      </w:r>
      <w:r>
        <w:rPr>
          <w:b/>
          <w:spacing w:val="-4"/>
          <w:sz w:val="24"/>
        </w:rPr>
        <w:t xml:space="preserve"> </w:t>
      </w:r>
      <w:r>
        <w:rPr>
          <w:b/>
          <w:spacing w:val="-5"/>
          <w:sz w:val="24"/>
        </w:rPr>
        <w:t xml:space="preserve">V</w:t>
      </w:r>
      <w:r>
        <w:rPr>
          <w:b/>
          <w:sz w:val="24"/>
        </w:rPr>
      </w:r>
    </w:p>
    <w:p>
      <w:pPr>
        <w:pStyle w:val="782"/>
        <w:pBdr/>
        <w:spacing w:before="3"/>
        <w:ind/>
        <w:rPr>
          <w:b/>
        </w:rPr>
      </w:pPr>
      <w:r>
        <w:rPr>
          <w:b/>
        </w:rPr>
      </w:r>
      <w:r>
        <w:rPr>
          <w:b/>
        </w:rPr>
      </w:r>
    </w:p>
    <w:p>
      <w:pPr>
        <w:pBdr/>
        <w:spacing w:before="1" w:line="487" w:lineRule="auto"/>
        <w:ind w:right="2070" w:left="2069"/>
        <w:jc w:val="center"/>
        <w:rPr>
          <w:b/>
          <w:sz w:val="24"/>
        </w:rPr>
      </w:pPr>
      <w:r>
        <w:rPr>
          <w:b/>
          <w:sz w:val="24"/>
        </w:rPr>
        <w:t xml:space="preserve">CB23531</w:t>
      </w:r>
      <w:r>
        <w:rPr>
          <w:b/>
          <w:spacing w:val="-15"/>
          <w:sz w:val="24"/>
        </w:rPr>
        <w:t xml:space="preserve"> </w:t>
      </w:r>
      <w:r>
        <w:rPr>
          <w:b/>
          <w:sz w:val="24"/>
        </w:rPr>
        <w:t xml:space="preserve">–</w:t>
      </w:r>
      <w:r>
        <w:rPr>
          <w:b/>
          <w:spacing w:val="-15"/>
          <w:sz w:val="24"/>
        </w:rPr>
        <w:t xml:space="preserve"> </w:t>
      </w:r>
      <w:r>
        <w:rPr>
          <w:b/>
          <w:sz w:val="24"/>
        </w:rPr>
        <w:t xml:space="preserve">BUSINESS ANALYTICS</w:t>
      </w:r>
      <w:r>
        <w:rPr>
          <w:b/>
          <w:spacing w:val="-15"/>
          <w:sz w:val="24"/>
        </w:rPr>
        <w:t xml:space="preserve"> </w:t>
      </w:r>
      <w:r>
        <w:rPr>
          <w:b/>
          <w:sz w:val="24"/>
        </w:rPr>
        <w:t xml:space="preserve">LABORATORY MINI PROJECT REPORT</w:t>
      </w:r>
      <w:r>
        <w:rPr>
          <w:b/>
          <w:sz w:val="24"/>
        </w:rPr>
      </w:r>
    </w:p>
    <w:p>
      <w:pPr>
        <w:pStyle w:val="782"/>
        <w:pBdr/>
        <w:spacing/>
        <w:ind/>
        <w:rPr>
          <w:b/>
          <w:sz w:val="20"/>
        </w:rPr>
      </w:pPr>
      <w:r>
        <w:rPr>
          <w:b/>
          <w:sz w:val="20"/>
        </w:rPr>
      </w:r>
      <w:r>
        <w:rPr>
          <w:b/>
          <w:sz w:val="20"/>
        </w:rPr>
      </w:r>
    </w:p>
    <w:p>
      <w:pPr>
        <w:pStyle w:val="782"/>
        <w:pBdr/>
        <w:spacing w:after="1" w:before="103"/>
        <w:ind/>
        <w:rPr>
          <w:b/>
          <w:sz w:val="20"/>
        </w:rPr>
      </w:pPr>
      <w:r>
        <w:rPr>
          <w:b/>
          <w:sz w:val="20"/>
        </w:rPr>
      </w:r>
      <w:r>
        <w:rPr>
          <w:b/>
          <w:sz w:val="20"/>
        </w:rPr>
      </w:r>
    </w:p>
    <w:tbl>
      <w:tblPr>
        <w:tblInd w:w="370"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027"/>
        <w:gridCol w:w="6327"/>
      </w:tblGrid>
      <w:tr>
        <w:trPr>
          <w:trHeight w:val="515"/>
        </w:trPr>
        <w:tc>
          <w:tcPr>
            <w:tcBorders/>
            <w:tcW w:w="3027" w:type="dxa"/>
          </w:tcPr>
          <w:p>
            <w:pPr>
              <w:pStyle w:val="784"/>
              <w:pBdr/>
              <w:spacing w:before="111"/>
              <w:ind w:left="110"/>
              <w:rPr>
                <w:b/>
                <w:sz w:val="24"/>
              </w:rPr>
            </w:pPr>
            <w:r>
              <w:rPr>
                <w:b/>
                <w:sz w:val="24"/>
              </w:rPr>
              <w:t xml:space="preserve">REGISTER</w:t>
            </w:r>
            <w:r>
              <w:rPr>
                <w:b/>
                <w:spacing w:val="-10"/>
                <w:sz w:val="24"/>
              </w:rPr>
              <w:t xml:space="preserve"> </w:t>
            </w:r>
            <w:r>
              <w:rPr>
                <w:b/>
                <w:spacing w:val="-2"/>
                <w:sz w:val="24"/>
              </w:rPr>
              <w:t xml:space="preserve">NUMBER</w:t>
            </w:r>
            <w:r>
              <w:rPr>
                <w:b/>
                <w:sz w:val="24"/>
              </w:rPr>
            </w:r>
          </w:p>
        </w:tc>
        <w:tc>
          <w:tcPr>
            <w:tcBorders/>
            <w:tcW w:w="6327" w:type="dxa"/>
          </w:tcPr>
          <w:p>
            <w:pPr>
              <w:pStyle w:val="784"/>
              <w:pBdr/>
              <w:spacing w:before="0"/>
              <w:ind w:left="0"/>
              <w:rPr>
                <w:sz w:val="24"/>
              </w:rPr>
            </w:pPr>
            <w:r>
              <w:rPr>
                <w:sz w:val="24"/>
              </w:rPr>
            </w:r>
            <w:r>
              <w:rPr>
                <w:sz w:val="24"/>
              </w:rPr>
            </w:r>
          </w:p>
        </w:tc>
      </w:tr>
      <w:tr>
        <w:trPr>
          <w:trHeight w:val="530"/>
        </w:trPr>
        <w:tc>
          <w:tcPr>
            <w:tcBorders/>
            <w:tcW w:w="3027" w:type="dxa"/>
          </w:tcPr>
          <w:p>
            <w:pPr>
              <w:pStyle w:val="784"/>
              <w:pBdr/>
              <w:spacing w:before="117"/>
              <w:ind w:left="110"/>
              <w:rPr>
                <w:b/>
                <w:sz w:val="24"/>
              </w:rPr>
            </w:pPr>
            <w:r>
              <w:rPr>
                <w:b/>
                <w:spacing w:val="-4"/>
                <w:sz w:val="24"/>
              </w:rPr>
              <w:t xml:space="preserve">NAME</w:t>
            </w:r>
            <w:r>
              <w:rPr>
                <w:b/>
                <w:sz w:val="24"/>
              </w:rPr>
            </w:r>
          </w:p>
        </w:tc>
        <w:tc>
          <w:tcPr>
            <w:tcBorders/>
            <w:tcW w:w="6327" w:type="dxa"/>
          </w:tcPr>
          <w:p>
            <w:pPr>
              <w:pStyle w:val="784"/>
              <w:pBdr/>
              <w:spacing w:before="0"/>
              <w:ind w:left="0"/>
              <w:rPr>
                <w:sz w:val="24"/>
              </w:rPr>
            </w:pPr>
            <w:r>
              <w:rPr>
                <w:sz w:val="24"/>
              </w:rPr>
            </w:r>
            <w:r>
              <w:rPr>
                <w:sz w:val="24"/>
              </w:rPr>
            </w:r>
          </w:p>
        </w:tc>
      </w:tr>
      <w:tr>
        <w:trPr>
          <w:trHeight w:val="620"/>
        </w:trPr>
        <w:tc>
          <w:tcPr>
            <w:tcBorders/>
            <w:tcW w:w="3027" w:type="dxa"/>
          </w:tcPr>
          <w:p>
            <w:pPr>
              <w:pStyle w:val="784"/>
              <w:pBdr/>
              <w:spacing w:before="161"/>
              <w:ind w:left="110"/>
              <w:rPr>
                <w:b/>
                <w:sz w:val="24"/>
              </w:rPr>
            </w:pPr>
            <w:r>
              <w:rPr>
                <w:b/>
                <w:sz w:val="24"/>
              </w:rPr>
              <w:t xml:space="preserve">PROJECT</w:t>
            </w:r>
            <w:r>
              <w:rPr>
                <w:b/>
                <w:spacing w:val="-8"/>
                <w:sz w:val="24"/>
              </w:rPr>
              <w:t xml:space="preserve"> </w:t>
            </w:r>
            <w:r>
              <w:rPr>
                <w:b/>
                <w:spacing w:val="-2"/>
                <w:sz w:val="24"/>
              </w:rPr>
              <w:t xml:space="preserve">TITLE</w:t>
            </w:r>
            <w:r>
              <w:rPr>
                <w:b/>
                <w:sz w:val="24"/>
              </w:rPr>
            </w:r>
          </w:p>
        </w:tc>
        <w:tc>
          <w:tcPr>
            <w:tcBorders/>
            <w:tcW w:w="6327" w:type="dxa"/>
          </w:tcPr>
          <w:p w14:paraId="0A7371C3">
            <w:pPr>
              <w:widowControl w:val="true"/>
              <w:pBdr/>
              <w:spacing/>
              <w:ind/>
              <w:jc w:val="left"/>
              <w:rPr>
                <w:highlight w:val="none"/>
              </w:rPr>
            </w:pPr>
            <w:r>
              <w:t xml:space="preserve">Revenue Leakage Detection in Telecom Billing Using Usage-to-Bill Reconciliation and Anomaly Prioritization.</w:t>
            </w:r>
            <w:r>
              <w:rPr>
                <w:highlight w:val="none"/>
              </w:rPr>
            </w:r>
            <w:r>
              <w:rPr>
                <w:highlight w:val="none"/>
              </w:rPr>
            </w:r>
          </w:p>
          <w:p>
            <w:pPr>
              <w:pStyle w:val="784"/>
              <w:pBdr/>
              <w:spacing w:before="0"/>
              <w:ind w:left="0"/>
              <w:rPr>
                <w:sz w:val="24"/>
              </w:rPr>
            </w:pPr>
            <w:r>
              <w:rPr>
                <w:sz w:val="24"/>
              </w:rPr>
            </w:r>
            <w:r>
              <w:rPr>
                <w:sz w:val="24"/>
              </w:rPr>
            </w:r>
          </w:p>
        </w:tc>
      </w:tr>
      <w:tr>
        <w:trPr>
          <w:trHeight w:val="530"/>
        </w:trPr>
        <w:tc>
          <w:tcPr>
            <w:tcBorders/>
            <w:tcW w:w="3027" w:type="dxa"/>
          </w:tcPr>
          <w:p>
            <w:pPr>
              <w:pStyle w:val="784"/>
              <w:pBdr/>
              <w:spacing w:before="116"/>
              <w:ind w:left="110"/>
              <w:rPr>
                <w:b/>
                <w:sz w:val="24"/>
              </w:rPr>
            </w:pPr>
            <w:r>
              <w:rPr>
                <w:b/>
                <w:spacing w:val="-2"/>
                <w:sz w:val="24"/>
              </w:rPr>
              <w:t xml:space="preserve">DATE</w:t>
            </w:r>
            <w:r>
              <w:rPr>
                <w:b/>
                <w:spacing w:val="-12"/>
                <w:sz w:val="24"/>
              </w:rPr>
              <w:t xml:space="preserve"> </w:t>
            </w:r>
            <w:r>
              <w:rPr>
                <w:b/>
                <w:spacing w:val="-2"/>
                <w:sz w:val="24"/>
              </w:rPr>
              <w:t xml:space="preserve">OF</w:t>
            </w:r>
            <w:r>
              <w:rPr>
                <w:b/>
                <w:spacing w:val="-10"/>
                <w:sz w:val="24"/>
              </w:rPr>
              <w:t xml:space="preserve"> </w:t>
            </w:r>
            <w:r>
              <w:rPr>
                <w:b/>
                <w:spacing w:val="-2"/>
                <w:sz w:val="24"/>
              </w:rPr>
              <w:t xml:space="preserve">SUBMISSION</w:t>
            </w:r>
            <w:r>
              <w:rPr>
                <w:b/>
                <w:sz w:val="24"/>
              </w:rPr>
            </w:r>
          </w:p>
        </w:tc>
        <w:tc>
          <w:tcPr>
            <w:tcBorders/>
            <w:tcW w:w="6327" w:type="dxa"/>
          </w:tcPr>
          <w:p>
            <w:pPr>
              <w:pStyle w:val="784"/>
              <w:pBdr/>
              <w:spacing w:before="0"/>
              <w:ind w:left="0"/>
              <w:rPr>
                <w:sz w:val="24"/>
              </w:rPr>
            </w:pPr>
            <w:r>
              <w:rPr>
                <w:sz w:val="24"/>
              </w:rPr>
            </w:r>
            <w:r>
              <w:rPr>
                <w:sz w:val="24"/>
              </w:rPr>
            </w:r>
          </w:p>
        </w:tc>
      </w:tr>
      <w:tr>
        <w:trPr>
          <w:trHeight w:val="644"/>
        </w:trPr>
        <w:tc>
          <w:tcPr>
            <w:tcBorders/>
            <w:tcW w:w="3027" w:type="dxa"/>
          </w:tcPr>
          <w:p>
            <w:pPr>
              <w:pStyle w:val="784"/>
              <w:pBdr/>
              <w:spacing w:before="176"/>
              <w:ind w:left="110"/>
              <w:rPr>
                <w:b/>
                <w:sz w:val="24"/>
              </w:rPr>
            </w:pPr>
            <w:r>
              <w:rPr>
                <w:b/>
                <w:spacing w:val="-4"/>
                <w:sz w:val="24"/>
              </w:rPr>
              <w:t xml:space="preserve">FACULTY</w:t>
            </w:r>
            <w:r>
              <w:rPr>
                <w:b/>
                <w:spacing w:val="3"/>
                <w:sz w:val="24"/>
              </w:rPr>
              <w:t xml:space="preserve"> </w:t>
            </w:r>
            <w:r>
              <w:rPr>
                <w:b/>
                <w:spacing w:val="-4"/>
                <w:sz w:val="24"/>
              </w:rPr>
              <w:t xml:space="preserve">IN-CHARGE</w:t>
            </w:r>
            <w:r>
              <w:rPr>
                <w:b/>
                <w:sz w:val="24"/>
              </w:rPr>
            </w:r>
          </w:p>
        </w:tc>
        <w:tc>
          <w:tcPr>
            <w:tcBorders/>
            <w:tcW w:w="6327" w:type="dxa"/>
          </w:tcPr>
          <w:p>
            <w:pPr>
              <w:pStyle w:val="784"/>
              <w:pBdr/>
              <w:spacing w:before="176"/>
              <w:ind w:left="110"/>
              <w:rPr>
                <w:b/>
                <w:sz w:val="24"/>
              </w:rPr>
            </w:pPr>
            <w:r>
              <w:rPr>
                <w:b/>
                <w:sz w:val="24"/>
              </w:rPr>
              <w:t xml:space="preserve">Mr. N Shree </w:t>
            </w:r>
            <w:r>
              <w:rPr>
                <w:b/>
                <w:sz w:val="24"/>
              </w:rPr>
              <w:t xml:space="preserve">Makesh</w:t>
            </w:r>
            <w:r>
              <w:rPr>
                <w:b/>
                <w:sz w:val="24"/>
              </w:rPr>
            </w:r>
          </w:p>
        </w:tc>
      </w:tr>
    </w:tbl>
    <w:p>
      <w:pPr>
        <w:pStyle w:val="782"/>
        <w:pBdr/>
        <w:spacing/>
        <w:ind/>
        <w:rPr>
          <w:b/>
        </w:rPr>
      </w:pPr>
      <w:r>
        <w:rPr>
          <w:b/>
        </w:rPr>
      </w:r>
      <w:r>
        <w:rPr>
          <w:b/>
        </w:rPr>
      </w:r>
    </w:p>
    <w:p>
      <w:pPr>
        <w:pStyle w:val="782"/>
        <w:pBdr/>
        <w:spacing/>
        <w:ind/>
        <w:rPr>
          <w:b/>
        </w:rPr>
      </w:pPr>
      <w:r>
        <w:rPr>
          <w:b/>
        </w:rPr>
      </w:r>
      <w:r>
        <w:rPr>
          <w:b/>
        </w:rPr>
      </w:r>
    </w:p>
    <w:p>
      <w:pPr>
        <w:pStyle w:val="782"/>
        <w:pBdr/>
        <w:spacing/>
        <w:ind/>
        <w:rPr>
          <w:b/>
        </w:rPr>
      </w:pPr>
      <w:r>
        <w:rPr>
          <w:b/>
        </w:rPr>
      </w:r>
      <w:r>
        <w:rPr>
          <w:b/>
        </w:rPr>
      </w:r>
    </w:p>
    <w:p>
      <w:pPr>
        <w:pStyle w:val="782"/>
        <w:pBdr/>
        <w:spacing/>
        <w:ind/>
        <w:rPr>
          <w:b/>
        </w:rPr>
      </w:pPr>
      <w:r>
        <w:rPr>
          <w:b/>
        </w:rPr>
      </w:r>
      <w:r>
        <w:rPr>
          <w:b/>
        </w:rPr>
      </w:r>
    </w:p>
    <w:p>
      <w:pPr>
        <w:pStyle w:val="782"/>
        <w:pBdr/>
        <w:spacing/>
        <w:ind/>
        <w:rPr>
          <w:b/>
        </w:rPr>
      </w:pPr>
      <w:r>
        <w:rPr>
          <w:b/>
        </w:rPr>
      </w:r>
      <w:r>
        <w:rPr>
          <w:b/>
        </w:rPr>
      </w:r>
    </w:p>
    <w:p>
      <w:pPr>
        <w:pStyle w:val="782"/>
        <w:pBdr/>
        <w:spacing/>
        <w:ind/>
        <w:rPr>
          <w:b/>
        </w:rPr>
      </w:pPr>
      <w:r>
        <w:rPr>
          <w:b/>
        </w:rPr>
      </w:r>
      <w:r>
        <w:rPr>
          <w:b/>
        </w:rPr>
      </w:r>
    </w:p>
    <w:p>
      <w:pPr>
        <w:pStyle w:val="782"/>
        <w:pBdr/>
        <w:spacing w:before="72"/>
        <w:ind/>
        <w:rPr>
          <w:b/>
        </w:rPr>
      </w:pPr>
      <w:r>
        <w:rPr>
          <w:b/>
        </w:rPr>
      </w:r>
      <w:r>
        <w:rPr>
          <w:b/>
        </w:rPr>
      </w:r>
    </w:p>
    <w:p>
      <w:pPr>
        <w:pStyle w:val="778"/>
        <w:pBdr/>
        <w:tabs>
          <w:tab w:val="left" w:leader="none" w:pos="7978"/>
        </w:tabs>
        <w:spacing/>
        <w:ind w:left="410"/>
        <w:rPr/>
      </w:pPr>
      <w:r>
        <w:t xml:space="preserve">Signature</w:t>
      </w:r>
      <w:r>
        <w:rPr>
          <w:spacing w:val="-6"/>
        </w:rPr>
        <w:t xml:space="preserve"> </w:t>
      </w:r>
      <w:r>
        <w:t xml:space="preserve">of</w:t>
      </w:r>
      <w:r>
        <w:rPr>
          <w:spacing w:val="-6"/>
        </w:rPr>
        <w:t xml:space="preserve"> </w:t>
      </w:r>
      <w:r>
        <w:t xml:space="preserve">Faculty</w:t>
      </w:r>
      <w:r>
        <w:rPr>
          <w:spacing w:val="-3"/>
        </w:rPr>
        <w:t xml:space="preserve"> </w:t>
      </w:r>
      <w:r>
        <w:t xml:space="preserve">In-</w:t>
      </w:r>
      <w:r>
        <w:rPr>
          <w:spacing w:val="-2"/>
        </w:rPr>
        <w:t xml:space="preserve">charge</w:t>
      </w:r>
      <w:r>
        <w:tab/>
        <w:t xml:space="preserve">Signature</w:t>
      </w:r>
      <w:r>
        <w:rPr>
          <w:spacing w:val="-6"/>
        </w:rPr>
        <w:t xml:space="preserve"> </w:t>
      </w:r>
      <w:r>
        <w:t xml:space="preserve">of</w:t>
      </w:r>
      <w:r>
        <w:rPr>
          <w:spacing w:val="-4"/>
        </w:rPr>
        <w:t xml:space="preserve"> </w:t>
      </w:r>
      <w:r>
        <w:rPr>
          <w:spacing w:val="-5"/>
        </w:rPr>
        <w:t xml:space="preserve">HoD</w:t>
      </w:r>
      <w:r/>
      <w:r>
        <w:rPr>
          <w:highlight w:val="none"/>
        </w:rPr>
      </w:r>
      <w:r>
        <w:rPr>
          <w:highlight w:val="none"/>
        </w:rPr>
      </w:r>
      <w:r>
        <w:rPr>
          <w:highlight w:val="none"/>
        </w:rPr>
      </w:r>
      <w:r/>
    </w:p>
    <w:p w14:paraId="33F120CF">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Introduction</w:t>
      </w:r>
      <w:r>
        <w:rPr>
          <w:rFonts w:ascii="Times New Roman" w:hAnsi="Times New Roman" w:eastAsia="Times New Roman" w:cs="Times New Roman"/>
        </w:rPr>
      </w:r>
      <w:r>
        <w:rPr>
          <w:rFonts w:ascii="Times New Roman" w:hAnsi="Times New Roman" w:eastAsia="Times New Roman" w:cs="Times New Roman"/>
        </w:rPr>
      </w:r>
    </w:p>
    <w:p w14:paraId="34C9362E">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6A601BE">
      <w:pPr>
        <w:widowControl w:val="true"/>
        <w:pBdr/>
        <w:spacing/>
        <w:ind/>
        <w:jc w:val="both"/>
        <w:rPr>
          <w:rFonts w:ascii="Times New Roman" w:hAnsi="Times New Roman" w:cs="Times New Roman"/>
        </w:rPr>
      </w:pPr>
      <w:r>
        <w:rPr>
          <w:rFonts w:ascii="Times New Roman" w:hAnsi="Times New Roman" w:eastAsia="Times New Roman" w:cs="Times New Roman"/>
        </w:rPr>
        <w:t xml:space="preserve">Revenue leakage is the gap created when recorded service con</w:t>
      </w:r>
      <w:r>
        <w:rPr>
          <w:rFonts w:ascii="Times New Roman" w:hAnsi="Times New Roman" w:eastAsia="Times New Roman" w:cs="Times New Roman"/>
        </w:rPr>
        <w:t xml:space="preserve">sumption is not translated into the amount that should have been billed. In telecom operations, a customer may generate voice, data, and messaging usage while billing logic applies an incorrect rate, discount, product rule, or incomplete usage event. This </w:t>
      </w:r>
      <w:r>
        <w:rPr>
          <w:rFonts w:ascii="Times New Roman" w:hAnsi="Times New Roman" w:eastAsia="Times New Roman" w:cs="Times New Roman"/>
        </w:rPr>
        <w:t xml:space="preserve">project treats the problem as a measurable data reconciliation task: estimate the expected charge from observed consumption, compare it with the billed amount, flag material mismatches, and prioritize the cases with the greatest potential financial impact.</w:t>
      </w:r>
      <w:r>
        <w:rPr>
          <w:rFonts w:ascii="Times New Roman" w:hAnsi="Times New Roman" w:eastAsia="Times New Roman" w:cs="Times New Roman"/>
        </w:rPr>
      </w:r>
      <w:r>
        <w:rPr>
          <w:rFonts w:ascii="Times New Roman" w:hAnsi="Times New Roman" w:eastAsia="Times New Roman" w:cs="Times New Roman"/>
        </w:rPr>
      </w:r>
    </w:p>
    <w:p w14:paraId="15C722E1">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study uses a synthetic customer-month dataset so that the complete </w:t>
      </w:r>
      <w:r>
        <w:rPr>
          <w:rFonts w:ascii="Times New Roman" w:hAnsi="Times New Roman" w:eastAsia="Times New Roman" w:cs="Times New Roman"/>
        </w:rPr>
        <w:t xml:space="preserve">workflow can be reproduced without exposing private customer or billing information. The dataset deliberately includes several leakage patterns to test whether a transparent detection rule can recover known anomalies and produce business-oriented insights.</w:t>
      </w:r>
      <w:r>
        <w:rPr>
          <w:rFonts w:ascii="Times New Roman" w:hAnsi="Times New Roman" w:eastAsia="Times New Roman" w:cs="Times New Roman"/>
        </w:rPr>
      </w:r>
      <w:r>
        <w:rPr>
          <w:rFonts w:ascii="Times New Roman" w:hAnsi="Times New Roman" w:eastAsia="Times New Roman" w:cs="Times New Roman"/>
        </w:rPr>
      </w:r>
    </w:p>
    <w:p w14:paraId="2886BAD1">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F866359">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Problem Statement</w:t>
      </w:r>
      <w:r>
        <w:rPr>
          <w:rFonts w:ascii="Times New Roman" w:hAnsi="Times New Roman" w:eastAsia="Times New Roman" w:cs="Times New Roman"/>
        </w:rPr>
      </w:r>
      <w:r>
        <w:rPr>
          <w:rFonts w:ascii="Times New Roman" w:hAnsi="Times New Roman" w:eastAsia="Times New Roman" w:cs="Times New Roman"/>
        </w:rPr>
      </w:r>
    </w:p>
    <w:p w14:paraId="74897909">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2D7C8B1">
      <w:pPr>
        <w:widowControl w:val="true"/>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Telecom billing teams may receive large volumes of usage and invoice records, making manual comparison </w:t>
      </w:r>
      <w:r>
        <w:rPr>
          <w:rFonts w:ascii="Times New Roman" w:hAnsi="Times New Roman" w:eastAsia="Times New Roman" w:cs="Times New Roman"/>
        </w:rPr>
        <w:t xml:space="preserve">impractical. The core analytical problem is to identify records where expected charges and billed values are inconsistent, distinguish ordinary billing variation from economically meaningful leakage, and create a repeatable priority list for investigation.</w:t>
      </w:r>
      <w:r>
        <w:rPr>
          <w:rFonts w:ascii="Times New Roman" w:hAnsi="Times New Roman" w:eastAsia="Times New Roman" w:cs="Times New Roman"/>
        </w:rPr>
      </w:r>
      <w:r>
        <w:rPr>
          <w:rFonts w:ascii="Times New Roman" w:hAnsi="Times New Roman" w:cs="Times New Roman"/>
        </w:rPr>
      </w:r>
    </w:p>
    <w:p w14:paraId="78B69A70">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jc w:val="center"/>
        <w:tblW w:w="0" w:type="auto"/>
        <w:tblBorders/>
        <w:tblLook w:val="04A0" w:firstRow="1" w:lastRow="0" w:firstColumn="1" w:lastColumn="0" w:noHBand="0" w:noVBand="1"/>
      </w:tblPr>
      <w:tblGrid>
        <w:gridCol w:w="9746"/>
      </w:tblGrid>
      <w:tr>
        <w:trPr/>
        <w:tc>
          <w:tcPr>
            <w:shd w:val="clear" w:color="ffffff" w:fill="eef4fb"/>
            <w:tcBorders/>
            <w:tcW w:w="9746" w:type="dxa"/>
          </w:tcPr>
          <w:p w14:paraId="30B20945">
            <w:pPr>
              <w:pBdr/>
              <w:spacing w:after="20"/>
              <w:ind/>
              <w:jc w:val="both"/>
              <w:rPr>
                <w:rFonts w:ascii="Times New Roman" w:hAnsi="Times New Roman" w:cs="Times New Roman"/>
              </w:rPr>
            </w:pPr>
            <w:r>
              <w:rPr>
                <w:rFonts w:ascii="Times New Roman" w:hAnsi="Times New Roman" w:eastAsia="Times New Roman" w:cs="Times New Roman"/>
                <w:b/>
                <w:color w:val="17365d"/>
                <w:sz w:val="20"/>
              </w:rPr>
              <w:t xml:space="preserve">Analytical question</w:t>
            </w:r>
            <w:r>
              <w:rPr>
                <w:rFonts w:ascii="Times New Roman" w:hAnsi="Times New Roman" w:eastAsia="Times New Roman" w:cs="Times New Roman"/>
              </w:rPr>
            </w:r>
            <w:r>
              <w:rPr>
                <w:rFonts w:ascii="Times New Roman" w:hAnsi="Times New Roman" w:eastAsia="Times New Roman" w:cs="Times New Roman"/>
              </w:rPr>
            </w:r>
          </w:p>
          <w:p w14:paraId="27BD514F">
            <w:pPr>
              <w:pBdr/>
              <w:spacing w:after="20"/>
              <w:ind/>
              <w:jc w:val="both"/>
              <w:rPr>
                <w:rFonts w:ascii="Times New Roman" w:hAnsi="Times New Roman" w:cs="Times New Roman"/>
                <w:sz w:val="19"/>
                <w:szCs w:val="19"/>
                <w:highlight w:val="none"/>
              </w:rPr>
            </w:pPr>
            <w:r>
              <w:rPr>
                <w:rFonts w:ascii="Times New Roman" w:hAnsi="Times New Roman" w:eastAsia="Times New Roman" w:cs="Times New Roman"/>
                <w:sz w:val="19"/>
              </w:rPr>
              <w:t xml:space="preserve">Can a usage-to-bill reconciliation framework identify under-billed customer-month records accurately enough to support revenue-assurance investigation and prioritization?</w:t>
            </w:r>
            <w:r>
              <w:rPr>
                <w:rFonts w:ascii="Times New Roman" w:hAnsi="Times New Roman" w:eastAsia="Times New Roman" w:cs="Times New Roman"/>
              </w:rPr>
            </w:r>
            <w:r>
              <w:rPr>
                <w:rFonts w:ascii="Times New Roman" w:hAnsi="Times New Roman" w:eastAsia="Times New Roman" w:cs="Times New Roman"/>
                <w:sz w:val="19"/>
                <w:highlight w:val="none"/>
              </w:rPr>
            </w:r>
            <w:r>
              <w:rPr>
                <w:rFonts w:ascii="Times New Roman" w:hAnsi="Times New Roman" w:eastAsia="Times New Roman" w:cs="Times New Roman"/>
                <w:sz w:val="19"/>
                <w:highlight w:val="none"/>
              </w:rPr>
            </w:r>
            <w:r>
              <w:rPr>
                <w:rFonts w:ascii="Times New Roman" w:hAnsi="Times New Roman" w:eastAsia="Times New Roman" w:cs="Times New Roman"/>
                <w:sz w:val="19"/>
                <w:highlight w:val="none"/>
              </w:rPr>
            </w:r>
            <w:r>
              <w:rPr>
                <w:rFonts w:ascii="Times New Roman" w:hAnsi="Times New Roman" w:eastAsia="Times New Roman" w:cs="Times New Roman"/>
                <w:sz w:val="19"/>
                <w:szCs w:val="19"/>
                <w:highlight w:val="none"/>
              </w:rPr>
            </w:r>
          </w:p>
        </w:tc>
      </w:tr>
    </w:tbl>
    <w:p w14:paraId="25834065">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35BC754">
      <w:pPr>
        <w:pStyle w:val="777"/>
        <w:keepNext w:val="true"/>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1690726">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 Aim / Goal</w:t>
      </w:r>
      <w:r>
        <w:rPr>
          <w:rFonts w:ascii="Times New Roman" w:hAnsi="Times New Roman" w:eastAsia="Times New Roman" w:cs="Times New Roman"/>
        </w:rPr>
      </w:r>
      <w:r>
        <w:rPr>
          <w:rFonts w:ascii="Times New Roman" w:hAnsi="Times New Roman" w:eastAsia="Times New Roman" w:cs="Times New Roman"/>
          <w:highlight w:val="none"/>
        </w:rPr>
      </w:r>
    </w:p>
    <w:p w14:paraId="640EC8EF">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A3335BD">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To develop an explainable analytics workflow that detects, quantifies, visualizes, and prioritizes potential telecom revenue leakage from usage and billing data.</w:t>
      </w:r>
      <w:r>
        <w:rPr>
          <w:rFonts w:ascii="Times New Roman" w:hAnsi="Times New Roman" w:eastAsia="Times New Roman" w:cs="Times New Roman"/>
        </w:rPr>
      </w:r>
      <w:r>
        <w:rPr>
          <w:rFonts w:ascii="Times New Roman" w:hAnsi="Times New Roman" w:eastAsia="Times New Roman" w:cs="Times New Roman"/>
        </w:rPr>
      </w:r>
    </w:p>
    <w:p w14:paraId="13530766">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AD95503">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Objectives</w:t>
      </w:r>
      <w:r>
        <w:rPr>
          <w:rFonts w:ascii="Times New Roman" w:hAnsi="Times New Roman" w:eastAsia="Times New Roman" w:cs="Times New Roman"/>
        </w:rPr>
      </w:r>
      <w:r>
        <w:rPr>
          <w:rFonts w:ascii="Times New Roman" w:hAnsi="Times New Roman" w:eastAsia="Times New Roman" w:cs="Times New Roman"/>
        </w:rPr>
      </w:r>
    </w:p>
    <w:p w14:paraId="7CEF2B57">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8EA85B0">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Create a clean customer-month usage and billing dataset with reproducible assumptions.</w:t>
      </w:r>
      <w:r>
        <w:rPr>
          <w:rFonts w:ascii="Times New Roman" w:hAnsi="Times New Roman" w:eastAsia="Times New Roman" w:cs="Times New Roman"/>
        </w:rPr>
      </w:r>
      <w:r>
        <w:rPr>
          <w:rFonts w:ascii="Times New Roman" w:hAnsi="Times New Roman" w:eastAsia="Times New Roman" w:cs="Times New Roman"/>
        </w:rPr>
      </w:r>
    </w:p>
    <w:p w14:paraId="1B2E4052">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Calculate expected charges and leakage gaps from usage variables and plan rules.</w:t>
      </w:r>
      <w:r>
        <w:rPr>
          <w:rFonts w:ascii="Times New Roman" w:hAnsi="Times New Roman" w:eastAsia="Times New Roman" w:cs="Times New Roman"/>
        </w:rPr>
      </w:r>
      <w:r>
        <w:rPr>
          <w:rFonts w:ascii="Times New Roman" w:hAnsi="Times New Roman" w:eastAsia="Times New Roman" w:cs="Times New Roman"/>
        </w:rPr>
      </w:r>
    </w:p>
    <w:p w14:paraId="42A50122">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Detect under-billed and near-zero-billed records using transparent thresholds.</w:t>
      </w:r>
      <w:r>
        <w:rPr>
          <w:rFonts w:ascii="Times New Roman" w:hAnsi="Times New Roman" w:eastAsia="Times New Roman" w:cs="Times New Roman"/>
        </w:rPr>
      </w:r>
      <w:r>
        <w:rPr>
          <w:rFonts w:ascii="Times New Roman" w:hAnsi="Times New Roman" w:eastAsia="Times New Roman" w:cs="Times New Roman"/>
        </w:rPr>
      </w:r>
    </w:p>
    <w:p w14:paraId="56FEC81E">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Measure detection performance against known leakage labels embedded in the synthetic dataset.</w:t>
      </w:r>
      <w:r>
        <w:rPr>
          <w:rFonts w:ascii="Times New Roman" w:hAnsi="Times New Roman" w:eastAsia="Times New Roman" w:cs="Times New Roman"/>
        </w:rPr>
      </w:r>
      <w:r>
        <w:rPr>
          <w:rFonts w:ascii="Times New Roman" w:hAnsi="Times New Roman" w:eastAsia="Times New Roman" w:cs="Times New Roman"/>
        </w:rPr>
      </w:r>
    </w:p>
    <w:p w14:paraId="56FC1B85">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Visualize leakage concentration by pattern, region, month, customer record, and severity.</w:t>
      </w:r>
      <w:r>
        <w:rPr>
          <w:rFonts w:ascii="Times New Roman" w:hAnsi="Times New Roman" w:eastAsia="Times New Roman" w:cs="Times New Roman"/>
          <w:highlight w:val="none"/>
        </w:rPr>
      </w:r>
      <w:r>
        <w:rPr>
          <w:rFonts w:ascii="Times New Roman" w:hAnsi="Times New Roman" w:eastAsia="Times New Roman" w:cs="Times New Roman"/>
        </w:rPr>
      </w:r>
    </w:p>
    <w:p w14:paraId="1CB08639">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Translate analytical findings into practical investigation and control recommendations.</w:t>
      </w:r>
      <w:r>
        <w:rPr>
          <w:rFonts w:ascii="Times New Roman" w:hAnsi="Times New Roman" w:eastAsia="Times New Roman" w:cs="Times New Roman"/>
        </w:rPr>
      </w:r>
      <w:r>
        <w:rPr>
          <w:rFonts w:ascii="Times New Roman" w:hAnsi="Times New Roman" w:eastAsia="Times New Roman" w:cs="Times New Roman"/>
        </w:rPr>
      </w:r>
    </w:p>
    <w:p w14:paraId="7F133C5C">
      <w:pPr>
        <w:pStyle w:val="1_419"/>
        <w:widowControl w:val="true"/>
        <w:numPr>
          <w:ilvl w:val="0"/>
          <w:numId w:val="0"/>
        </w:numPr>
        <w:pBdr/>
        <w:spacing w:after="80"/>
        <w:ind w:firstLine="0" w:left="36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39E4233">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Dataset Description</w:t>
      </w:r>
      <w:r>
        <w:rPr>
          <w:rFonts w:ascii="Times New Roman" w:hAnsi="Times New Roman" w:eastAsia="Times New Roman" w:cs="Times New Roman"/>
        </w:rPr>
      </w:r>
      <w:r>
        <w:rPr>
          <w:rFonts w:ascii="Times New Roman" w:hAnsi="Times New Roman" w:eastAsia="Times New Roman" w:cs="Times New Roman"/>
        </w:rPr>
      </w:r>
    </w:p>
    <w:p w14:paraId="631BA063">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43B8870">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 Source</w:t>
      </w:r>
      <w:r>
        <w:rPr>
          <w:rFonts w:ascii="Times New Roman" w:hAnsi="Times New Roman" w:eastAsia="Times New Roman" w:cs="Times New Roman"/>
        </w:rPr>
      </w:r>
      <w:r>
        <w:rPr>
          <w:rFonts w:ascii="Times New Roman" w:hAnsi="Times New Roman" w:eastAsia="Times New Roman" w:cs="Times New Roman"/>
        </w:rPr>
      </w:r>
    </w:p>
    <w:p w14:paraId="08592C28">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4684D07">
      <w:pPr>
        <w:widowControl w:val="true"/>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Synthetic telecom billing dataset generated specifically for this academic project. It is not derived from real customer records and is intended to demonstrate the analytical workflow safely and reproducibly.</w:t>
      </w:r>
      <w:r>
        <w:rPr>
          <w:rFonts w:ascii="Times New Roman" w:hAnsi="Times New Roman" w:eastAsia="Times New Roman" w:cs="Times New Roman"/>
        </w:rPr>
      </w:r>
      <w:r>
        <w:rPr>
          <w:rFonts w:ascii="Times New Roman" w:hAnsi="Times New Roman" w:cs="Times New Roman"/>
        </w:rPr>
      </w:r>
    </w:p>
    <w:p w14:paraId="44D9CDE9">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C030958">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 Size</w:t>
      </w:r>
      <w:r>
        <w:rPr>
          <w:rFonts w:ascii="Times New Roman" w:hAnsi="Times New Roman" w:eastAsia="Times New Roman" w:cs="Times New Roman"/>
        </w:rPr>
      </w:r>
      <w:r>
        <w:rPr>
          <w:rFonts w:ascii="Times New Roman" w:hAnsi="Times New Roman" w:eastAsia="Times New Roman" w:cs="Times New Roman"/>
        </w:rPr>
      </w:r>
    </w:p>
    <w:p w14:paraId="35BCBFBD">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4849A39">
      <w:pPr>
        <w:widowControl w:val="true"/>
        <w:pBdr/>
        <w:spacing/>
        <w:ind/>
        <w:jc w:val="both"/>
        <w:rPr>
          <w:rFonts w:ascii="Times New Roman" w:hAnsi="Times New Roman" w:cs="Times New Roman"/>
        </w:rPr>
      </w:pPr>
      <w:r>
        <w:rPr>
          <w:rFonts w:ascii="Times New Roman" w:hAnsi="Times New Roman" w:eastAsia="Times New Roman" w:cs="Times New Roman"/>
        </w:rPr>
        <w:t xml:space="preserve">1,200 customer-month records covering 12 billing months in 2025. Each row represents one customer for one billing month.</w:t>
      </w:r>
      <w:r>
        <w:rPr>
          <w:rFonts w:ascii="Times New Roman" w:hAnsi="Times New Roman" w:eastAsia="Times New Roman" w:cs="Times New Roman"/>
        </w:rPr>
      </w:r>
      <w:r>
        <w:rPr>
          <w:rFonts w:ascii="Times New Roman" w:hAnsi="Times New Roman" w:eastAsia="Times New Roman" w:cs="Times New Roman"/>
        </w:rPr>
      </w:r>
    </w:p>
    <w:p w14:paraId="126840D5">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Variables / Features</w:t>
      </w:r>
      <w:r>
        <w:rPr>
          <w:rFonts w:ascii="Times New Roman" w:hAnsi="Times New Roman" w:eastAsia="Times New Roman" w:cs="Times New Roman"/>
        </w:rPr>
      </w:r>
      <w:r>
        <w:rPr>
          <w:rFonts w:ascii="Times New Roman" w:hAnsi="Times New Roman" w:eastAsia="Times New Roman" w:cs="Times New Roman"/>
        </w:rPr>
      </w:r>
    </w:p>
    <w:p w14:paraId="1280785E">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tblStyle w:val="12"/>
        <w:jc w:val="center"/>
        <w:tblW w:w="0" w:type="auto"/>
        <w:tblBorders/>
        <w:tblLook w:val="04A0" w:firstRow="1" w:lastRow="0" w:firstColumn="1" w:lastColumn="0" w:noHBand="0" w:noVBand="1"/>
      </w:tblPr>
      <w:tblGrid>
        <w:gridCol w:w="3249"/>
        <w:gridCol w:w="3249"/>
        <w:gridCol w:w="3249"/>
      </w:tblGrid>
      <w:tr>
        <w:trPr>
          <w:trHeight w:val="312"/>
        </w:trPr>
        <w:tc>
          <w:tcPr>
            <w:shd w:val="clear" w:color="ffffff" w:fill="17365d"/>
            <w:tcBorders/>
            <w:tcW w:w="3249" w:type="dxa"/>
            <w:vAlign w:val="center"/>
          </w:tcPr>
          <w:p w14:paraId="54DD9D60">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Variable</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17365d"/>
            <w:tcBorders/>
            <w:tcW w:w="3249" w:type="dxa"/>
            <w:vAlign w:val="center"/>
          </w:tcPr>
          <w:p w14:paraId="54529B48">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Type</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17365d"/>
            <w:tcBorders/>
            <w:tcW w:w="3249" w:type="dxa"/>
            <w:vAlign w:val="center"/>
          </w:tcPr>
          <w:p w14:paraId="53B89476">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Description</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3249" w:type="dxa"/>
            <w:vAlign w:val="center"/>
          </w:tcPr>
          <w:p w14:paraId="47555AC1">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Customer_ID</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27E36872">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Identifier</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624C3F32">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Synthetic customer key</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3249" w:type="dxa"/>
            <w:vAlign w:val="center"/>
          </w:tcPr>
          <w:p w14:paraId="2A2C0034">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Billing_Month</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450E318E">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Date</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023E7F7D">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Monthly billing period</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3249" w:type="dxa"/>
            <w:vAlign w:val="center"/>
          </w:tcPr>
          <w:p w14:paraId="24D9A64C">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Region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5EEC7DA2">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Categorical</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4CDC5110">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North, South, East, or West</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3249" w:type="dxa"/>
            <w:vAlign w:val="center"/>
          </w:tcPr>
          <w:p w14:paraId="5B3D6155">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Plan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73FBF1B3">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Categorical</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767F787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Prepaid, Postpaid, or Business</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3249" w:type="dxa"/>
            <w:vAlign w:val="center"/>
          </w:tcPr>
          <w:p w14:paraId="2E6CF086">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Voice_Minutes</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3421B5A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2244539D">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Observed voice usage</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3249" w:type="dxa"/>
            <w:vAlign w:val="center"/>
          </w:tcPr>
          <w:p w14:paraId="39F3989E">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Data_GB</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7B1A660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063C296D">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Observed mobile data usage</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3249" w:type="dxa"/>
            <w:vAlign w:val="center"/>
          </w:tcPr>
          <w:p w14:paraId="0051C507">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SMS_Count</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2EAE7361">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1EF0C696">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Observed message count</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3249" w:type="dxa"/>
            <w:vAlign w:val="center"/>
          </w:tcPr>
          <w:p w14:paraId="18F74A55">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Expected_Charge</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7CEB8C30">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79B58921">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Calculated charge before leakage</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3249" w:type="dxa"/>
            <w:vAlign w:val="center"/>
          </w:tcPr>
          <w:p w14:paraId="36305B3A">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Billed_Amount</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51FE2184">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40CD1A5A">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Amount actually billed in the simulation</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3249" w:type="dxa"/>
            <w:vAlign w:val="center"/>
          </w:tcPr>
          <w:p w14:paraId="2A90C68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Leakage_Gap</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75A4DF2C">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11974362">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Expected charge minus billed amount</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3249" w:type="dxa"/>
            <w:vAlign w:val="center"/>
          </w:tcPr>
          <w:p w14:paraId="0F20824A">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Billing_Ratio</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40255C62">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07BF8101">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Billed amount divided by expected charge</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3249" w:type="dxa"/>
            <w:vAlign w:val="center"/>
          </w:tcPr>
          <w:p w14:paraId="7E2A54EC">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Leakage_Flag</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04102C94">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Binary</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3249" w:type="dxa"/>
            <w:vAlign w:val="center"/>
          </w:tcPr>
          <w:p w14:paraId="6832E952">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Rule-based anomaly indicator</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3249" w:type="dxa"/>
            <w:vAlign w:val="center"/>
          </w:tcPr>
          <w:p w14:paraId="7C236DFF">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Severity</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1F856876">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Categorical</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3249" w:type="dxa"/>
            <w:vAlign w:val="center"/>
          </w:tcPr>
          <w:p w14:paraId="76ACB06A">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Low, Medium, High, or Critical priority</w:t>
            </w:r>
            <w:r>
              <w:rPr>
                <w:rFonts w:ascii="Times New Roman" w:hAnsi="Times New Roman" w:eastAsia="Times New Roman" w:cs="Times New Roman"/>
              </w:rPr>
            </w:r>
            <w:r>
              <w:rPr>
                <w:rFonts w:ascii="Times New Roman" w:hAnsi="Times New Roman" w:eastAsia="Times New Roman" w:cs="Times New Roman"/>
              </w:rPr>
            </w:r>
          </w:p>
        </w:tc>
      </w:tr>
    </w:tbl>
    <w:p w14:paraId="2477731D">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5C52F6E">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Target Variable</w:t>
      </w:r>
      <w:r>
        <w:rPr>
          <w:rFonts w:ascii="Times New Roman" w:hAnsi="Times New Roman" w:eastAsia="Times New Roman" w:cs="Times New Roman"/>
        </w:rPr>
      </w:r>
      <w:r>
        <w:rPr>
          <w:rFonts w:ascii="Times New Roman" w:hAnsi="Times New Roman" w:eastAsia="Times New Roman" w:cs="Times New Roman"/>
        </w:rPr>
      </w:r>
    </w:p>
    <w:p w14:paraId="1176366C">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D8D78F8">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primary analytical target is Leakage_Flag, a binary indicator used to identify records that require revenue-assurance review. Known_Leakage is retained in the synthetic data only for validation and is not treated as an operationally available field.</w:t>
      </w:r>
      <w:r>
        <w:rPr>
          <w:rFonts w:ascii="Times New Roman" w:hAnsi="Times New Roman" w:eastAsia="Times New Roman" w:cs="Times New Roman"/>
        </w:rPr>
      </w:r>
      <w:r>
        <w:rPr>
          <w:rFonts w:ascii="Times New Roman" w:hAnsi="Times New Roman" w:eastAsia="Times New Roman" w:cs="Times New Roman"/>
        </w:rPr>
      </w:r>
    </w:p>
    <w:p w14:paraId="378F2D68">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1BE7AD3">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 Collection</w:t>
      </w:r>
      <w:r>
        <w:rPr>
          <w:rFonts w:ascii="Times New Roman" w:hAnsi="Times New Roman" w:eastAsia="Times New Roman" w:cs="Times New Roman"/>
        </w:rPr>
      </w:r>
      <w:r>
        <w:rPr>
          <w:rFonts w:ascii="Times New Roman" w:hAnsi="Times New Roman" w:eastAsia="Times New Roman" w:cs="Times New Roman"/>
        </w:rPr>
      </w:r>
    </w:p>
    <w:p w14:paraId="26A53800">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37C01DE">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records were generated with fixed random seed 42 to make the analysis reproducible. Usage volumes were simul</w:t>
      </w:r>
      <w:r>
        <w:rPr>
          <w:rFonts w:ascii="Times New Roman" w:hAnsi="Times New Roman" w:eastAsia="Times New Roman" w:cs="Times New Roman"/>
        </w:rPr>
        <w:t xml:space="preserve">ated from plan-specific distributions, expected charges were calculated using simple base-plus-usage rules, and controlled leakage patterns were introduced to create a known ground truth for validation. No personal, account, or payment information is used.</w:t>
      </w:r>
      <w:r>
        <w:rPr>
          <w:rFonts w:ascii="Times New Roman" w:hAnsi="Times New Roman" w:eastAsia="Times New Roman" w:cs="Times New Roman"/>
        </w:rPr>
      </w:r>
      <w:r>
        <w:rPr>
          <w:rFonts w:ascii="Times New Roman" w:hAnsi="Times New Roman" w:eastAsia="Times New Roman" w:cs="Times New Roman"/>
        </w:rPr>
      </w:r>
    </w:p>
    <w:p w14:paraId="1EC01D1F">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6F583C8">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 Preprocessing</w:t>
      </w:r>
      <w:r>
        <w:rPr>
          <w:rFonts w:ascii="Times New Roman" w:hAnsi="Times New Roman" w:eastAsia="Times New Roman" w:cs="Times New Roman"/>
        </w:rPr>
      </w:r>
      <w:r>
        <w:rPr>
          <w:rFonts w:ascii="Times New Roman" w:hAnsi="Times New Roman" w:eastAsia="Times New Roman" w:cs="Times New Roman"/>
        </w:rPr>
      </w:r>
    </w:p>
    <w:p w14:paraId="5B7C0B5C">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FC2BB34">
      <w:pPr>
        <w:pStyle w:val="778"/>
        <w:keepNext w:val="true"/>
        <w:widowControl w:val="true"/>
        <w:pBdr/>
        <w:tabs>
          <w:tab w:val="left" w:leader="none" w:pos="3272"/>
        </w:tabs>
        <w:spacing/>
        <w:ind w:left="0"/>
        <w:jc w:val="both"/>
        <w:rPr>
          <w:rFonts w:ascii="Times New Roman" w:hAnsi="Times New Roman" w:cs="Times New Roman"/>
        </w:rPr>
      </w:pPr>
      <w:r>
        <w:rPr>
          <w:rFonts w:ascii="Times New Roman" w:hAnsi="Times New Roman" w:eastAsia="Times New Roman" w:cs="Times New Roman"/>
        </w:rPr>
        <w:t xml:space="preserve">Data Cleaning</w:t>
      </w:r>
      <w:r>
        <w:rPr>
          <w:rFonts w:ascii="Times New Roman" w:hAnsi="Times New Roman" w:eastAsia="Times New Roman" w:cs="Times New Roman"/>
        </w:rPr>
      </w:r>
      <w:r>
        <w:rPr>
          <w:rFonts w:ascii="Times New Roman" w:hAnsi="Times New Roman" w:eastAsia="Times New Roman" w:cs="Times New Roman"/>
          <w:highlight w:val="none"/>
        </w:rPr>
      </w:r>
    </w:p>
    <w:p w14:paraId="1519274B">
      <w:pPr>
        <w:pStyle w:val="778"/>
        <w:keepNext w:val="true"/>
        <w:widowControl w:val="true"/>
        <w:pBdr/>
        <w:tabs>
          <w:tab w:val="left" w:leader="none" w:pos="3272"/>
        </w:tabs>
        <w:spacing/>
        <w:ind w:left="0"/>
        <w:jc w:val="both"/>
        <w:rPr>
          <w:rFonts w:ascii="Times New Roman" w:hAnsi="Times New Roman" w:cs="Times New Roman"/>
          <w:highlight w:val="none"/>
        </w:rPr>
      </w:pPr>
      <w:r>
        <w:rPr>
          <w:rFonts w:ascii="Times New Roman" w:hAnsi="Times New Roman" w:eastAsia="Times New Roman" w:cs="Times New Roman"/>
        </w:rPr>
        <w:tab/>
      </w:r>
      <w:r>
        <w:rPr>
          <w:rFonts w:ascii="Times New Roman" w:hAnsi="Times New Roman" w:eastAsia="Times New Roman" w:cs="Times New Roman"/>
          <w:highlight w:val="none"/>
        </w:rPr>
      </w:r>
      <w:r>
        <w:rPr>
          <w:rFonts w:ascii="Times New Roman" w:hAnsi="Times New Roman" w:eastAsia="Times New Roman" w:cs="Times New Roman"/>
        </w:rPr>
      </w:r>
    </w:p>
    <w:p w14:paraId="5AAB0C47">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Customer IDs were chec</w:t>
      </w:r>
      <w:r>
        <w:rPr>
          <w:rFonts w:ascii="Times New Roman" w:hAnsi="Times New Roman" w:eastAsia="Times New Roman" w:cs="Times New Roman"/>
        </w:rPr>
        <w:t xml:space="preserve">ked for uniqueness, billing periods were converted to dates, numeric fields were coerced to numeric types, and negative monetary values were prevented during generation. Derived fields were recalculated from the cleaned inputs rather than manually entered.</w:t>
      </w:r>
      <w:r>
        <w:rPr>
          <w:rFonts w:ascii="Times New Roman" w:hAnsi="Times New Roman" w:eastAsia="Times New Roman" w:cs="Times New Roman"/>
        </w:rPr>
      </w:r>
      <w:r>
        <w:rPr>
          <w:rFonts w:ascii="Times New Roman" w:hAnsi="Times New Roman" w:eastAsia="Times New Roman" w:cs="Times New Roman"/>
        </w:rPr>
      </w:r>
    </w:p>
    <w:p w14:paraId="0B3C9BDB">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EEA33F7">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Missing Value Handling</w:t>
      </w:r>
      <w:r>
        <w:rPr>
          <w:rFonts w:ascii="Times New Roman" w:hAnsi="Times New Roman" w:eastAsia="Times New Roman" w:cs="Times New Roman"/>
        </w:rPr>
      </w:r>
      <w:r>
        <w:rPr>
          <w:rFonts w:ascii="Times New Roman" w:hAnsi="Times New Roman" w:eastAsia="Times New Roman" w:cs="Times New Roman"/>
        </w:rPr>
      </w:r>
    </w:p>
    <w:p w14:paraId="73B7377B">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2F74F0D">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synthetic generation process produced complete records. A production implementation should profile missingness first and distinguish genuinely zero usage from missing usage before imputation.</w:t>
      </w:r>
      <w:r>
        <w:rPr>
          <w:rFonts w:ascii="Times New Roman" w:hAnsi="Times New Roman" w:eastAsia="Times New Roman" w:cs="Times New Roman"/>
        </w:rPr>
      </w:r>
      <w:r>
        <w:rPr>
          <w:rFonts w:ascii="Times New Roman" w:hAnsi="Times New Roman" w:eastAsia="Times New Roman" w:cs="Times New Roman"/>
        </w:rPr>
      </w:r>
    </w:p>
    <w:p w14:paraId="50B93AE0">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B5BA18E">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Outlier Detection</w:t>
      </w:r>
      <w:r>
        <w:rPr>
          <w:rFonts w:ascii="Times New Roman" w:hAnsi="Times New Roman" w:eastAsia="Times New Roman" w:cs="Times New Roman"/>
        </w:rPr>
      </w:r>
      <w:r>
        <w:rPr>
          <w:rFonts w:ascii="Times New Roman" w:hAnsi="Times New Roman" w:eastAsia="Times New Roman" w:cs="Times New Roman"/>
          <w:highlight w:val="none"/>
        </w:rPr>
      </w:r>
    </w:p>
    <w:p w14:paraId="6FB98029">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9FBC360">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Potential outliers were reviewed through billing-ratio distributions, leakage-gap magnitude, and expected-versus-billed scatter analysis. Extreme gaps were not automatically deleted because a large mismatch is itself a revenue-leakage signal.</w:t>
      </w:r>
      <w:r>
        <w:rPr>
          <w:rFonts w:ascii="Times New Roman" w:hAnsi="Times New Roman" w:eastAsia="Times New Roman" w:cs="Times New Roman"/>
        </w:rPr>
      </w:r>
      <w:r>
        <w:rPr>
          <w:rFonts w:ascii="Times New Roman" w:hAnsi="Times New Roman" w:eastAsia="Times New Roman" w:cs="Times New Roman"/>
        </w:rPr>
      </w:r>
    </w:p>
    <w:p w14:paraId="556DF7D4">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392F7A2">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 Transformation</w:t>
      </w:r>
      <w:r>
        <w:rPr>
          <w:rFonts w:ascii="Times New Roman" w:hAnsi="Times New Roman" w:eastAsia="Times New Roman" w:cs="Times New Roman"/>
        </w:rPr>
      </w:r>
      <w:r>
        <w:rPr>
          <w:rFonts w:ascii="Times New Roman" w:hAnsi="Times New Roman" w:eastAsia="Times New Roman" w:cs="Times New Roman"/>
        </w:rPr>
      </w:r>
    </w:p>
    <w:p w14:paraId="748DD79C">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5189ABE">
      <w:pPr>
        <w:widowControl w:val="true"/>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Expected_Charge, Leakage_Gap, Billing_Ratio, Anomaly_Score, and Severity were engineered from raw usage and billing fields. Billing_Ratio provides a normalized comparison across customers with different expected spending levels.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6769494">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8C59D7C">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 Encoding / Normalization</w:t>
      </w:r>
      <w:r>
        <w:rPr>
          <w:rFonts w:ascii="Times New Roman" w:hAnsi="Times New Roman" w:eastAsia="Times New Roman" w:cs="Times New Roman"/>
        </w:rPr>
      </w:r>
      <w:r>
        <w:rPr>
          <w:rFonts w:ascii="Times New Roman" w:hAnsi="Times New Roman" w:eastAsia="Times New Roman" w:cs="Times New Roman"/>
        </w:rPr>
      </w:r>
    </w:p>
    <w:p w14:paraId="17C1B215">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3D9D67C">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Categorical fields remain human-readable for business analysis. Numerical features are placed on comparable scales through ratio-based features rather than aggressive normalization, keeping the detection logic easy to explain.</w:t>
      </w:r>
      <w:r>
        <w:rPr>
          <w:rFonts w:ascii="Times New Roman" w:hAnsi="Times New Roman" w:eastAsia="Times New Roman" w:cs="Times New Roman"/>
        </w:rPr>
      </w:r>
      <w:r>
        <w:rPr>
          <w:rFonts w:ascii="Times New Roman" w:hAnsi="Times New Roman" w:eastAsia="Times New Roman" w:cs="Times New Roman"/>
        </w:rPr>
      </w:r>
    </w:p>
    <w:p w14:paraId="7F877D7B">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B513EA0">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Exploratory Data Analysis (EDA)</w:t>
      </w:r>
      <w:r>
        <w:rPr>
          <w:rFonts w:ascii="Times New Roman" w:hAnsi="Times New Roman" w:eastAsia="Times New Roman" w:cs="Times New Roman"/>
        </w:rPr>
      </w:r>
      <w:r>
        <w:rPr>
          <w:rFonts w:ascii="Times New Roman" w:hAnsi="Times New Roman" w:eastAsia="Times New Roman" w:cs="Times New Roman"/>
        </w:rPr>
      </w:r>
    </w:p>
    <w:p w14:paraId="3D0A39AA">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CBB35A8">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first-level EDA found a mean expected charge of ₹798 and a mean billed amount of ₹696. The overall mean leakage gap was ₹101 per customer-month record. 28.6% of records crossed the review rule.</w:t>
      </w:r>
      <w:r>
        <w:rPr>
          <w:rFonts w:ascii="Times New Roman" w:hAnsi="Times New Roman" w:eastAsia="Times New Roman" w:cs="Times New Roman"/>
        </w:rPr>
      </w:r>
      <w:r>
        <w:rPr>
          <w:rFonts w:ascii="Times New Roman" w:hAnsi="Times New Roman" w:eastAsia="Times New Roman" w:cs="Times New Roman"/>
        </w:rPr>
      </w:r>
    </w:p>
    <w:p w14:paraId="333833E3">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tblStyle w:val="12"/>
        <w:jc w:val="center"/>
        <w:tblW w:w="0" w:type="auto"/>
        <w:tblBorders/>
        <w:tblLook w:val="04A0" w:firstRow="1" w:lastRow="0" w:firstColumn="1" w:lastColumn="0" w:noHBand="0" w:noVBand="1"/>
      </w:tblPr>
      <w:tblGrid>
        <w:gridCol w:w="4873"/>
        <w:gridCol w:w="4873"/>
      </w:tblGrid>
      <w:tr>
        <w:trPr>
          <w:trHeight w:val="312"/>
        </w:trPr>
        <w:tc>
          <w:tcPr>
            <w:shd w:val="clear" w:color="ffffff" w:fill="17365d"/>
            <w:tcBorders/>
            <w:tcW w:w="4873" w:type="dxa"/>
            <w:vAlign w:val="center"/>
          </w:tcPr>
          <w:p w14:paraId="13785306">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EDA measure</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17365d"/>
            <w:tcBorders/>
            <w:tcW w:w="4873" w:type="dxa"/>
            <w:vAlign w:val="center"/>
          </w:tcPr>
          <w:p w14:paraId="402E31EB">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Value</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3E0785F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Records</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71CCD33D">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1,200</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72713C91">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Flagged records</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2B7F91FD">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343</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2DF814F0">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Flag rate</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59F6010A">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28.6%</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759A37A7">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Total estimated leakage gap</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5FE6449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₹121,591</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0408286B">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Mean leakage gap among flagged records</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7841B835">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₹342</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72DFEFC4">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Median billing ratio</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3EEC4B32">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0.981</w:t>
            </w:r>
            <w:r>
              <w:rPr>
                <w:rFonts w:ascii="Times New Roman" w:hAnsi="Times New Roman" w:eastAsia="Times New Roman" w:cs="Times New Roman"/>
              </w:rPr>
            </w:r>
            <w:r>
              <w:rPr>
                <w:rFonts w:ascii="Times New Roman" w:hAnsi="Times New Roman" w:eastAsia="Times New Roman" w:cs="Times New Roman"/>
              </w:rPr>
            </w:r>
          </w:p>
        </w:tc>
      </w:tr>
    </w:tbl>
    <w:p w14:paraId="714B3935">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F843800">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Statistical Analysis</w:t>
      </w:r>
      <w:r>
        <w:rPr>
          <w:rFonts w:ascii="Times New Roman" w:hAnsi="Times New Roman" w:eastAsia="Times New Roman" w:cs="Times New Roman"/>
        </w:rPr>
      </w:r>
      <w:r>
        <w:rPr>
          <w:rFonts w:ascii="Times New Roman" w:hAnsi="Times New Roman" w:eastAsia="Times New Roman" w:cs="Times New Roman"/>
        </w:rPr>
      </w:r>
    </w:p>
    <w:p w14:paraId="4CFBC885">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6C4DAB0">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analysis uses descriptive statistics and association measures to understand the size and direction of the mismatch. Expected charge and billed amount are strongly aligned overall, but leakage records form the lower side of th</w:t>
      </w:r>
      <w:r>
        <w:rPr>
          <w:rFonts w:ascii="Times New Roman" w:hAnsi="Times New Roman" w:eastAsia="Times New Roman" w:cs="Times New Roman"/>
        </w:rPr>
        <w:t xml:space="preserve">at relationship. The Pearson correlation between expected charge and billed amount was 0.842. The leakage-gap variable is therefore used as the more direct economic measure because it converts the mismatch into currency rather than only a normalized ratio.</w:t>
      </w:r>
      <w:r>
        <w:rPr>
          <w:rFonts w:ascii="Times New Roman" w:hAnsi="Times New Roman" w:eastAsia="Times New Roman" w:cs="Times New Roman"/>
        </w:rPr>
      </w:r>
      <w:r>
        <w:rPr>
          <w:rFonts w:ascii="Times New Roman" w:hAnsi="Times New Roman" w:eastAsia="Times New Roman" w:cs="Times New Roman"/>
        </w:rPr>
      </w:r>
    </w:p>
    <w:p w14:paraId="6C61C327">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tblStyle w:val="12"/>
        <w:jc w:val="center"/>
        <w:tblW w:w="0" w:type="auto"/>
        <w:tblBorders/>
        <w:tblLook w:val="04A0" w:firstRow="1" w:lastRow="0" w:firstColumn="1" w:lastColumn="0" w:noHBand="0" w:noVBand="1"/>
      </w:tblPr>
      <w:tblGrid>
        <w:gridCol w:w="4873"/>
        <w:gridCol w:w="4873"/>
      </w:tblGrid>
      <w:tr>
        <w:trPr>
          <w:trHeight w:val="312"/>
        </w:trPr>
        <w:tc>
          <w:tcPr>
            <w:shd w:val="clear" w:color="ffffff" w:fill="17365d"/>
            <w:tcBorders/>
            <w:tcW w:w="4873" w:type="dxa"/>
            <w:vAlign w:val="center"/>
          </w:tcPr>
          <w:p w14:paraId="4BE45500">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Statistic</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17365d"/>
            <w:tcBorders/>
            <w:tcW w:w="4873" w:type="dxa"/>
            <w:vAlign w:val="center"/>
          </w:tcPr>
          <w:p w14:paraId="75C78203">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Value</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16C9F1CD">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Expected charge mean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017764DC">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₹797.65</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787BA90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Billed amount mean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5E592BCB">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₹696.32</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2C692384">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Leakage gap mean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799C5741">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₹101.33</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22EF70C3">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Leakage gap median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22385965">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₹12.75</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5C36BB65">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Expected vs billed correlation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59FE16D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0.842</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41BE3717">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Rule-based precision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12678D7C">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99.7%</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132ACDFC">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Rule-based recall</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077A0AB0">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98.0%</w:t>
            </w:r>
            <w:r>
              <w:rPr>
                <w:rFonts w:ascii="Times New Roman" w:hAnsi="Times New Roman" w:eastAsia="Times New Roman" w:cs="Times New Roman"/>
              </w:rPr>
            </w:r>
            <w:r>
              <w:rPr>
                <w:rFonts w:ascii="Times New Roman" w:hAnsi="Times New Roman" w:eastAsia="Times New Roman" w:cs="Times New Roman"/>
              </w:rPr>
            </w:r>
          </w:p>
        </w:tc>
      </w:tr>
    </w:tbl>
    <w:p w14:paraId="6601395A">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32A0944">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Data Visualization</w:t>
      </w:r>
      <w:r>
        <w:rPr>
          <w:rFonts w:ascii="Times New Roman" w:hAnsi="Times New Roman" w:eastAsia="Times New Roman" w:cs="Times New Roman"/>
        </w:rPr>
      </w:r>
      <w:r>
        <w:rPr>
          <w:rFonts w:ascii="Times New Roman" w:hAnsi="Times New Roman" w:eastAsia="Times New Roman" w:cs="Times New Roman"/>
        </w:rPr>
      </w:r>
    </w:p>
    <w:p w14:paraId="51BA5CE2">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339574C">
      <w:pPr>
        <w:widowControl w:val="true"/>
        <w:pBdr/>
        <w:spacing/>
        <w:ind/>
        <w:jc w:val="both"/>
        <w:rPr>
          <w:rFonts w:ascii="Times New Roman" w:hAnsi="Times New Roman" w:cs="Times New Roman"/>
        </w:rPr>
      </w:pPr>
      <w:r>
        <w:rPr>
          <w:rFonts w:ascii="Times New Roman" w:hAnsi="Times New Roman" w:eastAsia="Times New Roman" w:cs="Times New Roman"/>
        </w:rPr>
        <w:t xml:space="preserve">The following figures are designed to answer diff</w:t>
      </w:r>
      <w:r>
        <w:rPr>
          <w:rFonts w:ascii="Times New Roman" w:hAnsi="Times New Roman" w:eastAsia="Times New Roman" w:cs="Times New Roman"/>
        </w:rPr>
        <w:t xml:space="preserve">erent management questions: how wide is the mismatch, which leakage patterns matter most, where is the gap concentrated, whether leakage is persistent over time, which records sit far below expected billing, and how many cases fall into each priority band.</w:t>
      </w:r>
      <w:r>
        <w:rPr>
          <w:rFonts w:ascii="Times New Roman" w:hAnsi="Times New Roman" w:eastAsia="Times New Roman" w:cs="Times New Roman"/>
        </w:rPr>
      </w:r>
      <w:r>
        <w:rPr>
          <w:rFonts w:ascii="Times New Roman" w:hAnsi="Times New Roman" w:eastAsia="Times New Roman" w:cs="Times New Roman"/>
        </w:rPr>
      </w:r>
    </w:p>
    <w:p w14:paraId="70716360">
      <w:pPr>
        <w:widowControl w:val="true"/>
        <w:pBdr/>
        <w:spacing w:after="40" w:before="12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52160" cy="330474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14282" name="fig1_billing_ratio.png"/>
                        <pic:cNvPicPr>
                          <a:picLocks noChangeAspect="1"/>
                        </pic:cNvPicPr>
                        <pic:nvPr/>
                      </pic:nvPicPr>
                      <pic:blipFill rotWithShape="1">
                        <a:blip r:embed="rId12"/>
                        <a:stretch/>
                      </pic:blipFill>
                      <pic:spPr bwMode="auto">
                        <a:xfrm>
                          <a:off x="0" y="0"/>
                          <a:ext cx="5852160" cy="3304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0.80pt;height:260.22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19140806">
      <w:pPr>
        <w:pStyle w:val="180"/>
        <w:widowControl w:val="true"/>
        <w:pBdr/>
        <w:spacing/>
        <w:ind/>
        <w:jc w:val="both"/>
        <w:rPr>
          <w:rFonts w:ascii="Times New Roman" w:hAnsi="Times New Roman" w:cs="Times New Roman"/>
        </w:rPr>
      </w:pPr>
      <w:r>
        <w:rPr>
          <w:rFonts w:ascii="Times New Roman" w:hAnsi="Times New Roman" w:eastAsia="Times New Roman" w:cs="Times New Roman"/>
        </w:rPr>
        <w:t xml:space="preserve">Figure 1. Billing ratio distribution with the 0.88 review threshold.</w:t>
      </w:r>
      <w:r>
        <w:rPr>
          <w:rFonts w:ascii="Times New Roman" w:hAnsi="Times New Roman" w:eastAsia="Times New Roman" w:cs="Times New Roman"/>
        </w:rPr>
      </w:r>
      <w:r>
        <w:rPr>
          <w:rFonts w:ascii="Times New Roman" w:hAnsi="Times New Roman" w:eastAsia="Times New Roman" w:cs="Times New Roman"/>
        </w:rPr>
      </w:r>
    </w:p>
    <w:p w14:paraId="23E8D5A3">
      <w:pPr>
        <w:widowControl w:val="true"/>
        <w:pBdr/>
        <w:spacing w:after="40" w:before="12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52160" cy="3304749"/>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23987" name="fig2_leakage_by_type.png"/>
                        <pic:cNvPicPr>
                          <a:picLocks noChangeAspect="1"/>
                        </pic:cNvPicPr>
                        <pic:nvPr/>
                      </pic:nvPicPr>
                      <pic:blipFill rotWithShape="1">
                        <a:blip r:embed="rId13"/>
                        <a:stretch/>
                      </pic:blipFill>
                      <pic:spPr bwMode="auto">
                        <a:xfrm>
                          <a:off x="0" y="0"/>
                          <a:ext cx="5852160" cy="3304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0.80pt;height:260.22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05240BB8">
      <w:pPr>
        <w:pStyle w:val="180"/>
        <w:widowControl w:val="true"/>
        <w:pBdr/>
        <w:spacing/>
        <w:ind/>
        <w:jc w:val="both"/>
        <w:rPr>
          <w:rFonts w:ascii="Times New Roman" w:hAnsi="Times New Roman" w:cs="Times New Roman"/>
        </w:rPr>
      </w:pPr>
      <w:r>
        <w:rPr>
          <w:rFonts w:ascii="Times New Roman" w:hAnsi="Times New Roman" w:eastAsia="Times New Roman" w:cs="Times New Roman"/>
        </w:rPr>
        <w:t xml:space="preserve">Figure 2. Estimated leakage gap by detected pattern.</w:t>
      </w:r>
      <w:r>
        <w:rPr>
          <w:rFonts w:ascii="Times New Roman" w:hAnsi="Times New Roman" w:eastAsia="Times New Roman" w:cs="Times New Roman"/>
        </w:rPr>
      </w:r>
      <w:r>
        <w:rPr>
          <w:rFonts w:ascii="Times New Roman" w:hAnsi="Times New Roman" w:eastAsia="Times New Roman" w:cs="Times New Roman"/>
        </w:rPr>
      </w:r>
    </w:p>
    <w:p w14:paraId="22300DA6">
      <w:pPr>
        <w:widowControl w:val="true"/>
        <w:pBdr/>
        <w:spacing w:after="40" w:before="12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52160" cy="3304749"/>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62545" name="fig3_region_gap.png"/>
                        <pic:cNvPicPr>
                          <a:picLocks noChangeAspect="1"/>
                        </pic:cNvPicPr>
                        <pic:nvPr/>
                      </pic:nvPicPr>
                      <pic:blipFill rotWithShape="1">
                        <a:blip r:embed="rId14"/>
                        <a:stretch/>
                      </pic:blipFill>
                      <pic:spPr bwMode="auto">
                        <a:xfrm>
                          <a:off x="0" y="0"/>
                          <a:ext cx="5852160" cy="3304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0.80pt;height:260.22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2B8DCD6D">
      <w:pPr>
        <w:pStyle w:val="180"/>
        <w:widowControl w:val="true"/>
        <w:pBdr/>
        <w:spacing/>
        <w:ind/>
        <w:jc w:val="both"/>
        <w:rPr>
          <w:rFonts w:ascii="Times New Roman" w:hAnsi="Times New Roman" w:cs="Times New Roman"/>
        </w:rPr>
      </w:pPr>
      <w:r>
        <w:rPr>
          <w:rFonts w:ascii="Times New Roman" w:hAnsi="Times New Roman" w:eastAsia="Times New Roman" w:cs="Times New Roman"/>
        </w:rPr>
        <w:t xml:space="preserve">Figure 3. Regional leakage concentration with flagged-record rates.</w:t>
      </w:r>
      <w:r>
        <w:rPr>
          <w:rFonts w:ascii="Times New Roman" w:hAnsi="Times New Roman" w:eastAsia="Times New Roman" w:cs="Times New Roman"/>
        </w:rPr>
      </w:r>
      <w:r>
        <w:rPr>
          <w:rFonts w:ascii="Times New Roman" w:hAnsi="Times New Roman" w:eastAsia="Times New Roman" w:cs="Times New Roman"/>
        </w:rPr>
      </w:r>
    </w:p>
    <w:p w14:paraId="53751F4A">
      <w:pPr>
        <w:widowControl w:val="true"/>
        <w:pBdr/>
        <w:spacing w:after="40" w:before="12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52160" cy="3304749"/>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8035" name="fig4_monthly_trend.png"/>
                        <pic:cNvPicPr>
                          <a:picLocks noChangeAspect="1"/>
                        </pic:cNvPicPr>
                        <pic:nvPr/>
                      </pic:nvPicPr>
                      <pic:blipFill rotWithShape="1">
                        <a:blip r:embed="rId15"/>
                        <a:stretch/>
                      </pic:blipFill>
                      <pic:spPr bwMode="auto">
                        <a:xfrm>
                          <a:off x="0" y="0"/>
                          <a:ext cx="5852160" cy="3304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0.80pt;height:260.2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3716E6BA">
      <w:pPr>
        <w:pStyle w:val="180"/>
        <w:widowControl w:val="true"/>
        <w:pBdr/>
        <w:spacing/>
        <w:ind/>
        <w:jc w:val="both"/>
        <w:rPr>
          <w:rFonts w:ascii="Times New Roman" w:hAnsi="Times New Roman" w:cs="Times New Roman"/>
        </w:rPr>
      </w:pPr>
      <w:r>
        <w:rPr>
          <w:rFonts w:ascii="Times New Roman" w:hAnsi="Times New Roman" w:eastAsia="Times New Roman" w:cs="Times New Roman"/>
        </w:rPr>
        <w:t xml:space="preserve">Figure 4. Monthly leakage-gap trend.</w:t>
      </w:r>
      <w:r>
        <w:rPr>
          <w:rFonts w:ascii="Times New Roman" w:hAnsi="Times New Roman" w:eastAsia="Times New Roman" w:cs="Times New Roman"/>
        </w:rPr>
      </w:r>
      <w:r>
        <w:rPr>
          <w:rFonts w:ascii="Times New Roman" w:hAnsi="Times New Roman" w:eastAsia="Times New Roman" w:cs="Times New Roman"/>
        </w:rPr>
      </w:r>
    </w:p>
    <w:p w14:paraId="18021FBE">
      <w:pPr>
        <w:widowControl w:val="true"/>
        <w:pBdr/>
        <w:spacing w:after="40" w:before="12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52160" cy="3442447"/>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0534" name="fig5_expected_vs_billed.png"/>
                        <pic:cNvPicPr>
                          <a:picLocks noChangeAspect="1"/>
                        </pic:cNvPicPr>
                        <pic:nvPr/>
                      </pic:nvPicPr>
                      <pic:blipFill rotWithShape="1">
                        <a:blip r:embed="rId16"/>
                        <a:stretch/>
                      </pic:blipFill>
                      <pic:spPr bwMode="auto">
                        <a:xfrm>
                          <a:off x="0" y="0"/>
                          <a:ext cx="5852160" cy="3442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0.80pt;height:271.06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54E9AE27">
      <w:pPr>
        <w:pStyle w:val="180"/>
        <w:widowControl w:val="true"/>
        <w:pBdr/>
        <w:spacing/>
        <w:ind/>
        <w:jc w:val="both"/>
        <w:rPr>
          <w:rFonts w:ascii="Times New Roman" w:hAnsi="Times New Roman" w:cs="Times New Roman"/>
        </w:rPr>
      </w:pPr>
      <w:r>
        <w:rPr>
          <w:rFonts w:ascii="Times New Roman" w:hAnsi="Times New Roman" w:eastAsia="Times New Roman" w:cs="Times New Roman"/>
        </w:rPr>
        <w:t xml:space="preserve">Figure 5. Expected charge versus billed amount; points below the diagonal represent under-billing.</w:t>
      </w:r>
      <w:r>
        <w:rPr>
          <w:rFonts w:ascii="Times New Roman" w:hAnsi="Times New Roman" w:eastAsia="Times New Roman" w:cs="Times New Roman"/>
        </w:rPr>
      </w:r>
      <w:r>
        <w:rPr>
          <w:rFonts w:ascii="Times New Roman" w:hAnsi="Times New Roman" w:eastAsia="Times New Roman" w:cs="Times New Roman"/>
        </w:rPr>
      </w:r>
    </w:p>
    <w:p w14:paraId="17169D60">
      <w:pPr>
        <w:widowControl w:val="true"/>
        <w:pBdr/>
        <w:spacing w:after="40" w:before="12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52160" cy="3304749"/>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0565" name="fig6_severity.png"/>
                        <pic:cNvPicPr>
                          <a:picLocks noChangeAspect="1"/>
                        </pic:cNvPicPr>
                        <pic:nvPr/>
                      </pic:nvPicPr>
                      <pic:blipFill rotWithShape="1">
                        <a:blip r:embed="rId17"/>
                        <a:stretch/>
                      </pic:blipFill>
                      <pic:spPr bwMode="auto">
                        <a:xfrm>
                          <a:off x="0" y="0"/>
                          <a:ext cx="5852160" cy="3304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0.80pt;height:260.22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7A023D8B">
      <w:pPr>
        <w:pStyle w:val="180"/>
        <w:widowControl w:val="true"/>
        <w:pBdr/>
        <w:spacing/>
        <w:ind/>
        <w:jc w:val="both"/>
        <w:rPr>
          <w:rFonts w:ascii="Times New Roman" w:hAnsi="Times New Roman" w:cs="Times New Roman"/>
        </w:rPr>
      </w:pPr>
      <w:r>
        <w:rPr>
          <w:rFonts w:ascii="Times New Roman" w:hAnsi="Times New Roman" w:eastAsia="Times New Roman" w:cs="Times New Roman"/>
        </w:rPr>
        <w:t xml:space="preserve">Figure 6. Investigation priority by severity among flagged records.</w:t>
      </w:r>
      <w:r>
        <w:rPr>
          <w:rFonts w:ascii="Times New Roman" w:hAnsi="Times New Roman" w:eastAsia="Times New Roman" w:cs="Times New Roman"/>
        </w:rPr>
      </w:r>
      <w:r>
        <w:rPr>
          <w:rFonts w:ascii="Times New Roman" w:hAnsi="Times New Roman" w:eastAsia="Times New Roman" w:cs="Times New Roman"/>
        </w:rPr>
      </w:r>
    </w:p>
    <w:p w14:paraId="1C3F8B7A">
      <w:pPr>
        <w:widowControl w:val="true"/>
        <w:pBdr/>
        <w:spacing/>
        <w:ind/>
        <w:jc w:val="both"/>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eastAsia="Times New Roman" w:cs="Times New Roman"/>
        </w:rPr>
      </w:r>
    </w:p>
    <w:p w14:paraId="78C5743D">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Business Analytics Technique / Model</w:t>
      </w:r>
      <w:r>
        <w:rPr>
          <w:rFonts w:ascii="Times New Roman" w:hAnsi="Times New Roman" w:eastAsia="Times New Roman" w:cs="Times New Roman"/>
        </w:rPr>
      </w:r>
      <w:r>
        <w:rPr>
          <w:rFonts w:ascii="Times New Roman" w:hAnsi="Times New Roman" w:eastAsia="Times New Roman" w:cs="Times New Roman"/>
        </w:rPr>
      </w:r>
    </w:p>
    <w:p w14:paraId="2E180D27">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DD28B32">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Descriptive / Diagnostic / Predictive / Prescriptive Analytics</w:t>
      </w:r>
      <w:r>
        <w:rPr>
          <w:rFonts w:ascii="Times New Roman" w:hAnsi="Times New Roman" w:eastAsia="Times New Roman" w:cs="Times New Roman"/>
        </w:rPr>
      </w:r>
      <w:r>
        <w:rPr>
          <w:rFonts w:ascii="Times New Roman" w:hAnsi="Times New Roman" w:eastAsia="Times New Roman" w:cs="Times New Roman"/>
        </w:rPr>
      </w:r>
    </w:p>
    <w:p w14:paraId="5E75E343">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B10FDDC">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Descriptive analytics: quantify billing ratios, leakage gaps, flag rates, and segment-level totals.</w:t>
      </w:r>
      <w:r>
        <w:rPr>
          <w:rFonts w:ascii="Times New Roman" w:hAnsi="Times New Roman" w:eastAsia="Times New Roman" w:cs="Times New Roman"/>
        </w:rPr>
      </w:r>
      <w:r>
        <w:rPr>
          <w:rFonts w:ascii="Times New Roman" w:hAnsi="Times New Roman" w:eastAsia="Times New Roman" w:cs="Times New Roman"/>
        </w:rPr>
      </w:r>
    </w:p>
    <w:p w14:paraId="0DDC8136">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Diagnostic analytics: compare leakage patterns across plans, regions, months, and severity groups to identify likely concentration points.</w:t>
      </w:r>
      <w:r>
        <w:rPr>
          <w:rFonts w:ascii="Times New Roman" w:hAnsi="Times New Roman" w:eastAsia="Times New Roman" w:cs="Times New Roman"/>
        </w:rPr>
      </w:r>
      <w:r>
        <w:rPr>
          <w:rFonts w:ascii="Times New Roman" w:hAnsi="Times New Roman" w:eastAsia="Times New Roman" w:cs="Times New Roman"/>
        </w:rPr>
      </w:r>
    </w:p>
    <w:p w14:paraId="3831C8BD">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Predictive analytics: use Anomaly_Score as a ranking mechanism for records most likely to represent material leakage.</w:t>
      </w:r>
      <w:r>
        <w:rPr>
          <w:rFonts w:ascii="Times New Roman" w:hAnsi="Times New Roman" w:eastAsia="Times New Roman" w:cs="Times New Roman"/>
        </w:rPr>
      </w:r>
      <w:r>
        <w:rPr>
          <w:rFonts w:ascii="Times New Roman" w:hAnsi="Times New Roman" w:eastAsia="Times New Roman" w:cs="Times New Roman"/>
        </w:rPr>
      </w:r>
    </w:p>
    <w:p w14:paraId="2366452D">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Prescriptive analytics: convert high-value patterns into investigation queues and control actions.</w:t>
      </w:r>
      <w:r>
        <w:rPr>
          <w:rFonts w:ascii="Times New Roman" w:hAnsi="Times New Roman" w:eastAsia="Times New Roman" w:cs="Times New Roman"/>
        </w:rPr>
      </w:r>
      <w:r>
        <w:rPr>
          <w:rFonts w:ascii="Times New Roman" w:hAnsi="Times New Roman" w:eastAsia="Times New Roman" w:cs="Times New Roman"/>
        </w:rPr>
      </w:r>
    </w:p>
    <w:p w14:paraId="089D5D27">
      <w:pPr>
        <w:pStyle w:val="778"/>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Statistical Model / Machine Learning Model / Optimization Technique</w:t>
      </w:r>
      <w:r>
        <w:rPr>
          <w:rFonts w:ascii="Times New Roman" w:hAnsi="Times New Roman" w:eastAsia="Times New Roman" w:cs="Times New Roman"/>
        </w:rPr>
      </w:r>
      <w:r>
        <w:rPr>
          <w:rFonts w:ascii="Times New Roman" w:hAnsi="Times New Roman" w:eastAsia="Times New Roman" w:cs="Times New Roman"/>
        </w:rPr>
      </w:r>
    </w:p>
    <w:p w14:paraId="7EC93A1D">
      <w:pPr>
        <w:pStyle w:val="778"/>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25C1873">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primary model is an explainable rule-based anomaly detector: Billing_Ratio &lt; 0.88 OR Leakage_Gap &gt; ₹120. Anomaly_Score is then calculated from normalized</w:t>
      </w:r>
      <w:r>
        <w:rPr>
          <w:rFonts w:ascii="Times New Roman" w:hAnsi="Times New Roman" w:eastAsia="Times New Roman" w:cs="Times New Roman"/>
        </w:rPr>
        <w:t xml:space="preserve"> billing-ratio and leakage-gap components to rank flagged cases. This choice is appropriate for an academic revenue-assurance prototype because the logic is auditable, easy to explain to finance and operations teams, and directly linked to monetary impact.</w:t>
      </w:r>
      <w:r>
        <w:rPr>
          <w:rFonts w:ascii="Times New Roman" w:hAnsi="Times New Roman" w:eastAsia="Times New Roman" w:cs="Times New Roman"/>
        </w:rPr>
      </w:r>
      <w:r>
        <w:rPr>
          <w:rFonts w:ascii="Times New Roman" w:hAnsi="Times New Roman" w:eastAsia="Times New Roman" w:cs="Times New Roman"/>
        </w:rPr>
      </w:r>
    </w:p>
    <w:p w14:paraId="3E081B54">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5868F9E">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Model Development / Analysis</w:t>
      </w:r>
      <w:r>
        <w:rPr>
          <w:rFonts w:ascii="Times New Roman" w:hAnsi="Times New Roman" w:eastAsia="Times New Roman" w:cs="Times New Roman"/>
        </w:rPr>
      </w:r>
      <w:r>
        <w:rPr>
          <w:rFonts w:ascii="Times New Roman" w:hAnsi="Times New Roman" w:eastAsia="Times New Roman" w:cs="Times New Roman"/>
        </w:rPr>
      </w:r>
    </w:p>
    <w:p w14:paraId="6A970894">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F8B7290">
      <w:pPr>
        <w:widowControl w:val="true"/>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Expected_Charge is computed from plan base fees plus usage components. Leakage_Gap is calculated as Expected</w:t>
      </w:r>
      <w:r>
        <w:rPr>
          <w:rFonts w:ascii="Times New Roman" w:hAnsi="Times New Roman" w:eastAsia="Times New Roman" w:cs="Times New Roman"/>
        </w:rPr>
        <w:t xml:space="preserve">_Charge minus Billed_Amount. Billing_Ratio then normalizes that mismatch. Records below the billing-ratio threshold or above the economic-gap threshold are flagged. Severity bands are assigned so an investigation queue can be ordered by financial exposure.</w:t>
      </w:r>
      <w:r>
        <w:rPr>
          <w:rFonts w:ascii="Times New Roman" w:hAnsi="Times New Roman" w:eastAsia="Times New Roman" w:cs="Times New Roman"/>
        </w:rPr>
      </w:r>
      <w:r>
        <w:rPr>
          <w:rFonts w:ascii="Times New Roman" w:hAnsi="Times New Roman" w:cs="Times New Roman"/>
        </w:rPr>
      </w:r>
    </w:p>
    <w:p w14:paraId="51436BC7">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jc w:val="center"/>
        <w:tblW w:w="0" w:type="auto"/>
        <w:tblBorders/>
        <w:tblLook w:val="04A0" w:firstRow="1" w:lastRow="0" w:firstColumn="1" w:lastColumn="0" w:noHBand="0" w:noVBand="1"/>
      </w:tblPr>
      <w:tblGrid>
        <w:gridCol w:w="9746"/>
      </w:tblGrid>
      <w:tr>
        <w:trPr/>
        <w:tc>
          <w:tcPr>
            <w:shd w:val="clear" w:color="ffffff" w:fill="eef4fb"/>
            <w:tcBorders/>
            <w:tcW w:w="9746" w:type="dxa"/>
          </w:tcPr>
          <w:p w14:paraId="3B89B667">
            <w:pPr>
              <w:pBdr/>
              <w:spacing w:after="20"/>
              <w:ind/>
              <w:jc w:val="both"/>
              <w:rPr>
                <w:rFonts w:ascii="Times New Roman" w:hAnsi="Times New Roman" w:cs="Times New Roman"/>
              </w:rPr>
            </w:pPr>
            <w:r>
              <w:rPr>
                <w:rFonts w:ascii="Times New Roman" w:hAnsi="Times New Roman" w:eastAsia="Times New Roman" w:cs="Times New Roman"/>
                <w:b/>
                <w:color w:val="17365d"/>
                <w:sz w:val="20"/>
              </w:rPr>
              <w:t xml:space="preserve">Core detection rule</w:t>
            </w:r>
            <w:r>
              <w:rPr>
                <w:rFonts w:ascii="Times New Roman" w:hAnsi="Times New Roman" w:eastAsia="Times New Roman" w:cs="Times New Roman"/>
              </w:rPr>
            </w:r>
            <w:r>
              <w:rPr>
                <w:rFonts w:ascii="Times New Roman" w:hAnsi="Times New Roman" w:eastAsia="Times New Roman" w:cs="Times New Roman"/>
              </w:rPr>
            </w:r>
          </w:p>
          <w:p w14:paraId="07D40477">
            <w:pPr>
              <w:pBdr/>
              <w:spacing w:after="20"/>
              <w:ind/>
              <w:jc w:val="both"/>
              <w:rPr>
                <w:rFonts w:ascii="Times New Roman" w:hAnsi="Times New Roman" w:cs="Times New Roman"/>
              </w:rPr>
            </w:pPr>
            <w:r>
              <w:rPr>
                <w:rFonts w:ascii="Times New Roman" w:hAnsi="Times New Roman" w:eastAsia="Times New Roman" w:cs="Times New Roman"/>
                <w:sz w:val="19"/>
              </w:rPr>
              <w:t xml:space="preserve">Leakage_Flag = 1 when Billing_Ratio &lt; 0.88 OR Leakage_Gap &gt; ₹120. The thresholds are illustrative control parameters and should be calibrated using historical confirmed leakage in a production environment.</w:t>
            </w:r>
            <w:r>
              <w:rPr>
                <w:rFonts w:ascii="Times New Roman" w:hAnsi="Times New Roman" w:eastAsia="Times New Roman" w:cs="Times New Roman"/>
              </w:rPr>
            </w:r>
            <w:r>
              <w:rPr>
                <w:rFonts w:ascii="Times New Roman" w:hAnsi="Times New Roman" w:eastAsia="Times New Roman" w:cs="Times New Roman"/>
              </w:rPr>
            </w:r>
          </w:p>
        </w:tc>
      </w:tr>
    </w:tbl>
    <w:p w14:paraId="67AA0FB7">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8CC71B1">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Model Evaluation / Validation</w:t>
      </w:r>
      <w:r>
        <w:rPr>
          <w:rFonts w:ascii="Times New Roman" w:hAnsi="Times New Roman" w:eastAsia="Times New Roman" w:cs="Times New Roman"/>
        </w:rPr>
      </w:r>
      <w:r>
        <w:rPr>
          <w:rFonts w:ascii="Times New Roman" w:hAnsi="Times New Roman" w:eastAsia="Times New Roman" w:cs="Times New Roman"/>
        </w:rPr>
      </w:r>
    </w:p>
    <w:p w14:paraId="18A33098">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022509E">
      <w:pPr>
        <w:widowControl w:val="true"/>
        <w:pBdr/>
        <w:spacing/>
        <w:ind/>
        <w:jc w:val="both"/>
        <w:rPr>
          <w:rFonts w:ascii="Times New Roman" w:hAnsi="Times New Roman" w:cs="Times New Roman"/>
        </w:rPr>
      </w:pPr>
      <w:r>
        <w:rPr>
          <w:rFonts w:ascii="Times New Roman" w:hAnsi="Times New Roman" w:eastAsia="Times New Roman" w:cs="Times New Roman"/>
        </w:rPr>
        <w:t xml:space="preserve">Because the synthetic dataset contains a known leakage label, the rule can be evaluated directly. The detector achieved 99.7% precision, 98.0% recall, and</w:t>
      </w:r>
      <w:r>
        <w:rPr>
          <w:rFonts w:ascii="Times New Roman" w:hAnsi="Times New Roman" w:eastAsia="Times New Roman" w:cs="Times New Roman"/>
        </w:rPr>
        <w:t xml:space="preserve"> 99.3% accuracy against Known_Leakage. These metrics demonstrate that the rule captures the injected leakage patterns with a high level of interpretability. They should not be interpreted as production performance because the validation data are simulated.</w:t>
      </w:r>
      <w:r>
        <w:rPr>
          <w:rFonts w:ascii="Times New Roman" w:hAnsi="Times New Roman" w:eastAsia="Times New Roman" w:cs="Times New Roman"/>
        </w:rPr>
      </w:r>
      <w:r>
        <w:rPr>
          <w:rFonts w:ascii="Times New Roman" w:hAnsi="Times New Roman" w:eastAsia="Times New Roman" w:cs="Times New Roman"/>
        </w:rPr>
      </w:r>
    </w:p>
    <w:p w14:paraId="29916B02">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3FA0E94">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Business Insights</w:t>
      </w:r>
      <w:r>
        <w:rPr>
          <w:rFonts w:ascii="Times New Roman" w:hAnsi="Times New Roman" w:eastAsia="Times New Roman" w:cs="Times New Roman"/>
        </w:rPr>
      </w:r>
      <w:r>
        <w:rPr>
          <w:rFonts w:ascii="Times New Roman" w:hAnsi="Times New Roman" w:eastAsia="Times New Roman" w:cs="Times New Roman"/>
        </w:rPr>
      </w:r>
    </w:p>
    <w:p w14:paraId="74CF5BA4">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CE6D12D">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model flagged 343 of 1,200 customer-month records for review, creating a focused exception queue instead of requiring a full manual audit.</w:t>
      </w:r>
      <w:r>
        <w:rPr>
          <w:rFonts w:ascii="Times New Roman" w:hAnsi="Times New Roman" w:eastAsia="Times New Roman" w:cs="Times New Roman"/>
        </w:rPr>
      </w:r>
      <w:r>
        <w:rPr>
          <w:rFonts w:ascii="Times New Roman" w:hAnsi="Times New Roman" w:eastAsia="Times New Roman" w:cs="Times New Roman"/>
        </w:rPr>
      </w:r>
    </w:p>
    <w:p w14:paraId="1122A35C">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total estimated leakage gap in the synthetic portfolio is ₹121,591. This figure is an analytical estimate, not actual lost revenue.</w:t>
      </w:r>
      <w:r>
        <w:rPr>
          <w:rFonts w:ascii="Times New Roman" w:hAnsi="Times New Roman" w:eastAsia="Times New Roman" w:cs="Times New Roman"/>
        </w:rPr>
      </w:r>
      <w:r>
        <w:rPr>
          <w:rFonts w:ascii="Times New Roman" w:hAnsi="Times New Roman" w:eastAsia="Times New Roman" w:cs="Times New Roman"/>
        </w:rPr>
      </w:r>
    </w:p>
    <w:p w14:paraId="22F35FFE">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Near-zero billing contributes the largest aggregate gap at approximately ₹56,323, indicating that not all anomaly types have equal economic importance.</w:t>
      </w:r>
      <w:r>
        <w:rPr>
          <w:rFonts w:ascii="Times New Roman" w:hAnsi="Times New Roman" w:eastAsia="Times New Roman" w:cs="Times New Roman"/>
        </w:rPr>
      </w:r>
      <w:r>
        <w:rPr>
          <w:rFonts w:ascii="Times New Roman" w:hAnsi="Times New Roman" w:eastAsia="Times New Roman" w:cs="Times New Roman"/>
        </w:rPr>
      </w:r>
    </w:p>
    <w:p w14:paraId="3A7E7E13">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West region has the highest modeled leakage concentration, showing how geographic segmentation can guide operational investigation.</w:t>
      </w:r>
      <w:r>
        <w:rPr>
          <w:rFonts w:ascii="Times New Roman" w:hAnsi="Times New Roman" w:eastAsia="Times New Roman" w:cs="Times New Roman"/>
        </w:rPr>
      </w:r>
      <w:r>
        <w:rPr>
          <w:rFonts w:ascii="Times New Roman" w:hAnsi="Times New Roman" w:eastAsia="Times New Roman" w:cs="Times New Roman"/>
        </w:rPr>
      </w:r>
    </w:p>
    <w:p w14:paraId="140F5B19">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expected-versus-billed plot shows that severe exceptions sit far below the expected-billing diagonal, making the visualization suitable for rapid triage by analysts and managers.</w:t>
      </w:r>
      <w:r>
        <w:rPr>
          <w:rFonts w:ascii="Times New Roman" w:hAnsi="Times New Roman" w:eastAsia="Times New Roman" w:cs="Times New Roman"/>
        </w:rPr>
      </w:r>
      <w:r>
        <w:rPr>
          <w:rFonts w:ascii="Times New Roman" w:hAnsi="Times New Roman" w:eastAsia="Times New Roman" w:cs="Times New Roman"/>
        </w:rPr>
      </w:r>
    </w:p>
    <w:p w14:paraId="1EACB961">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Recommendations / Decision-Making</w:t>
      </w:r>
      <w:r>
        <w:rPr>
          <w:rFonts w:ascii="Times New Roman" w:hAnsi="Times New Roman" w:eastAsia="Times New Roman" w:cs="Times New Roman"/>
        </w:rPr>
      </w:r>
      <w:r>
        <w:rPr>
          <w:rFonts w:ascii="Times New Roman" w:hAnsi="Times New Roman" w:eastAsia="Times New Roman" w:cs="Times New Roman"/>
        </w:rPr>
      </w:r>
    </w:p>
    <w:p w14:paraId="29DFD18B">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200C671">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Prioritize investigation by estimated leakage value rather than by anomaly count alone.</w:t>
      </w:r>
      <w:r>
        <w:rPr>
          <w:rFonts w:ascii="Times New Roman" w:hAnsi="Times New Roman" w:eastAsia="Times New Roman" w:cs="Times New Roman"/>
        </w:rPr>
      </w:r>
      <w:r>
        <w:rPr>
          <w:rFonts w:ascii="Times New Roman" w:hAnsi="Times New Roman" w:eastAsia="Times New Roman" w:cs="Times New Roman"/>
        </w:rPr>
      </w:r>
    </w:p>
    <w:p w14:paraId="2349491F">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Reconcile usage mediation, tariff tables, discount rules, and invoice outputs for repeated high-gap patterns.</w:t>
      </w:r>
      <w:r>
        <w:rPr>
          <w:rFonts w:ascii="Times New Roman" w:hAnsi="Times New Roman" w:eastAsia="Times New Roman" w:cs="Times New Roman"/>
        </w:rPr>
      </w:r>
      <w:r>
        <w:rPr>
          <w:rFonts w:ascii="Times New Roman" w:hAnsi="Times New Roman" w:eastAsia="Times New Roman" w:cs="Times New Roman"/>
        </w:rPr>
      </w:r>
    </w:p>
    <w:p w14:paraId="234E9764">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Create automated exception queues for near-zero billing and large under-billing cases.</w:t>
      </w:r>
      <w:r>
        <w:rPr>
          <w:rFonts w:ascii="Times New Roman" w:hAnsi="Times New Roman" w:eastAsia="Times New Roman" w:cs="Times New Roman"/>
        </w:rPr>
      </w:r>
      <w:r>
        <w:rPr>
          <w:rFonts w:ascii="Times New Roman" w:hAnsi="Times New Roman" w:eastAsia="Times New Roman" w:cs="Times New Roman"/>
        </w:rPr>
      </w:r>
    </w:p>
    <w:p w14:paraId="3CBCE079">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Monitor leakage-gap totals weekly or monthly and compare them with the previous billing period to identify sudden control failures.</w:t>
      </w:r>
      <w:r>
        <w:rPr>
          <w:rFonts w:ascii="Times New Roman" w:hAnsi="Times New Roman" w:eastAsia="Times New Roman" w:cs="Times New Roman"/>
        </w:rPr>
      </w:r>
      <w:r>
        <w:rPr>
          <w:rFonts w:ascii="Times New Roman" w:hAnsi="Times New Roman" w:eastAsia="Times New Roman" w:cs="Times New Roman"/>
        </w:rPr>
      </w:r>
    </w:p>
    <w:p w14:paraId="532E3899">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Close the governance loop by recording confirmed causes and recovered revenue, then use those outcomes to recalibrate thresholds.</w:t>
      </w:r>
      <w:r>
        <w:rPr>
          <w:rFonts w:ascii="Times New Roman" w:hAnsi="Times New Roman" w:eastAsia="Times New Roman" w:cs="Times New Roman"/>
        </w:rPr>
      </w:r>
      <w:r>
        <w:rPr>
          <w:rFonts w:ascii="Times New Roman" w:hAnsi="Times New Roman" w:eastAsia="Times New Roman" w:cs="Times New Roman"/>
        </w:rPr>
      </w:r>
    </w:p>
    <w:p w14:paraId="619F1279">
      <w:pPr>
        <w:pStyle w:val="1_419"/>
        <w:widowControl w:val="true"/>
        <w:numPr>
          <w:ilvl w:val="0"/>
          <w:numId w:val="0"/>
        </w:numPr>
        <w:pBdr/>
        <w:spacing w:after="80"/>
        <w:ind w:firstLine="0" w:left="36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B415109">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Implementation / Dashboard</w:t>
      </w:r>
      <w:r>
        <w:rPr>
          <w:rFonts w:ascii="Times New Roman" w:hAnsi="Times New Roman" w:eastAsia="Times New Roman" w:cs="Times New Roman"/>
        </w:rPr>
      </w:r>
      <w:r>
        <w:rPr>
          <w:rFonts w:ascii="Times New Roman" w:hAnsi="Times New Roman" w:eastAsia="Times New Roman" w:cs="Times New Roman"/>
        </w:rPr>
      </w:r>
    </w:p>
    <w:p w14:paraId="67524D5E">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BE046A7">
      <w:pPr>
        <w:widowControl w:val="true"/>
        <w:pBdr/>
        <w:spacing/>
        <w:ind/>
        <w:jc w:val="both"/>
        <w:rPr>
          <w:rFonts w:ascii="Times New Roman" w:hAnsi="Times New Roman" w:cs="Times New Roman"/>
        </w:rPr>
      </w:pPr>
      <w:r>
        <w:rPr>
          <w:rFonts w:ascii="Times New Roman" w:hAnsi="Times New Roman" w:eastAsia="Times New Roman" w:cs="Times New Roman"/>
        </w:rPr>
        <w:t xml:space="preserve">A practical dashboard can be implemented with the same engineered fields used in this study. The first screen should show total estimated leakage, flagged records, flag rate, and the top regions or patterns by gap value. A second view should provide a cu</w:t>
      </w:r>
      <w:r>
        <w:rPr>
          <w:rFonts w:ascii="Times New Roman" w:hAnsi="Times New Roman" w:eastAsia="Times New Roman" w:cs="Times New Roman"/>
        </w:rPr>
        <w:t xml:space="preserve">stomer-level exception table with Customer_ID, Billing_Month, Plan, Expected_Charge, Billed_Amount, Leakage_Gap, Billing_Ratio, and Severity. A final trend view should allow operations teams to monitor whether leakage is decreasing after corrective action.</w:t>
      </w:r>
      <w:r>
        <w:rPr>
          <w:rFonts w:ascii="Times New Roman" w:hAnsi="Times New Roman" w:eastAsia="Times New Roman" w:cs="Times New Roman"/>
        </w:rPr>
      </w:r>
      <w:r>
        <w:rPr>
          <w:rFonts w:ascii="Times New Roman" w:hAnsi="Times New Roman" w:eastAsia="Times New Roman" w:cs="Times New Roman"/>
        </w:rPr>
      </w:r>
    </w:p>
    <w:p w14:paraId="12A5EB24">
      <w:pPr>
        <w:widowControl w:val="true"/>
        <w:pBdr/>
        <w:spacing w:after="80"/>
        <w:ind/>
        <w:jc w:val="both"/>
        <w:rPr>
          <w:rFonts w:ascii="Times New Roman" w:hAnsi="Times New Roman" w:cs="Times New Roman"/>
        </w:rPr>
      </w:pPr>
      <w:r>
        <w:rPr>
          <w:rFonts w:ascii="Times New Roman" w:hAnsi="Times New Roman" w:eastAsia="Times New Roman" w:cs="Times New Roman"/>
          <w:b/>
          <w:sz w:val="20"/>
        </w:rPr>
        <w:t xml:space="preserve">Dashboard layout: </w:t>
      </w:r>
      <w:r>
        <w:rPr>
          <w:rFonts w:ascii="Times New Roman" w:hAnsi="Times New Roman" w:eastAsia="Times New Roman" w:cs="Times New Roman"/>
          <w:sz w:val="20"/>
        </w:rPr>
        <w:t xml:space="preserve">KPI cards for potential leakage; pattern ranking for root-cause focus; regional and monthly views for concentration; and an exception table for investigator drill-down.</w:t>
      </w:r>
      <w:r>
        <w:rPr>
          <w:rFonts w:ascii="Times New Roman" w:hAnsi="Times New Roman" w:eastAsia="Times New Roman" w:cs="Times New Roman"/>
        </w:rPr>
      </w:r>
      <w:r>
        <w:rPr>
          <w:rFonts w:ascii="Times New Roman" w:hAnsi="Times New Roman" w:eastAsia="Times New Roman" w:cs="Times New Roman"/>
        </w:rPr>
      </w:r>
    </w:p>
    <w:p w14:paraId="0A24AAE6">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BA83FE6">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Results and Discussion</w:t>
      </w:r>
      <w:r>
        <w:rPr>
          <w:rFonts w:ascii="Times New Roman" w:hAnsi="Times New Roman" w:eastAsia="Times New Roman" w:cs="Times New Roman"/>
        </w:rPr>
      </w:r>
      <w:r>
        <w:rPr>
          <w:rFonts w:ascii="Times New Roman" w:hAnsi="Times New Roman" w:eastAsia="Times New Roman" w:cs="Times New Roman"/>
        </w:rPr>
      </w:r>
    </w:p>
    <w:p w14:paraId="47719F83">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260D4A7">
      <w:pPr>
        <w:widowControl w:val="true"/>
        <w:pBdr/>
        <w:spacing/>
        <w:ind/>
        <w:jc w:val="both"/>
        <w:rPr>
          <w:rFonts w:ascii="Times New Roman" w:hAnsi="Times New Roman" w:cs="Times New Roman"/>
        </w:rPr>
      </w:pPr>
      <w:r>
        <w:rPr>
          <w:rFonts w:ascii="Times New Roman" w:hAnsi="Times New Roman" w:eastAsia="Times New Roman" w:cs="Times New Roman"/>
        </w:rPr>
        <w:t xml:space="preserve">The analytical output supports the project objective: usage-to-bill reconciliation can expose material billing mismatches and convert them into an actionable exception queue. The rule-based detector identified 343 records and</w:t>
      </w:r>
      <w:r>
        <w:rPr>
          <w:rFonts w:ascii="Times New Roman" w:hAnsi="Times New Roman" w:eastAsia="Times New Roman" w:cs="Times New Roman"/>
        </w:rPr>
        <w:t xml:space="preserve"> captured 98.0% of the known leakage records in the synthetic validation set. The monetary view is equally important: the estimated aggregate gap is ₹121,591, while the severity and regional charts show that concentration matters more than raw case volume.</w:t>
      </w:r>
      <w:r>
        <w:rPr>
          <w:rFonts w:ascii="Times New Roman" w:hAnsi="Times New Roman" w:eastAsia="Times New Roman" w:cs="Times New Roman"/>
        </w:rPr>
      </w:r>
      <w:r>
        <w:rPr>
          <w:rFonts w:ascii="Times New Roman" w:hAnsi="Times New Roman" w:eastAsia="Times New Roman" w:cs="Times New Roman"/>
        </w:rPr>
      </w:r>
    </w:p>
    <w:p w14:paraId="67903C7C">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The results also demonstrate why a single KPI is not enough. A low billing ratio may indicate a configuration error, but the business consequence depends on the expected charge and the size of the gap. For th</w:t>
      </w:r>
      <w:r>
        <w:rPr>
          <w:rFonts w:ascii="Times New Roman" w:hAnsi="Times New Roman" w:eastAsia="Times New Roman" w:cs="Times New Roman"/>
        </w:rPr>
        <w:t xml:space="preserve">is reason, the project combines normalized anomaly indicators with absolute financial exposure. The approach is intentionally transparent so that an analyst can trace every alert back to the usage, expected charge, billed amount, and rule that produced it.</w:t>
      </w:r>
      <w:r>
        <w:rPr>
          <w:rFonts w:ascii="Times New Roman" w:hAnsi="Times New Roman" w:eastAsia="Times New Roman" w:cs="Times New Roman"/>
        </w:rPr>
      </w:r>
      <w:r>
        <w:rPr>
          <w:rFonts w:ascii="Times New Roman" w:hAnsi="Times New Roman" w:eastAsia="Times New Roman" w:cs="Times New Roman"/>
        </w:rPr>
      </w:r>
    </w:p>
    <w:p w14:paraId="2935E712">
      <w:pPr>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1C541A8">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Limitations</w:t>
      </w:r>
      <w:r>
        <w:rPr>
          <w:rFonts w:ascii="Times New Roman" w:hAnsi="Times New Roman" w:eastAsia="Times New Roman" w:cs="Times New Roman"/>
        </w:rPr>
      </w:r>
      <w:r>
        <w:rPr>
          <w:rFonts w:ascii="Times New Roman" w:hAnsi="Times New Roman" w:eastAsia="Times New Roman" w:cs="Times New Roman"/>
        </w:rPr>
      </w:r>
    </w:p>
    <w:p w14:paraId="7A3E3B28">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1EDE12F">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dataset is synthetic and therefore cannot reproduce every operational complexity of a live telecom billing ecosystem.</w:t>
      </w:r>
      <w:r>
        <w:rPr>
          <w:rFonts w:ascii="Times New Roman" w:hAnsi="Times New Roman" w:eastAsia="Times New Roman" w:cs="Times New Roman"/>
        </w:rPr>
      </w:r>
      <w:r>
        <w:rPr>
          <w:rFonts w:ascii="Times New Roman" w:hAnsi="Times New Roman" w:eastAsia="Times New Roman" w:cs="Times New Roman"/>
        </w:rPr>
      </w:r>
    </w:p>
    <w:p w14:paraId="750AE30A">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thresholds are illustrative and should be calibrated against confirmed historical leakage.</w:t>
      </w:r>
      <w:r>
        <w:rPr>
          <w:rFonts w:ascii="Times New Roman" w:hAnsi="Times New Roman" w:eastAsia="Times New Roman" w:cs="Times New Roman"/>
        </w:rPr>
      </w:r>
      <w:r>
        <w:rPr>
          <w:rFonts w:ascii="Times New Roman" w:hAnsi="Times New Roman" w:eastAsia="Times New Roman" w:cs="Times New Roman"/>
        </w:rPr>
      </w:r>
    </w:p>
    <w:p w14:paraId="51441AAB">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analysis does not model taxes, roaming, interconnect, bundles, complex promotions, reversals, credits, or multi-system reconciliation.</w:t>
      </w:r>
      <w:r>
        <w:rPr>
          <w:rFonts w:ascii="Times New Roman" w:hAnsi="Times New Roman" w:eastAsia="Times New Roman" w:cs="Times New Roman"/>
        </w:rPr>
      </w:r>
      <w:r>
        <w:rPr>
          <w:rFonts w:ascii="Times New Roman" w:hAnsi="Times New Roman" w:eastAsia="Times New Roman" w:cs="Times New Roman"/>
        </w:rPr>
      </w:r>
    </w:p>
    <w:p w14:paraId="35D62523">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The validation label is known only because the data are simulated; in production, labels would come from confirmed investigation outcomes.</w:t>
      </w:r>
      <w:r>
        <w:rPr>
          <w:rFonts w:ascii="Times New Roman" w:hAnsi="Times New Roman" w:eastAsia="Times New Roman" w:cs="Times New Roman"/>
        </w:rPr>
      </w:r>
      <w:r>
        <w:rPr>
          <w:rFonts w:ascii="Times New Roman" w:hAnsi="Times New Roman" w:eastAsia="Times New Roman" w:cs="Times New Roman"/>
        </w:rPr>
      </w:r>
    </w:p>
    <w:p w14:paraId="6CF8EE10">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Future Enhancements</w:t>
      </w:r>
      <w:r>
        <w:rPr>
          <w:rFonts w:ascii="Times New Roman" w:hAnsi="Times New Roman" w:eastAsia="Times New Roman" w:cs="Times New Roman"/>
        </w:rPr>
      </w:r>
      <w:r>
        <w:rPr>
          <w:rFonts w:ascii="Times New Roman" w:hAnsi="Times New Roman" w:eastAsia="Times New Roman" w:cs="Times New Roman"/>
        </w:rPr>
      </w:r>
    </w:p>
    <w:p w14:paraId="3BAECBD1">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031B0F2">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Integrate real billing, mediation, tariff, CRM, and network-usage sources with lineage controls.</w:t>
      </w:r>
      <w:r>
        <w:rPr>
          <w:rFonts w:ascii="Times New Roman" w:hAnsi="Times New Roman" w:eastAsia="Times New Roman" w:cs="Times New Roman"/>
        </w:rPr>
      </w:r>
      <w:r>
        <w:rPr>
          <w:rFonts w:ascii="Times New Roman" w:hAnsi="Times New Roman" w:eastAsia="Times New Roman" w:cs="Times New Roman"/>
        </w:rPr>
      </w:r>
    </w:p>
    <w:p w14:paraId="070E5197">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Add machine-learning ranking models such as Isolation Forest, gradient boosting, or sequence-based methods for emerging anomaly patterns.</w:t>
      </w:r>
      <w:r>
        <w:rPr>
          <w:rFonts w:ascii="Times New Roman" w:hAnsi="Times New Roman" w:eastAsia="Times New Roman" w:cs="Times New Roman"/>
        </w:rPr>
      </w:r>
      <w:r>
        <w:rPr>
          <w:rFonts w:ascii="Times New Roman" w:hAnsi="Times New Roman" w:eastAsia="Times New Roman" w:cs="Times New Roman"/>
        </w:rPr>
      </w:r>
    </w:p>
    <w:p w14:paraId="08E3B05F">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Introduce real-time or near-real-time detection so leakage can be identified before the next billing cycle.</w:t>
      </w:r>
      <w:r>
        <w:rPr>
          <w:rFonts w:ascii="Times New Roman" w:hAnsi="Times New Roman" w:eastAsia="Times New Roman" w:cs="Times New Roman"/>
        </w:rPr>
      </w:r>
      <w:r>
        <w:rPr>
          <w:rFonts w:ascii="Times New Roman" w:hAnsi="Times New Roman" w:eastAsia="Times New Roman" w:cs="Times New Roman"/>
        </w:rPr>
      </w:r>
    </w:p>
    <w:p w14:paraId="512FB4BD">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Add root-cause classification and recovered-revenue tracking to measure control effectiveness over time.</w:t>
      </w:r>
      <w:r>
        <w:rPr>
          <w:rFonts w:ascii="Times New Roman" w:hAnsi="Times New Roman" w:eastAsia="Times New Roman" w:cs="Times New Roman"/>
        </w:rPr>
      </w:r>
      <w:r>
        <w:rPr>
          <w:rFonts w:ascii="Times New Roman" w:hAnsi="Times New Roman" w:eastAsia="Times New Roman" w:cs="Times New Roman"/>
        </w:rPr>
      </w:r>
    </w:p>
    <w:p w14:paraId="00EA82B2">
      <w:pPr>
        <w:pStyle w:val="1_419"/>
        <w:widowControl w:val="true"/>
        <w:pBdr/>
        <w:spacing w:after="80"/>
        <w:ind/>
        <w:jc w:val="both"/>
        <w:rPr>
          <w:rFonts w:ascii="Times New Roman" w:hAnsi="Times New Roman" w:cs="Times New Roman"/>
        </w:rPr>
      </w:pPr>
      <w:r>
        <w:rPr>
          <w:rFonts w:ascii="Times New Roman" w:hAnsi="Times New Roman" w:eastAsia="Times New Roman" w:cs="Times New Roman"/>
        </w:rPr>
        <w:t xml:space="preserve">Deploy role-based dashboards for revenue assurance, billing operations, finance, and audit teams.</w:t>
      </w:r>
      <w:r>
        <w:rPr>
          <w:rFonts w:ascii="Times New Roman" w:hAnsi="Times New Roman" w:eastAsia="Times New Roman" w:cs="Times New Roman"/>
        </w:rPr>
      </w:r>
      <w:r>
        <w:rPr>
          <w:rFonts w:ascii="Times New Roman" w:hAnsi="Times New Roman" w:eastAsia="Times New Roman" w:cs="Times New Roman"/>
        </w:rPr>
      </w:r>
    </w:p>
    <w:p w14:paraId="3272C5C7">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Conclusion</w:t>
      </w:r>
      <w:r>
        <w:rPr>
          <w:rFonts w:ascii="Times New Roman" w:hAnsi="Times New Roman" w:eastAsia="Times New Roman" w:cs="Times New Roman"/>
        </w:rPr>
      </w:r>
      <w:r>
        <w:rPr>
          <w:rFonts w:ascii="Times New Roman" w:hAnsi="Times New Roman" w:eastAsia="Times New Roman" w:cs="Times New Roman"/>
        </w:rPr>
      </w:r>
    </w:p>
    <w:p w14:paraId="6039C443">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213F241">
      <w:pPr>
        <w:widowControl w:val="true"/>
        <w:pBdr/>
        <w:spacing/>
        <w:ind/>
        <w:jc w:val="both"/>
        <w:rPr>
          <w:rFonts w:ascii="Times New Roman" w:hAnsi="Times New Roman" w:cs="Times New Roman"/>
          <w:highlight w:val="none"/>
        </w:rPr>
      </w:pPr>
      <w:r>
        <w:rPr>
          <w:rFonts w:ascii="Times New Roman" w:hAnsi="Times New Roman" w:eastAsia="Times New Roman" w:cs="Times New Roman"/>
        </w:rPr>
        <w:t xml:space="preserve">This project demonstrates a practical and explainable approach to telecom revenue-leakage detection. By reconciling expected charges with billed amounts, transforming the mismatch into billing ratios and monetary gaps, and rank</w:t>
      </w:r>
      <w:r>
        <w:rPr>
          <w:rFonts w:ascii="Times New Roman" w:hAnsi="Times New Roman" w:eastAsia="Times New Roman" w:cs="Times New Roman"/>
        </w:rPr>
        <w:t xml:space="preserve">ing exceptions by severity, the analysis turns a large billing dataset into a focused investigation workflow. The synthetic validation shows that the approach can recover known leakage patterns with strong interpretability, while the visual and business la</w:t>
      </w:r>
      <w:r>
        <w:rPr>
          <w:rFonts w:ascii="Times New Roman" w:hAnsi="Times New Roman" w:eastAsia="Times New Roman" w:cs="Times New Roman"/>
        </w:rPr>
        <w:t xml:space="preserve">yers make the results easier to act on. The next step for a real organization would be calibration on historical confirmed cases and integration with billing-control processes so that detected leakage can be corrected and recovered revenue can be measured.</w:t>
      </w:r>
      <w:r>
        <w:rPr>
          <w:rFonts w:ascii="Times New Roman" w:hAnsi="Times New Roman" w:eastAsia="Times New Roman" w:cs="Times New Roman"/>
        </w:rPr>
      </w:r>
      <w:r>
        <w:rPr>
          <w:rFonts w:ascii="Times New Roman" w:hAnsi="Times New Roman" w:eastAsia="Times New Roman" w:cs="Times New Roman"/>
        </w:rPr>
      </w:r>
    </w:p>
    <w:p w14:paraId="7B882524">
      <w:pPr>
        <w:pStyle w:val="777"/>
        <w:keepNext w:val="true"/>
        <w:widowControl w:val="true"/>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BE40237">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Tools and Technologies Used</w:t>
      </w:r>
      <w:r>
        <w:rPr>
          <w:rFonts w:ascii="Times New Roman" w:hAnsi="Times New Roman" w:eastAsia="Times New Roman" w:cs="Times New Roman"/>
        </w:rPr>
      </w:r>
      <w:r>
        <w:rPr>
          <w:rFonts w:ascii="Times New Roman" w:hAnsi="Times New Roman" w:eastAsia="Times New Roman" w:cs="Times New Roman"/>
          <w:highlight w:val="none"/>
        </w:rPr>
      </w:r>
    </w:p>
    <w:p w14:paraId="27BEE9AB">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tblStyle w:val="12"/>
        <w:jc w:val="center"/>
        <w:tblW w:w="0" w:type="auto"/>
        <w:tblBorders/>
        <w:tblLook w:val="04A0" w:firstRow="1" w:lastRow="0" w:firstColumn="1" w:lastColumn="0" w:noHBand="0" w:noVBand="1"/>
      </w:tblPr>
      <w:tblGrid>
        <w:gridCol w:w="4873"/>
        <w:gridCol w:w="4873"/>
      </w:tblGrid>
      <w:tr>
        <w:trPr>
          <w:trHeight w:val="312"/>
        </w:trPr>
        <w:tc>
          <w:tcPr>
            <w:shd w:val="clear" w:color="ffffff" w:fill="17365d"/>
            <w:tcBorders/>
            <w:tcW w:w="4873" w:type="dxa"/>
            <w:vAlign w:val="center"/>
          </w:tcPr>
          <w:p w14:paraId="64CB6214">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Tool / Technology</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17365d"/>
            <w:tcBorders/>
            <w:tcW w:w="4873" w:type="dxa"/>
            <w:vAlign w:val="center"/>
          </w:tcPr>
          <w:p w14:paraId="00455159">
            <w:pPr>
              <w:pBdr/>
              <w:spacing w:after="20"/>
              <w:ind/>
              <w:jc w:val="both"/>
              <w:rPr>
                <w:rFonts w:ascii="Times New Roman" w:hAnsi="Times New Roman" w:cs="Times New Roman"/>
              </w:rPr>
            </w:pPr>
            <w:r>
              <w:rPr>
                <w:rFonts w:ascii="Times New Roman" w:hAnsi="Times New Roman" w:eastAsia="Times New Roman" w:cs="Times New Roman"/>
                <w:b/>
                <w:color w:val="ffffff"/>
                <w:sz w:val="18"/>
              </w:rPr>
              <w:t xml:space="preserve">Purpose</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68F5D8B5">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Python</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2BACF31D">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Data generation, preprocessing, analysis, and automation</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51D7A7EF">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Pandas</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6467678C">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Data manipulation and aggregation</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5C8856C0">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NumPy</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6B10D5A9">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Numerical simulation and calculations</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fffff"/>
            <w:tcBorders/>
            <w:tcW w:w="4873" w:type="dxa"/>
            <w:vAlign w:val="center"/>
          </w:tcPr>
          <w:p w14:paraId="00470AE4">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Matplotlib</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cW w:w="4873" w:type="dxa"/>
            <w:vAlign w:val="center"/>
          </w:tcPr>
          <w:p w14:paraId="065D22B8">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Charts and visualization</w:t>
            </w:r>
            <w:r>
              <w:rPr>
                <w:rFonts w:ascii="Times New Roman" w:hAnsi="Times New Roman" w:eastAsia="Times New Roman" w:cs="Times New Roman"/>
              </w:rPr>
            </w:r>
            <w:r>
              <w:rPr>
                <w:rFonts w:ascii="Times New Roman" w:hAnsi="Times New Roman" w:eastAsia="Times New Roman" w:cs="Times New Roman"/>
              </w:rPr>
            </w:r>
          </w:p>
        </w:tc>
      </w:tr>
      <w:tr>
        <w:trPr>
          <w:trHeight w:val="312"/>
        </w:trPr>
        <w:tc>
          <w:tcPr>
            <w:shd w:val="clear" w:color="ffffff" w:fill="f5f8fc"/>
            <w:tcBorders/>
            <w:tcW w:w="4873" w:type="dxa"/>
            <w:vAlign w:val="center"/>
          </w:tcPr>
          <w:p w14:paraId="104743CA">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Microsoft Word / DOCX</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5f8fc"/>
            <w:tcBorders/>
            <w:tcW w:w="4873" w:type="dxa"/>
            <w:vAlign w:val="center"/>
          </w:tcPr>
          <w:p w14:paraId="6FC6F94F">
            <w:pPr>
              <w:pBdr/>
              <w:spacing w:after="20"/>
              <w:ind/>
              <w:jc w:val="both"/>
              <w:rPr>
                <w:rFonts w:ascii="Times New Roman" w:hAnsi="Times New Roman" w:cs="Times New Roman"/>
              </w:rPr>
            </w:pPr>
            <w:r>
              <w:rPr>
                <w:rFonts w:ascii="Times New Roman" w:hAnsi="Times New Roman" w:eastAsia="Times New Roman" w:cs="Times New Roman"/>
                <w:b w:val="0"/>
                <w:color w:val="222222"/>
                <w:sz w:val="18"/>
              </w:rPr>
              <w:t xml:space="preserve">Report presentation and documentation</w:t>
            </w:r>
            <w:r>
              <w:rPr>
                <w:rFonts w:ascii="Times New Roman" w:hAnsi="Times New Roman" w:eastAsia="Times New Roman" w:cs="Times New Roman"/>
              </w:rPr>
            </w:r>
            <w:r>
              <w:rPr>
                <w:rFonts w:ascii="Times New Roman" w:hAnsi="Times New Roman" w:eastAsia="Times New Roman" w:cs="Times New Roman"/>
              </w:rPr>
            </w:r>
          </w:p>
        </w:tc>
      </w:tr>
    </w:tbl>
    <w:p w14:paraId="5EF19BD2">
      <w:pPr>
        <w:widowControl w:val="true"/>
        <w:pBdr/>
        <w:spacing w:after="4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7B1AACD">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 Project / GitHub Link</w:t>
      </w:r>
      <w:r>
        <w:rPr>
          <w:rFonts w:ascii="Times New Roman" w:hAnsi="Times New Roman" w:eastAsia="Times New Roman" w:cs="Times New Roman"/>
        </w:rPr>
      </w:r>
      <w:r>
        <w:rPr>
          <w:rFonts w:ascii="Times New Roman" w:hAnsi="Times New Roman" w:eastAsia="Times New Roman" w:cs="Times New Roman"/>
        </w:rPr>
      </w:r>
    </w:p>
    <w:p w14:paraId="382E70C8">
      <w:pPr>
        <w:pStyle w:val="777"/>
        <w:keepNext w:val="true"/>
        <w:widowControl w:val="true"/>
        <w:pBdr/>
        <w:spacing/>
        <w:ind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9EC242E">
      <w:pPr>
        <w:pStyle w:val="777"/>
        <w:keepNext w:val="true"/>
        <w:widowControl w:val="true"/>
        <w:pBdr/>
        <w:spacing/>
        <w:ind w:left="0"/>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hyperlink r:id="rId18" w:tooltip="https://github.com/Harikrishnan-web/Sem-5-HK-Notes/tree/main/BA/Miniproject" w:history="1">
        <w:r>
          <w:rPr>
            <w:rStyle w:val="187"/>
            <w:rFonts w:ascii="Times New Roman" w:hAnsi="Times New Roman" w:eastAsia="Times New Roman" w:cs="Times New Roman"/>
            <w:sz w:val="24"/>
            <w:szCs w:val="24"/>
            <w:highlight w:val="none"/>
          </w:rPr>
        </w:r>
        <w:r>
          <w:rPr>
            <w:rStyle w:val="187"/>
            <w:rFonts w:ascii="Times New Roman" w:hAnsi="Times New Roman" w:eastAsia="Times New Roman" w:cs="Times New Roman"/>
            <w:sz w:val="24"/>
            <w:szCs w:val="24"/>
            <w:highlight w:val="none"/>
          </w:rPr>
          <w:t xml:space="preserve">https://github.com/Harikrishnan-web/Sem-5-HK-Notes/tree/main/BA/Miniproject</w:t>
        </w:r>
        <w:r>
          <w:rPr>
            <w:rStyle w:val="187"/>
            <w:rFonts w:ascii="Times New Roman" w:hAnsi="Times New Roman" w:eastAsia="Times New Roman" w:cs="Times New Roman"/>
            <w:sz w:val="24"/>
            <w:szCs w:val="24"/>
            <w:highlight w:val="none"/>
          </w:rPr>
        </w:r>
        <w:r>
          <w:rPr>
            <w:rStyle w:val="187"/>
            <w:rFonts w:ascii="Times New Roman" w:hAnsi="Times New Roman" w:eastAsia="Times New Roman" w:cs="Times New Roman"/>
            <w:sz w:val="24"/>
            <w:szCs w:val="24"/>
            <w:highlight w:val="none"/>
          </w:rPr>
        </w:r>
        <w:r>
          <w:rPr>
            <w:rStyle w:val="187"/>
            <w:rFonts w:ascii="Times New Roman" w:hAnsi="Times New Roman" w:eastAsia="Times New Roman" w:cs="Times New Roman"/>
            <w:sz w:val="24"/>
            <w:szCs w:val="24"/>
            <w:highlight w:val="none"/>
          </w:rPr>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1175E994">
      <w:pPr>
        <w:pStyle w:val="777"/>
        <w:keepNext w:val="true"/>
        <w:widowControl w:val="true"/>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FF4CFF3">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rPr>
        <w:t xml:space="preserve">References</w:t>
      </w:r>
      <w:r>
        <w:rPr>
          <w:rFonts w:ascii="Times New Roman" w:hAnsi="Times New Roman" w:eastAsia="Times New Roman" w:cs="Times New Roman"/>
        </w:rPr>
      </w:r>
      <w:r>
        <w:rPr>
          <w:rFonts w:ascii="Times New Roman" w:hAnsi="Times New Roman" w:eastAsia="Times New Roman" w:cs="Times New Roman"/>
          <w:highlight w:val="none"/>
        </w:rPr>
      </w:r>
    </w:p>
    <w:p w14:paraId="5029769F">
      <w:pPr>
        <w:pStyle w:val="777"/>
        <w:keepNext w:val="true"/>
        <w:widowControl w:val="true"/>
        <w:pBdr/>
        <w:spacing/>
        <w:ind w:left="0"/>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07BD17C">
      <w:pPr>
        <w:widowControl w:val="true"/>
        <w:pBdr/>
        <w:spacing w:after="20"/>
        <w:ind w:hanging="283" w:left="283"/>
        <w:jc w:val="both"/>
        <w:rPr>
          <w:rFonts w:ascii="Times New Roman" w:hAnsi="Times New Roman" w:cs="Times New Roman"/>
        </w:rPr>
      </w:pPr>
      <w:r>
        <w:rPr>
          <w:rFonts w:ascii="Times New Roman" w:hAnsi="Times New Roman" w:eastAsia="Times New Roman" w:cs="Times New Roman"/>
        </w:rPr>
        <w:t xml:space="preserve">Pandas Development Team. (2025). Pandas documentation. https://pandas.pydata.org/docs/</w:t>
      </w:r>
      <w:r>
        <w:rPr>
          <w:rFonts w:ascii="Times New Roman" w:hAnsi="Times New Roman" w:eastAsia="Times New Roman" w:cs="Times New Roman"/>
        </w:rPr>
      </w:r>
      <w:r>
        <w:rPr>
          <w:rFonts w:ascii="Times New Roman" w:hAnsi="Times New Roman" w:eastAsia="Times New Roman" w:cs="Times New Roman"/>
        </w:rPr>
      </w:r>
    </w:p>
    <w:p w14:paraId="1167A7DD">
      <w:pPr>
        <w:widowControl w:val="true"/>
        <w:pBdr/>
        <w:spacing w:after="20"/>
        <w:ind w:hanging="283" w:left="283"/>
        <w:jc w:val="both"/>
        <w:rPr>
          <w:rFonts w:ascii="Times New Roman" w:hAnsi="Times New Roman" w:cs="Times New Roman"/>
        </w:rPr>
      </w:pPr>
      <w:r>
        <w:rPr>
          <w:rFonts w:ascii="Times New Roman" w:hAnsi="Times New Roman" w:eastAsia="Times New Roman" w:cs="Times New Roman"/>
        </w:rPr>
        <w:t xml:space="preserve">NumPy Developers. (2025). NumPy documentation. https://numpy.org/doc/</w:t>
      </w:r>
      <w:r>
        <w:rPr>
          <w:rFonts w:ascii="Times New Roman" w:hAnsi="Times New Roman" w:eastAsia="Times New Roman" w:cs="Times New Roman"/>
        </w:rPr>
      </w:r>
      <w:r>
        <w:rPr>
          <w:rFonts w:ascii="Times New Roman" w:hAnsi="Times New Roman" w:eastAsia="Times New Roman" w:cs="Times New Roman"/>
        </w:rPr>
      </w:r>
    </w:p>
    <w:p w14:paraId="5B8E91B5">
      <w:pPr>
        <w:widowControl w:val="true"/>
        <w:pBdr/>
        <w:spacing w:after="20"/>
        <w:ind w:hanging="283" w:left="283"/>
        <w:jc w:val="both"/>
        <w:rPr>
          <w:rFonts w:ascii="Times New Roman" w:hAnsi="Times New Roman" w:cs="Times New Roman"/>
        </w:rPr>
      </w:pPr>
      <w:r>
        <w:rPr>
          <w:rFonts w:ascii="Times New Roman" w:hAnsi="Times New Roman" w:eastAsia="Times New Roman" w:cs="Times New Roman"/>
        </w:rPr>
        <w:t xml:space="preserve">Matplotlib Development Team. (2025). Matplotlib documentation. https://matplotlib.org/stable/</w:t>
      </w:r>
      <w:r>
        <w:rPr>
          <w:rFonts w:ascii="Times New Roman" w:hAnsi="Times New Roman" w:eastAsia="Times New Roman" w:cs="Times New Roman"/>
        </w:rPr>
      </w:r>
      <w:r>
        <w:rPr>
          <w:rFonts w:ascii="Times New Roman" w:hAnsi="Times New Roman" w:eastAsia="Times New Roman" w:cs="Times New Roman"/>
        </w:rPr>
      </w:r>
    </w:p>
    <w:p w14:paraId="10E76AB4">
      <w:pPr>
        <w:widowControl w:val="true"/>
        <w:pBdr/>
        <w:spacing w:after="20"/>
        <w:ind w:hanging="283" w:left="283"/>
        <w:jc w:val="both"/>
        <w:rPr>
          <w:rFonts w:ascii="Times New Roman" w:hAnsi="Times New Roman" w:cs="Times New Roman"/>
        </w:rPr>
      </w:pPr>
      <w:r>
        <w:rPr>
          <w:rFonts w:ascii="Times New Roman" w:hAnsi="Times New Roman" w:eastAsia="Times New Roman" w:cs="Times New Roman"/>
        </w:rPr>
        <w:t xml:space="preserve">Python Software Foundation. (2025). Python 3 documentation. https://docs.python.org/3/</w:t>
      </w:r>
      <w:r>
        <w:rPr>
          <w:rFonts w:ascii="Times New Roman" w:hAnsi="Times New Roman" w:eastAsia="Times New Roman" w:cs="Times New Roman"/>
        </w:rPr>
      </w:r>
      <w:r>
        <w:rPr>
          <w:rFonts w:ascii="Times New Roman" w:hAnsi="Times New Roman" w:eastAsia="Times New Roman" w:cs="Times New Roman"/>
        </w:rPr>
      </w:r>
    </w:p>
    <w:p w14:paraId="115181B4">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sectPr>
      <w:headerReference w:type="default" r:id="rId9"/>
      <w:footerReference w:type="default" r:id="rId10"/>
      <w:footnotePr/>
      <w:endnotePr/>
      <w:type w:val="nextPage"/>
      <w:pgSz w:h="15840" w:orient="portrait" w:w="12240"/>
      <w:pgMar w:top="1360" w:right="1080" w:bottom="960" w:left="1080" w:header="771" w:footer="760" w:gutter="0"/>
      <w:pgBorders w:display="allPages" w:offsetFrom="page" w:zOrder="front">
        <w:bottom w:color="000000" w:space="24" w:sz="4" w:val="single"/>
        <w:left w:color="000000" w:space="24" w:sz="4" w:val="single"/>
        <w:right w:color="000000" w:space="24" w:sz="4" w:val="single"/>
        <w:top w:color="000000" w:space="24" w:sz="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Wingdings">
    <w:panose1 w:val="05000000000000000000"/>
  </w:font>
  <w:font w:name="Calibri">
    <w:panose1 w:val="020F0502020204030204"/>
  </w:font>
  <w:font w:name="Aptos">
    <w:panose1 w:val="020B0004020202020204"/>
  </w:font>
  <w:font w:name="Cambria">
    <w:panose1 w:val="02040503050406030204"/>
  </w:font>
  <w:font w:name="Times New Roman">
    <w:panose1 w:val="020206030504050203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2"/>
      <w:pBdr/>
      <w:spacing w:line="14" w:lineRule="auto"/>
      <w:ind/>
      <w:rPr>
        <w:sz w:val="20"/>
      </w:rPr>
    </w:pPr>
    <w:r>
      <w:rPr>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463936" behindDoc="1" locked="0" layoutInCell="1" allowOverlap="1">
              <wp:simplePos x="0" y="0"/>
              <wp:positionH relativeFrom="page">
                <wp:posOffset>902017</wp:posOffset>
              </wp:positionH>
              <wp:positionV relativeFrom="page">
                <wp:posOffset>9436100</wp:posOffset>
              </wp:positionV>
              <wp:extent cx="102870" cy="177800"/>
              <wp:effectExtent l="0" t="0" r="0" b="0"/>
              <wp:wrapNone/>
              <wp:docPr id="2" name="Textbox 3"/>
              <wp:cNvGraphicFramePr/>
              <a:graphic xmlns:a="http://schemas.openxmlformats.org/drawingml/2006/main">
                <a:graphicData uri="http://schemas.microsoft.com/office/word/2010/wordprocessingShape">
                  <wps:wsp>
                    <wps:cNvPr id="0" name=""/>
                    <wps:cNvSpPr txBox="1"/>
                    <wps:spPr bwMode="auto">
                      <a:xfrm>
                        <a:off x="0" y="0"/>
                        <a:ext cx="102870" cy="177800"/>
                      </a:xfrm>
                      <a:prstGeom prst="rect">
                        <a:avLst/>
                      </a:prstGeom>
                    </wps:spPr>
                    <wps:txbx>
                      <w:txbxContent>
                        <w:p>
                          <w:pPr>
                            <w:pStyle w:val="782"/>
                            <w:pBdr/>
                            <w:spacing w:line="264" w:lineRule="exact"/>
                            <w:ind w:left="20"/>
                            <w:rPr>
                              <w:rFonts w:ascii="Calibri"/>
                            </w:rPr>
                          </w:pPr>
                          <w:r>
                            <w:rPr>
                              <w:rFonts w:ascii="Calibri"/>
                            </w:rPr>
                          </w:r>
                          <w:r>
                            <w:rPr>
                              <w:rFonts w:ascii="Calibri"/>
                            </w:rPr>
                          </w:r>
                        </w:p>
                      </w:txbxContent>
                    </wps:txbx>
                    <wps:bodyPr wrap="square" lIns="0" tIns="0" rIns="0" bIns="0" rtlCol="0">
                      <a:noAutofit/>
                    </wps:bodyPr>
                  </wps:wsp>
                </a:graphicData>
              </a:graphic>
            </wp:anchor>
          </w:drawing>
        </mc:Choice>
        <mc:Fallback>
          <w:pict>
            <v:shape id="shape 1" o:spid="_x0000_s1" o:spt="202" type="#_x0000_t202" style="position:absolute;z-index:-487463936;o:allowoverlap:true;o:allowincell:true;mso-position-horizontal-relative:page;margin-left:71.02pt;mso-position-horizontal:absolute;mso-position-vertical-relative:page;margin-top:743.00pt;mso-position-vertical:absolute;width:8.10pt;height:14.00pt;mso-wrap-distance-left:0.00pt;mso-wrap-distance-top:0.00pt;mso-wrap-distance-right:0.00pt;mso-wrap-distance-bottom:0.00pt;visibility:visible;" filled="f">
              <v:textbox inset="0,0,0,0">
                <w:txbxContent>
                  <w:p>
                    <w:pPr>
                      <w:pStyle w:val="782"/>
                      <w:pBdr/>
                      <w:spacing w:line="264" w:lineRule="exact"/>
                      <w:ind w:left="20"/>
                      <w:rPr>
                        <w:rFonts w:ascii="Calibri"/>
                      </w:rPr>
                    </w:pPr>
                    <w:r>
                      <w:rPr>
                        <w:rFonts w:ascii="Calibri"/>
                      </w:rPr>
                    </w:r>
                    <w:r>
                      <w:rPr>
                        <w:rFonts w:ascii="Calibri"/>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2"/>
      <w:pBdr/>
      <w:spacing w:line="14" w:lineRule="auto"/>
      <w:ind/>
      <w:rPr>
        <w:sz w:val="20"/>
      </w:rPr>
    </w:pPr>
    <w:r>
      <w:rPr>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463424" behindDoc="1" locked="0" layoutInCell="1" allowOverlap="1">
              <wp:simplePos x="0" y="0"/>
              <wp:positionH relativeFrom="page">
                <wp:posOffset>5479034</wp:posOffset>
              </wp:positionH>
              <wp:positionV relativeFrom="page">
                <wp:posOffset>476630</wp:posOffset>
              </wp:positionV>
              <wp:extent cx="1390015" cy="177800"/>
              <wp:effectExtent l="0" t="0" r="0" b="0"/>
              <wp:wrapNone/>
              <wp:docPr id="1" name="Textbox 2"/>
              <wp:cNvGraphicFramePr/>
              <a:graphic xmlns:a="http://schemas.openxmlformats.org/drawingml/2006/main">
                <a:graphicData uri="http://schemas.microsoft.com/office/word/2010/wordprocessingShape">
                  <wps:wsp>
                    <wps:cNvPr id="0" name=""/>
                    <wps:cNvSpPr txBox="1"/>
                    <wps:spPr bwMode="auto">
                      <a:xfrm>
                        <a:off x="0" y="0"/>
                        <a:ext cx="1390015" cy="177800"/>
                      </a:xfrm>
                      <a:prstGeom prst="rect">
                        <a:avLst/>
                      </a:prstGeom>
                    </wps:spPr>
                    <wps:txbx>
                      <w:txbxContent>
                        <w:p>
                          <w:pPr>
                            <w:pStyle w:val="782"/>
                            <w:pBdr/>
                            <w:spacing w:line="264" w:lineRule="exact"/>
                            <w:ind/>
                            <w:rPr>
                              <w:rFonts w:ascii="Calibri"/>
                            </w:rPr>
                          </w:pPr>
                          <w:r>
                            <w:rPr>
                              <w:rFonts w:ascii="Calibri"/>
                            </w:rPr>
                          </w:r>
                          <w:r>
                            <w:rPr>
                              <w:rFonts w:ascii="Calibri"/>
                            </w:rPr>
                          </w:r>
                        </w:p>
                      </w:txbxContent>
                    </wps:txbx>
                    <wps:bodyPr wrap="square" lIns="0" tIns="0" rIns="0" bIns="0" rtlCol="0">
                      <a:noAutofit/>
                    </wps:bodyPr>
                  </wps:wsp>
                </a:graphicData>
              </a:graphic>
            </wp:anchor>
          </w:drawing>
        </mc:Choice>
        <mc:Fallback>
          <w:pict>
            <v:shape id="shape 0" o:spid="_x0000_s0" o:spt="202" type="#_x0000_t202" style="position:absolute;z-index:-487463424;o:allowoverlap:true;o:allowincell:true;mso-position-horizontal-relative:page;margin-left:431.42pt;mso-position-horizontal:absolute;mso-position-vertical-relative:page;margin-top:37.53pt;mso-position-vertical:absolute;width:109.45pt;height:14.00pt;mso-wrap-distance-left:0.00pt;mso-wrap-distance-top:0.00pt;mso-wrap-distance-right:0.00pt;mso-wrap-distance-bottom:0.00pt;visibility:visible;" filled="f">
              <v:textbox inset="0,0,0,0">
                <w:txbxContent>
                  <w:p>
                    <w:pPr>
                      <w:pStyle w:val="782"/>
                      <w:pBdr/>
                      <w:spacing w:line="264" w:lineRule="exact"/>
                      <w:ind/>
                      <w:rPr>
                        <w:rFonts w:ascii="Calibri"/>
                      </w:rPr>
                    </w:pPr>
                    <w:r>
                      <w:rPr>
                        <w:rFonts w:ascii="Calibri"/>
                      </w:rPr>
                    </w:r>
                    <w:r>
                      <w:rPr>
                        <w:rFonts w:ascii="Calibri"/>
                      </w:rPr>
                    </w:r>
                  </w:p>
                </w:txbxContent>
              </v:textbox>
            </v:shape>
          </w:pict>
        </mc:Fallback>
      </mc:AlternateContent>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83FBB"/>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
    <w:nsid w:val="1E3B6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41FF2194"/>
    <w:lvl w:ilvl="0">
      <w:isLgl w:val="false"/>
      <w:lvlJc w:val="left"/>
      <w:lvlText w:val=""/>
      <w:numFmt w:val="bullet"/>
      <w:pPr>
        <w:pBdr/>
        <w:spacing/>
        <w:ind w:hanging="360" w:left="1801"/>
      </w:pPr>
      <w:rPr>
        <w:rFonts w:hint="default" w:ascii="Wingdings" w:hAnsi="Wingdings" w:eastAsia="Wingdings" w:cs="Wingdings"/>
        <w:b w:val="0"/>
        <w:bCs w:val="0"/>
        <w:i w:val="0"/>
        <w:iCs w:val="0"/>
        <w:spacing w:val="0"/>
        <w:sz w:val="24"/>
        <w:szCs w:val="24"/>
        <w:lang w:val="en-US" w:eastAsia="en-US" w:bidi="ar-SA"/>
      </w:rPr>
      <w:start w:val="0"/>
      <w:suff w:val="tab"/>
    </w:lvl>
    <w:lvl w:ilvl="1">
      <w:isLgl w:val="false"/>
      <w:lvlJc w:val="left"/>
      <w:lvlText w:val="•"/>
      <w:numFmt w:val="bullet"/>
      <w:pPr>
        <w:pBdr/>
        <w:spacing/>
        <w:ind w:hanging="360" w:left="2628"/>
      </w:pPr>
      <w:rPr>
        <w:rFonts w:hint="default"/>
        <w:lang w:val="en-US" w:eastAsia="en-US" w:bidi="ar-SA"/>
      </w:rPr>
      <w:start w:val="0"/>
      <w:suff w:val="tab"/>
    </w:lvl>
    <w:lvl w:ilvl="2">
      <w:isLgl w:val="false"/>
      <w:lvlJc w:val="left"/>
      <w:lvlText w:val="•"/>
      <w:numFmt w:val="bullet"/>
      <w:pPr>
        <w:pBdr/>
        <w:spacing/>
        <w:ind w:hanging="360" w:left="3456"/>
      </w:pPr>
      <w:rPr>
        <w:rFonts w:hint="default"/>
        <w:lang w:val="en-US" w:eastAsia="en-US" w:bidi="ar-SA"/>
      </w:rPr>
      <w:start w:val="0"/>
      <w:suff w:val="tab"/>
    </w:lvl>
    <w:lvl w:ilvl="3">
      <w:isLgl w:val="false"/>
      <w:lvlJc w:val="left"/>
      <w:lvlText w:val="•"/>
      <w:numFmt w:val="bullet"/>
      <w:pPr>
        <w:pBdr/>
        <w:spacing/>
        <w:ind w:hanging="360" w:left="4284"/>
      </w:pPr>
      <w:rPr>
        <w:rFonts w:hint="default"/>
        <w:lang w:val="en-US" w:eastAsia="en-US" w:bidi="ar-SA"/>
      </w:rPr>
      <w:start w:val="0"/>
      <w:suff w:val="tab"/>
    </w:lvl>
    <w:lvl w:ilvl="4">
      <w:isLgl w:val="false"/>
      <w:lvlJc w:val="left"/>
      <w:lvlText w:val="•"/>
      <w:numFmt w:val="bullet"/>
      <w:pPr>
        <w:pBdr/>
        <w:spacing/>
        <w:ind w:hanging="360" w:left="5112"/>
      </w:pPr>
      <w:rPr>
        <w:rFonts w:hint="default"/>
        <w:lang w:val="en-US" w:eastAsia="en-US" w:bidi="ar-SA"/>
      </w:rPr>
      <w:start w:val="0"/>
      <w:suff w:val="tab"/>
    </w:lvl>
    <w:lvl w:ilvl="5">
      <w:isLgl w:val="false"/>
      <w:lvlJc w:val="left"/>
      <w:lvlText w:val="•"/>
      <w:numFmt w:val="bullet"/>
      <w:pPr>
        <w:pBdr/>
        <w:spacing/>
        <w:ind w:hanging="360" w:left="5940"/>
      </w:pPr>
      <w:rPr>
        <w:rFonts w:hint="default"/>
        <w:lang w:val="en-US" w:eastAsia="en-US" w:bidi="ar-SA"/>
      </w:rPr>
      <w:start w:val="0"/>
      <w:suff w:val="tab"/>
    </w:lvl>
    <w:lvl w:ilvl="6">
      <w:isLgl w:val="false"/>
      <w:lvlJc w:val="left"/>
      <w:lvlText w:val="•"/>
      <w:numFmt w:val="bullet"/>
      <w:pPr>
        <w:pBdr/>
        <w:spacing/>
        <w:ind w:hanging="360" w:left="6768"/>
      </w:pPr>
      <w:rPr>
        <w:rFonts w:hint="default"/>
        <w:lang w:val="en-US" w:eastAsia="en-US" w:bidi="ar-SA"/>
      </w:rPr>
      <w:start w:val="0"/>
      <w:suff w:val="tab"/>
    </w:lvl>
    <w:lvl w:ilvl="7">
      <w:isLgl w:val="false"/>
      <w:lvlJc w:val="left"/>
      <w:lvlText w:val="•"/>
      <w:numFmt w:val="bullet"/>
      <w:pPr>
        <w:pBdr/>
        <w:spacing/>
        <w:ind w:hanging="360" w:left="7596"/>
      </w:pPr>
      <w:rPr>
        <w:rFonts w:hint="default"/>
        <w:lang w:val="en-US" w:eastAsia="en-US" w:bidi="ar-SA"/>
      </w:rPr>
      <w:start w:val="0"/>
      <w:suff w:val="tab"/>
    </w:lvl>
    <w:lvl w:ilvl="8">
      <w:isLgl w:val="false"/>
      <w:lvlJc w:val="left"/>
      <w:lvlText w:val="•"/>
      <w:numFmt w:val="bullet"/>
      <w:pPr>
        <w:pBdr/>
        <w:spacing/>
        <w:ind w:hanging="360" w:left="8424"/>
      </w:pPr>
      <w:rPr>
        <w:rFonts w:hint="default"/>
        <w:lang w:val="en-US" w:eastAsia="en-US" w:bidi="ar-SA"/>
      </w:rPr>
      <w:start w:val="0"/>
      <w:suff w:val="tab"/>
    </w:lvl>
  </w:abstractNum>
  <w:abstractNum w:abstractNumId="3">
    <w:nsid w:val="56053777"/>
    <w:lvl w:ilvl="0">
      <w:isLgl w:val="false"/>
      <w:lvlJc w:val="left"/>
      <w:lvlText w:val=""/>
      <w:numFmt w:val="bullet"/>
      <w:pPr>
        <w:pBdr/>
        <w:spacing/>
        <w:ind w:hanging="360" w:left="2160"/>
      </w:pPr>
      <w:rPr>
        <w:rFonts w:hint="default" w:ascii="Wingdings" w:hAnsi="Wingdings"/>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4">
    <w:nsid w:val="5ECE6183"/>
    <w:lvl w:ilvl="0">
      <w:isLgl w:val="false"/>
      <w:lvlJc w:val="left"/>
      <w:lvlText w:val=""/>
      <w:numFmt w:val="bullet"/>
      <w:pPr>
        <w:pBdr/>
        <w:spacing/>
        <w:ind w:hanging="360" w:left="2160"/>
      </w:pPr>
      <w:rPr>
        <w:rFonts w:hint="default" w:ascii="Wingdings" w:hAnsi="Wingdings"/>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5">
    <w:nsid w:val="7951755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7B7E734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7D557992"/>
    <w:lvl w:ilvl="0">
      <w:isLgl w:val="false"/>
      <w:lvlJc w:val="left"/>
      <w:lvlText w:val="%1."/>
      <w:numFmt w:val="decimal"/>
      <w:pPr>
        <w:pBdr/>
        <w:tabs>
          <w:tab w:val="num" w:leader="none" w:pos="720"/>
        </w:tabs>
        <w:spacing/>
        <w:ind w:hanging="360" w:left="720"/>
      </w:pPr>
      <w:rPr/>
      <w:start w:val="1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2"/>
  </w:num>
  <w:num w:numId="2">
    <w:abstractNumId w:val="5"/>
  </w:num>
  <w:num w:numId="3">
    <w:abstractNumId w:val="6"/>
  </w:num>
  <w:num w:numId="4">
    <w:abstractNumId w:val="1"/>
  </w:num>
  <w:num w:numId="5">
    <w:abstractNumId w:val="7"/>
  </w:num>
  <w:num w:numId="6">
    <w:abstractNumId w:val="3"/>
  </w:num>
  <w:num w:numId="7">
    <w:abstractNumId w:val="4"/>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8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76"/>
    <w:next w:val="77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76"/>
    <w:next w:val="77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6"/>
    <w:next w:val="77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6"/>
    <w:next w:val="77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6"/>
    <w:next w:val="77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6"/>
    <w:next w:val="77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6"/>
    <w:next w:val="77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9"/>
    <w:link w:val="777"/>
    <w:uiPriority w:val="9"/>
    <w:pPr>
      <w:pBdr/>
      <w:spacing/>
      <w:ind/>
    </w:pPr>
    <w:rPr>
      <w:rFonts w:ascii="Arial" w:hAnsi="Arial" w:eastAsia="Arial" w:cs="Arial"/>
      <w:color w:val="0f4761" w:themeColor="accent1" w:themeShade="BF"/>
      <w:sz w:val="40"/>
      <w:szCs w:val="40"/>
    </w:rPr>
  </w:style>
  <w:style w:type="character" w:styleId="151">
    <w:name w:val="Heading 2 Char"/>
    <w:basedOn w:val="779"/>
    <w:link w:val="778"/>
    <w:uiPriority w:val="9"/>
    <w:pPr>
      <w:pBdr/>
      <w:spacing/>
      <w:ind/>
    </w:pPr>
    <w:rPr>
      <w:rFonts w:ascii="Arial" w:hAnsi="Arial" w:eastAsia="Arial" w:cs="Arial"/>
      <w:color w:val="0f4761" w:themeColor="accent1" w:themeShade="BF"/>
      <w:sz w:val="32"/>
      <w:szCs w:val="32"/>
    </w:rPr>
  </w:style>
  <w:style w:type="character" w:styleId="152">
    <w:name w:val="Heading 3 Char"/>
    <w:basedOn w:val="77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79"/>
    <w:link w:val="142"/>
    <w:uiPriority w:val="9"/>
    <w:pPr>
      <w:pBdr/>
      <w:spacing/>
      <w:ind/>
    </w:pPr>
    <w:rPr>
      <w:rFonts w:ascii="Arial" w:hAnsi="Arial" w:eastAsia="Arial" w:cs="Arial"/>
      <w:i/>
      <w:iCs/>
      <w:color w:val="0f4761" w:themeColor="accent1" w:themeShade="BF"/>
    </w:rPr>
  </w:style>
  <w:style w:type="character" w:styleId="154">
    <w:name w:val="Heading 5 Char"/>
    <w:basedOn w:val="779"/>
    <w:link w:val="143"/>
    <w:uiPriority w:val="9"/>
    <w:pPr>
      <w:pBdr/>
      <w:spacing/>
      <w:ind/>
    </w:pPr>
    <w:rPr>
      <w:rFonts w:ascii="Arial" w:hAnsi="Arial" w:eastAsia="Arial" w:cs="Arial"/>
      <w:color w:val="0f4761" w:themeColor="accent1" w:themeShade="BF"/>
    </w:rPr>
  </w:style>
  <w:style w:type="character" w:styleId="155">
    <w:name w:val="Heading 6 Char"/>
    <w:basedOn w:val="779"/>
    <w:link w:val="144"/>
    <w:uiPriority w:val="9"/>
    <w:pPr>
      <w:pBdr/>
      <w:spacing/>
      <w:ind/>
    </w:pPr>
    <w:rPr>
      <w:rFonts w:ascii="Arial" w:hAnsi="Arial" w:eastAsia="Arial" w:cs="Arial"/>
      <w:i/>
      <w:iCs/>
      <w:color w:val="595959" w:themeColor="text1" w:themeTint="A6"/>
    </w:rPr>
  </w:style>
  <w:style w:type="character" w:styleId="156">
    <w:name w:val="Heading 7 Char"/>
    <w:basedOn w:val="779"/>
    <w:link w:val="145"/>
    <w:uiPriority w:val="9"/>
    <w:pPr>
      <w:pBdr/>
      <w:spacing/>
      <w:ind/>
    </w:pPr>
    <w:rPr>
      <w:rFonts w:ascii="Arial" w:hAnsi="Arial" w:eastAsia="Arial" w:cs="Arial"/>
      <w:color w:val="595959" w:themeColor="text1" w:themeTint="A6"/>
    </w:rPr>
  </w:style>
  <w:style w:type="character" w:styleId="157">
    <w:name w:val="Heading 8 Char"/>
    <w:basedOn w:val="779"/>
    <w:link w:val="146"/>
    <w:uiPriority w:val="9"/>
    <w:pPr>
      <w:pBdr/>
      <w:spacing/>
      <w:ind/>
    </w:pPr>
    <w:rPr>
      <w:rFonts w:ascii="Arial" w:hAnsi="Arial" w:eastAsia="Arial" w:cs="Arial"/>
      <w:i/>
      <w:iCs/>
      <w:color w:val="272727" w:themeColor="text1" w:themeTint="D8"/>
    </w:rPr>
  </w:style>
  <w:style w:type="character" w:styleId="158">
    <w:name w:val="Heading 9 Char"/>
    <w:basedOn w:val="779"/>
    <w:link w:val="147"/>
    <w:uiPriority w:val="9"/>
    <w:pPr>
      <w:pBdr/>
      <w:spacing/>
      <w:ind/>
    </w:pPr>
    <w:rPr>
      <w:rFonts w:ascii="Arial" w:hAnsi="Arial" w:eastAsia="Arial" w:cs="Arial"/>
      <w:i/>
      <w:iCs/>
      <w:color w:val="272727" w:themeColor="text1" w:themeTint="D8"/>
    </w:rPr>
  </w:style>
  <w:style w:type="paragraph" w:styleId="159">
    <w:name w:val="Title"/>
    <w:basedOn w:val="776"/>
    <w:next w:val="77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9"/>
    <w:link w:val="159"/>
    <w:uiPriority w:val="10"/>
    <w:pPr>
      <w:pBdr/>
      <w:spacing/>
      <w:ind/>
    </w:pPr>
    <w:rPr>
      <w:rFonts w:ascii="Arial" w:hAnsi="Arial" w:eastAsia="Arial" w:cs="Arial"/>
      <w:spacing w:val="-10"/>
      <w:sz w:val="56"/>
      <w:szCs w:val="56"/>
    </w:rPr>
  </w:style>
  <w:style w:type="paragraph" w:styleId="161">
    <w:name w:val="Subtitle"/>
    <w:basedOn w:val="776"/>
    <w:next w:val="776"/>
    <w:link w:val="162"/>
    <w:uiPriority w:val="11"/>
    <w:qFormat/>
    <w:pPr>
      <w:numPr>
        <w:ilvl w:val="1"/>
      </w:numPr>
      <w:pBdr/>
      <w:spacing/>
      <w:ind/>
    </w:pPr>
    <w:rPr>
      <w:color w:val="595959" w:themeColor="text1" w:themeTint="A6"/>
      <w:spacing w:val="15"/>
      <w:sz w:val="28"/>
      <w:szCs w:val="28"/>
    </w:rPr>
  </w:style>
  <w:style w:type="character" w:styleId="162">
    <w:name w:val="Subtitle Char"/>
    <w:basedOn w:val="779"/>
    <w:link w:val="161"/>
    <w:uiPriority w:val="11"/>
    <w:pPr>
      <w:pBdr/>
      <w:spacing/>
      <w:ind/>
    </w:pPr>
    <w:rPr>
      <w:color w:val="595959" w:themeColor="text1" w:themeTint="A6"/>
      <w:spacing w:val="15"/>
      <w:sz w:val="28"/>
      <w:szCs w:val="28"/>
    </w:rPr>
  </w:style>
  <w:style w:type="paragraph" w:styleId="163">
    <w:name w:val="Quote"/>
    <w:basedOn w:val="776"/>
    <w:next w:val="776"/>
    <w:link w:val="164"/>
    <w:uiPriority w:val="29"/>
    <w:qFormat/>
    <w:pPr>
      <w:pBdr/>
      <w:spacing w:before="160"/>
      <w:ind/>
      <w:jc w:val="center"/>
    </w:pPr>
    <w:rPr>
      <w:i/>
      <w:iCs/>
      <w:color w:val="404040" w:themeColor="text1" w:themeTint="BF"/>
    </w:rPr>
  </w:style>
  <w:style w:type="character" w:styleId="164">
    <w:name w:val="Quote Char"/>
    <w:basedOn w:val="779"/>
    <w:link w:val="163"/>
    <w:uiPriority w:val="29"/>
    <w:pPr>
      <w:pBdr/>
      <w:spacing/>
      <w:ind/>
    </w:pPr>
    <w:rPr>
      <w:i/>
      <w:iCs/>
      <w:color w:val="404040" w:themeColor="text1" w:themeTint="BF"/>
    </w:rPr>
  </w:style>
  <w:style w:type="character" w:styleId="166">
    <w:name w:val="Intense Emphasis"/>
    <w:basedOn w:val="779"/>
    <w:uiPriority w:val="21"/>
    <w:qFormat/>
    <w:pPr>
      <w:pBdr/>
      <w:spacing/>
      <w:ind/>
    </w:pPr>
    <w:rPr>
      <w:i/>
      <w:iCs/>
      <w:color w:val="0f4761" w:themeColor="accent1" w:themeShade="BF"/>
    </w:rPr>
  </w:style>
  <w:style w:type="paragraph" w:styleId="167">
    <w:name w:val="Intense Quote"/>
    <w:basedOn w:val="776"/>
    <w:next w:val="77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9"/>
    <w:link w:val="167"/>
    <w:uiPriority w:val="30"/>
    <w:pPr>
      <w:pBdr/>
      <w:spacing/>
      <w:ind/>
    </w:pPr>
    <w:rPr>
      <w:i/>
      <w:iCs/>
      <w:color w:val="0f4761" w:themeColor="accent1" w:themeShade="BF"/>
    </w:rPr>
  </w:style>
  <w:style w:type="character" w:styleId="169">
    <w:name w:val="Intense Reference"/>
    <w:basedOn w:val="779"/>
    <w:uiPriority w:val="32"/>
    <w:qFormat/>
    <w:pPr>
      <w:pBdr/>
      <w:spacing/>
      <w:ind/>
    </w:pPr>
    <w:rPr>
      <w:b/>
      <w:bCs/>
      <w:smallCaps/>
      <w:color w:val="0f4761" w:themeColor="accent1" w:themeShade="BF"/>
      <w:spacing w:val="5"/>
    </w:rPr>
  </w:style>
  <w:style w:type="paragraph" w:styleId="170">
    <w:name w:val="No Spacing"/>
    <w:basedOn w:val="776"/>
    <w:uiPriority w:val="1"/>
    <w:qFormat/>
    <w:pPr>
      <w:pBdr/>
      <w:spacing w:after="0" w:line="240" w:lineRule="auto"/>
      <w:ind/>
    </w:pPr>
  </w:style>
  <w:style w:type="character" w:styleId="171">
    <w:name w:val="Subtle Emphasis"/>
    <w:basedOn w:val="779"/>
    <w:uiPriority w:val="19"/>
    <w:qFormat/>
    <w:pPr>
      <w:pBdr/>
      <w:spacing/>
      <w:ind/>
    </w:pPr>
    <w:rPr>
      <w:i/>
      <w:iCs/>
      <w:color w:val="404040" w:themeColor="text1" w:themeTint="BF"/>
    </w:rPr>
  </w:style>
  <w:style w:type="character" w:styleId="172">
    <w:name w:val="Emphasis"/>
    <w:basedOn w:val="779"/>
    <w:uiPriority w:val="20"/>
    <w:qFormat/>
    <w:pPr>
      <w:pBdr/>
      <w:spacing/>
      <w:ind/>
    </w:pPr>
    <w:rPr>
      <w:i/>
      <w:iCs/>
    </w:rPr>
  </w:style>
  <w:style w:type="character" w:styleId="174">
    <w:name w:val="Subtle Reference"/>
    <w:basedOn w:val="779"/>
    <w:uiPriority w:val="31"/>
    <w:qFormat/>
    <w:pPr>
      <w:pBdr/>
      <w:spacing/>
      <w:ind/>
    </w:pPr>
    <w:rPr>
      <w:smallCaps/>
      <w:color w:val="5a5a5a" w:themeColor="text1" w:themeTint="A5"/>
    </w:rPr>
  </w:style>
  <w:style w:type="character" w:styleId="175">
    <w:name w:val="Book Title"/>
    <w:basedOn w:val="779"/>
    <w:uiPriority w:val="33"/>
    <w:qFormat/>
    <w:pPr>
      <w:pBdr/>
      <w:spacing/>
      <w:ind/>
    </w:pPr>
    <w:rPr>
      <w:b/>
      <w:bCs/>
      <w:i/>
      <w:iCs/>
      <w:spacing w:val="5"/>
    </w:rPr>
  </w:style>
  <w:style w:type="paragraph" w:styleId="180">
    <w:name w:val="Caption"/>
    <w:basedOn w:val="776"/>
    <w:next w:val="776"/>
    <w:uiPriority w:val="35"/>
    <w:unhideWhenUsed/>
    <w:qFormat/>
    <w:pPr>
      <w:pBdr/>
      <w:spacing w:after="200" w:line="240" w:lineRule="auto"/>
      <w:ind/>
    </w:pPr>
    <w:rPr>
      <w:i/>
      <w:iCs/>
      <w:color w:val="0e2841" w:themeColor="text2"/>
      <w:sz w:val="18"/>
      <w:szCs w:val="18"/>
    </w:rPr>
  </w:style>
  <w:style w:type="paragraph" w:styleId="181">
    <w:name w:val="footnote text"/>
    <w:basedOn w:val="776"/>
    <w:link w:val="182"/>
    <w:uiPriority w:val="99"/>
    <w:semiHidden/>
    <w:unhideWhenUsed/>
    <w:pPr>
      <w:pBdr/>
      <w:spacing w:after="0" w:line="240" w:lineRule="auto"/>
      <w:ind/>
    </w:pPr>
    <w:rPr>
      <w:sz w:val="20"/>
      <w:szCs w:val="20"/>
    </w:rPr>
  </w:style>
  <w:style w:type="character" w:styleId="182">
    <w:name w:val="Footnote Text Char"/>
    <w:basedOn w:val="779"/>
    <w:link w:val="181"/>
    <w:uiPriority w:val="99"/>
    <w:semiHidden/>
    <w:pPr>
      <w:pBdr/>
      <w:spacing/>
      <w:ind/>
    </w:pPr>
    <w:rPr>
      <w:sz w:val="20"/>
      <w:szCs w:val="20"/>
    </w:rPr>
  </w:style>
  <w:style w:type="character" w:styleId="183">
    <w:name w:val="footnote reference"/>
    <w:basedOn w:val="779"/>
    <w:uiPriority w:val="99"/>
    <w:semiHidden/>
    <w:unhideWhenUsed/>
    <w:pPr>
      <w:pBdr/>
      <w:spacing/>
      <w:ind/>
    </w:pPr>
    <w:rPr>
      <w:vertAlign w:val="superscript"/>
    </w:rPr>
  </w:style>
  <w:style w:type="paragraph" w:styleId="184">
    <w:name w:val="endnote text"/>
    <w:basedOn w:val="776"/>
    <w:link w:val="185"/>
    <w:uiPriority w:val="99"/>
    <w:semiHidden/>
    <w:unhideWhenUsed/>
    <w:pPr>
      <w:pBdr/>
      <w:spacing w:after="0" w:line="240" w:lineRule="auto"/>
      <w:ind/>
    </w:pPr>
    <w:rPr>
      <w:sz w:val="20"/>
      <w:szCs w:val="20"/>
    </w:rPr>
  </w:style>
  <w:style w:type="character" w:styleId="185">
    <w:name w:val="Endnote Text Char"/>
    <w:basedOn w:val="779"/>
    <w:link w:val="184"/>
    <w:uiPriority w:val="99"/>
    <w:semiHidden/>
    <w:pPr>
      <w:pBdr/>
      <w:spacing/>
      <w:ind/>
    </w:pPr>
    <w:rPr>
      <w:sz w:val="20"/>
      <w:szCs w:val="20"/>
    </w:rPr>
  </w:style>
  <w:style w:type="character" w:styleId="186">
    <w:name w:val="endnote reference"/>
    <w:basedOn w:val="779"/>
    <w:uiPriority w:val="99"/>
    <w:semiHidden/>
    <w:unhideWhenUsed/>
    <w:pPr>
      <w:pBdr/>
      <w:spacing/>
      <w:ind/>
    </w:pPr>
    <w:rPr>
      <w:vertAlign w:val="superscript"/>
    </w:rPr>
  </w:style>
  <w:style w:type="character" w:styleId="187">
    <w:name w:val="Hyperlink"/>
    <w:basedOn w:val="779"/>
    <w:uiPriority w:val="99"/>
    <w:unhideWhenUsed/>
    <w:pPr>
      <w:pBdr/>
      <w:spacing/>
      <w:ind/>
    </w:pPr>
    <w:rPr>
      <w:color w:val="0563c1" w:themeColor="hyperlink"/>
      <w:u w:val="single"/>
    </w:rPr>
  </w:style>
  <w:style w:type="character" w:styleId="188">
    <w:name w:val="FollowedHyperlink"/>
    <w:basedOn w:val="779"/>
    <w:uiPriority w:val="99"/>
    <w:semiHidden/>
    <w:unhideWhenUsed/>
    <w:pPr>
      <w:pBdr/>
      <w:spacing/>
      <w:ind/>
    </w:pPr>
    <w:rPr>
      <w:color w:val="954f72" w:themeColor="followedHyperlink"/>
      <w:u w:val="single"/>
    </w:rPr>
  </w:style>
  <w:style w:type="paragraph" w:styleId="189">
    <w:name w:val="toc 1"/>
    <w:basedOn w:val="776"/>
    <w:next w:val="776"/>
    <w:uiPriority w:val="39"/>
    <w:unhideWhenUsed/>
    <w:pPr>
      <w:pBdr/>
      <w:spacing w:after="100"/>
      <w:ind/>
    </w:pPr>
  </w:style>
  <w:style w:type="paragraph" w:styleId="190">
    <w:name w:val="toc 2"/>
    <w:basedOn w:val="776"/>
    <w:next w:val="776"/>
    <w:uiPriority w:val="39"/>
    <w:unhideWhenUsed/>
    <w:pPr>
      <w:pBdr/>
      <w:spacing w:after="100"/>
      <w:ind w:left="220"/>
    </w:pPr>
  </w:style>
  <w:style w:type="paragraph" w:styleId="191">
    <w:name w:val="toc 3"/>
    <w:basedOn w:val="776"/>
    <w:next w:val="776"/>
    <w:uiPriority w:val="39"/>
    <w:unhideWhenUsed/>
    <w:pPr>
      <w:pBdr/>
      <w:spacing w:after="100"/>
      <w:ind w:left="440"/>
    </w:pPr>
  </w:style>
  <w:style w:type="paragraph" w:styleId="192">
    <w:name w:val="toc 4"/>
    <w:basedOn w:val="776"/>
    <w:next w:val="776"/>
    <w:uiPriority w:val="39"/>
    <w:unhideWhenUsed/>
    <w:pPr>
      <w:pBdr/>
      <w:spacing w:after="100"/>
      <w:ind w:left="660"/>
    </w:pPr>
  </w:style>
  <w:style w:type="paragraph" w:styleId="193">
    <w:name w:val="toc 5"/>
    <w:basedOn w:val="776"/>
    <w:next w:val="776"/>
    <w:uiPriority w:val="39"/>
    <w:unhideWhenUsed/>
    <w:pPr>
      <w:pBdr/>
      <w:spacing w:after="100"/>
      <w:ind w:left="880"/>
    </w:pPr>
  </w:style>
  <w:style w:type="paragraph" w:styleId="194">
    <w:name w:val="toc 6"/>
    <w:basedOn w:val="776"/>
    <w:next w:val="776"/>
    <w:uiPriority w:val="39"/>
    <w:unhideWhenUsed/>
    <w:pPr>
      <w:pBdr/>
      <w:spacing w:after="100"/>
      <w:ind w:left="1100"/>
    </w:pPr>
  </w:style>
  <w:style w:type="paragraph" w:styleId="195">
    <w:name w:val="toc 7"/>
    <w:basedOn w:val="776"/>
    <w:next w:val="776"/>
    <w:uiPriority w:val="39"/>
    <w:unhideWhenUsed/>
    <w:pPr>
      <w:pBdr/>
      <w:spacing w:after="100"/>
      <w:ind w:left="1320"/>
    </w:pPr>
  </w:style>
  <w:style w:type="paragraph" w:styleId="196">
    <w:name w:val="toc 8"/>
    <w:basedOn w:val="776"/>
    <w:next w:val="776"/>
    <w:uiPriority w:val="39"/>
    <w:unhideWhenUsed/>
    <w:pPr>
      <w:pBdr/>
      <w:spacing w:after="100"/>
      <w:ind w:left="1540"/>
    </w:pPr>
  </w:style>
  <w:style w:type="paragraph" w:styleId="197">
    <w:name w:val="toc 9"/>
    <w:basedOn w:val="776"/>
    <w:next w:val="776"/>
    <w:uiPriority w:val="39"/>
    <w:unhideWhenUsed/>
    <w:pPr>
      <w:pBdr/>
      <w:spacing w:after="100"/>
      <w:ind w:left="1760"/>
    </w:pPr>
  </w:style>
  <w:style w:type="character" w:styleId="198">
    <w:name w:val="Placeholder Text"/>
    <w:basedOn w:val="77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6"/>
    <w:next w:val="776"/>
    <w:uiPriority w:val="99"/>
    <w:unhideWhenUsed/>
    <w:pPr>
      <w:pBdr/>
      <w:spacing w:after="0" w:afterAutospacing="0"/>
      <w:ind/>
    </w:pPr>
  </w:style>
  <w:style w:type="paragraph" w:styleId="776" w:default="1">
    <w:name w:val="Normal"/>
    <w:uiPriority w:val="1"/>
    <w:qFormat/>
    <w:pPr>
      <w:pBdr/>
      <w:spacing/>
      <w:ind/>
    </w:pPr>
    <w:rPr>
      <w:rFonts w:ascii="Times New Roman" w:hAnsi="Times New Roman" w:eastAsia="Times New Roman" w:cs="Times New Roman"/>
    </w:rPr>
  </w:style>
  <w:style w:type="paragraph" w:styleId="777">
    <w:name w:val="Heading 1"/>
    <w:basedOn w:val="776"/>
    <w:uiPriority w:val="1"/>
    <w:qFormat/>
    <w:pPr>
      <w:pBdr/>
      <w:spacing w:line="294" w:lineRule="exact"/>
      <w:ind w:right="495" w:left="508"/>
      <w:jc w:val="center"/>
      <w:outlineLvl w:val="0"/>
    </w:pPr>
    <w:rPr>
      <w:rFonts w:ascii="Cambria" w:hAnsi="Cambria" w:eastAsia="Cambria" w:cs="Cambria"/>
      <w:b/>
      <w:bCs/>
      <w:sz w:val="28"/>
      <w:szCs w:val="28"/>
    </w:rPr>
  </w:style>
  <w:style w:type="paragraph" w:styleId="778">
    <w:name w:val="Heading 2"/>
    <w:basedOn w:val="776"/>
    <w:uiPriority w:val="1"/>
    <w:qFormat/>
    <w:pPr>
      <w:pBdr/>
      <w:spacing/>
      <w:ind w:left="360"/>
      <w:outlineLvl w:val="1"/>
    </w:pPr>
    <w:rPr>
      <w:b/>
      <w:bCs/>
      <w:sz w:val="24"/>
      <w:szCs w:val="24"/>
    </w:rPr>
  </w:style>
  <w:style w:type="character" w:styleId="779" w:default="1">
    <w:name w:val="Default Paragraph Font"/>
    <w:uiPriority w:val="1"/>
    <w:semiHidden/>
    <w:unhideWhenUsed/>
    <w:pPr>
      <w:pBdr/>
      <w:spacing/>
      <w:ind/>
    </w:pPr>
  </w:style>
  <w:style w:type="table" w:styleId="7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1" w:default="1">
    <w:name w:val="No List"/>
    <w:uiPriority w:val="99"/>
    <w:semiHidden/>
    <w:unhideWhenUsed/>
    <w:pPr>
      <w:pBdr/>
      <w:spacing/>
      <w:ind/>
    </w:pPr>
  </w:style>
  <w:style w:type="paragraph" w:styleId="782">
    <w:name w:val="Body Text"/>
    <w:basedOn w:val="776"/>
    <w:uiPriority w:val="1"/>
    <w:qFormat/>
    <w:pPr>
      <w:pBdr/>
      <w:spacing/>
      <w:ind/>
    </w:pPr>
    <w:rPr>
      <w:sz w:val="24"/>
      <w:szCs w:val="24"/>
    </w:rPr>
  </w:style>
  <w:style w:type="paragraph" w:styleId="783">
    <w:name w:val="List Paragraph"/>
    <w:basedOn w:val="776"/>
    <w:uiPriority w:val="1"/>
    <w:qFormat/>
    <w:pPr>
      <w:pBdr/>
      <w:spacing/>
      <w:ind w:hanging="360" w:left="1800"/>
    </w:pPr>
  </w:style>
  <w:style w:type="paragraph" w:styleId="784" w:customStyle="1">
    <w:name w:val="Table Paragraph"/>
    <w:basedOn w:val="776"/>
    <w:uiPriority w:val="1"/>
    <w:qFormat/>
    <w:pPr>
      <w:pBdr/>
      <w:spacing w:before="26"/>
      <w:ind w:left="1468"/>
    </w:pPr>
  </w:style>
  <w:style w:type="paragraph" w:styleId="785">
    <w:name w:val="HTML Top of Form"/>
    <w:basedOn w:val="776"/>
    <w:next w:val="776"/>
    <w:link w:val="786"/>
    <w:hidden/>
    <w:uiPriority w:val="99"/>
    <w:semiHidden/>
    <w:unhideWhenUsed/>
    <w:pPr>
      <w:widowControl w:val="true"/>
      <w:pBdr>
        <w:bottom w:val="single" w:color="000000" w:sz="6" w:space="1"/>
      </w:pBdr>
      <w:spacing/>
      <w:ind/>
      <w:jc w:val="center"/>
    </w:pPr>
    <w:rPr>
      <w:rFonts w:ascii="Arial" w:hAnsi="Arial" w:cs="Arial"/>
      <w:vanish/>
      <w:sz w:val="16"/>
      <w:szCs w:val="16"/>
      <w:lang w:val="en-IN" w:eastAsia="en-IN"/>
    </w:rPr>
  </w:style>
  <w:style w:type="character" w:styleId="786" w:customStyle="1">
    <w:name w:val="z-Top of Form Char"/>
    <w:basedOn w:val="779"/>
    <w:link w:val="785"/>
    <w:uiPriority w:val="99"/>
    <w:semiHidden/>
    <w:pPr>
      <w:pBdr/>
      <w:spacing/>
      <w:ind/>
    </w:pPr>
    <w:rPr>
      <w:rFonts w:ascii="Arial" w:hAnsi="Arial" w:eastAsia="Times New Roman" w:cs="Arial"/>
      <w:vanish/>
      <w:sz w:val="16"/>
      <w:szCs w:val="16"/>
      <w:lang w:val="en-IN" w:eastAsia="en-IN"/>
    </w:rPr>
  </w:style>
  <w:style w:type="paragraph" w:styleId="787" w:customStyle="1">
    <w:name w:val="placeholder"/>
    <w:basedOn w:val="776"/>
    <w:pPr>
      <w:widowControl w:val="true"/>
      <w:pBdr/>
      <w:spacing w:after="100" w:afterAutospacing="1" w:before="100" w:beforeAutospacing="1"/>
      <w:ind/>
    </w:pPr>
    <w:rPr>
      <w:sz w:val="24"/>
      <w:szCs w:val="24"/>
      <w:lang w:val="en-IN" w:eastAsia="en-IN"/>
    </w:rPr>
  </w:style>
  <w:style w:type="paragraph" w:styleId="788">
    <w:name w:val="HTML Bottom of Form"/>
    <w:basedOn w:val="776"/>
    <w:next w:val="776"/>
    <w:link w:val="789"/>
    <w:hidden/>
    <w:uiPriority w:val="99"/>
    <w:semiHidden/>
    <w:unhideWhenUsed/>
    <w:pPr>
      <w:widowControl w:val="true"/>
      <w:pBdr>
        <w:top w:val="single" w:color="000000" w:sz="6" w:space="1"/>
      </w:pBdr>
      <w:spacing/>
      <w:ind/>
      <w:jc w:val="center"/>
    </w:pPr>
    <w:rPr>
      <w:rFonts w:ascii="Arial" w:hAnsi="Arial" w:cs="Arial"/>
      <w:vanish/>
      <w:sz w:val="16"/>
      <w:szCs w:val="16"/>
      <w:lang w:val="en-IN" w:eastAsia="en-IN"/>
    </w:rPr>
  </w:style>
  <w:style w:type="character" w:styleId="789" w:customStyle="1">
    <w:name w:val="z-Bottom of Form Char"/>
    <w:basedOn w:val="779"/>
    <w:link w:val="788"/>
    <w:uiPriority w:val="99"/>
    <w:semiHidden/>
    <w:pPr>
      <w:pBdr/>
      <w:spacing/>
      <w:ind/>
    </w:pPr>
    <w:rPr>
      <w:rFonts w:ascii="Arial" w:hAnsi="Arial" w:eastAsia="Times New Roman" w:cs="Arial"/>
      <w:vanish/>
      <w:sz w:val="16"/>
      <w:szCs w:val="16"/>
      <w:lang w:val="en-IN" w:eastAsia="en-IN"/>
    </w:rPr>
  </w:style>
  <w:style w:type="character" w:styleId="790">
    <w:name w:val="Strong"/>
    <w:basedOn w:val="779"/>
    <w:uiPriority w:val="22"/>
    <w:qFormat/>
    <w:pPr>
      <w:pBdr/>
      <w:spacing/>
      <w:ind/>
    </w:pPr>
    <w:rPr>
      <w:b/>
      <w:bCs/>
    </w:rPr>
  </w:style>
  <w:style w:type="paragraph" w:styleId="791">
    <w:name w:val="Header"/>
    <w:basedOn w:val="776"/>
    <w:link w:val="792"/>
    <w:uiPriority w:val="99"/>
    <w:unhideWhenUsed/>
    <w:pPr>
      <w:pBdr/>
      <w:tabs>
        <w:tab w:val="center" w:leader="none" w:pos="4513"/>
        <w:tab w:val="right" w:leader="none" w:pos="9026"/>
      </w:tabs>
      <w:spacing/>
      <w:ind/>
    </w:pPr>
  </w:style>
  <w:style w:type="character" w:styleId="792" w:customStyle="1">
    <w:name w:val="Header Char"/>
    <w:basedOn w:val="779"/>
    <w:link w:val="791"/>
    <w:uiPriority w:val="99"/>
    <w:pPr>
      <w:pBdr/>
      <w:spacing/>
      <w:ind/>
    </w:pPr>
    <w:rPr>
      <w:rFonts w:ascii="Times New Roman" w:hAnsi="Times New Roman" w:eastAsia="Times New Roman" w:cs="Times New Roman"/>
    </w:rPr>
  </w:style>
  <w:style w:type="paragraph" w:styleId="793">
    <w:name w:val="Footer"/>
    <w:basedOn w:val="776"/>
    <w:link w:val="794"/>
    <w:uiPriority w:val="99"/>
    <w:unhideWhenUsed/>
    <w:pPr>
      <w:pBdr/>
      <w:tabs>
        <w:tab w:val="center" w:leader="none" w:pos="4513"/>
        <w:tab w:val="right" w:leader="none" w:pos="9026"/>
      </w:tabs>
      <w:spacing/>
      <w:ind/>
    </w:pPr>
  </w:style>
  <w:style w:type="character" w:styleId="794" w:customStyle="1">
    <w:name w:val="Footer Char"/>
    <w:basedOn w:val="779"/>
    <w:link w:val="793"/>
    <w:uiPriority w:val="99"/>
    <w:pPr>
      <w:pBdr/>
      <w:spacing/>
      <w:ind/>
    </w:pPr>
    <w:rPr>
      <w:rFonts w:ascii="Times New Roman" w:hAnsi="Times New Roman" w:eastAsia="Times New Roman" w:cs="Times New Roman"/>
    </w:rPr>
  </w:style>
  <w:style w:type="paragraph" w:styleId="1_419" w:customStyle="1">
    <w:name w:val="List Bullet"/>
    <w:basedOn w:val="710"/>
    <w:uiPriority w:val="99"/>
    <w:unhideWhenUsed/>
    <w:pPr>
      <w:keepNext w:val="false"/>
      <w:keepLines w:val="false"/>
      <w:pageBreakBefore w:val="false"/>
      <w:widowControl w:val="true"/>
      <w:numPr>
        <w:numId w:val="9"/>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tabs>
        <w:tab w:val="num" w:leader="none" w:pos="360"/>
      </w:tabs>
      <w:bidi w:val="false"/>
      <w:spacing w:after="140" w:afterAutospacing="0" w:before="0" w:beforeAutospacing="0" w:line="276" w:lineRule="auto"/>
      <w:ind w:right="0" w:hanging="360" w:left="360"/>
      <w:contextualSpacing w:val="true"/>
      <w:jc w:val="left"/>
    </w:pPr>
    <w:rPr>
      <w:rFonts w:ascii="Aptos" w:hAnsi="Aptos" w:eastAsia="Aptos" w:cstheme="minorBidi"/>
      <w:b w:val="0"/>
      <w:bCs w:val="0"/>
      <w:i w:val="0"/>
      <w:iCs w:val="0"/>
      <w:caps w:val="0"/>
      <w:smallCaps w:val="0"/>
      <w:strike w:val="0"/>
      <w:vanish w:val="0"/>
      <w:color w:val="auto"/>
      <w:spacing w:val="0"/>
      <w:position w:val="0"/>
      <w:sz w:val="21"/>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github.com/Harikrishnan-web/Sem-5-HK-Notes/tree/main/BA/Miniprojec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GANESH K</dc:creator>
  <cp:revision>3</cp:revision>
  <dcterms:created xsi:type="dcterms:W3CDTF">2026-08-27T06:34:00Z</dcterms:created>
  <dcterms:modified xsi:type="dcterms:W3CDTF">2026-08-27T13:02:07Z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Creator">
    <vt:lpwstr>Microsoft Word</vt:lpwstr>
  </property>
  <property fmtid="{D5CDD505-2E9C-101B-9397-08002B2CF9AE}" pid="5" name="LastSaved">
    <vt:filetime>2026-08-15T00:00:00Z</vt:filetime>
  </property>
</Properties>
</file>