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ptos" w:hAnsi="Aptos"/>
          <w:b/>
          <w:color w:val="2F7F7A"/>
          <w:sz w:val="22"/>
        </w:rPr>
        <w:t>DATA ANALYSIS REPORT</w:t>
      </w:r>
    </w:p>
    <w:p>
      <w:pPr>
        <w:pStyle w:val="Title"/>
      </w:pPr>
      <w:r>
        <w:t>Revenue Leakage Detection</w:t>
      </w:r>
    </w:p>
    <w:p>
      <w:pPr>
        <w:pStyle w:val="Subtitle"/>
        <w:pBdr>
          <w:bottom w:val="single" w:sz="16" w:space="1" w:color="2F7F7A"/>
        </w:pBdr>
      </w:pPr>
      <w:r>
        <w:t>Telecom Usage and Billing Analytics for Identifying Unbilled and Under-Billed Consumption</w:t>
      </w:r>
    </w:p>
    <w:p>
      <w:r>
        <w:t>A structured analytical study using customer usage, expected charges, billed amounts, mismatch ratios, and anomaly-priority indicators.</w:t>
      </w:r>
    </w:p>
    <w:tbl>
      <w:tblPr>
        <w:tblW w:type="auto" w:w="0"/>
        <w:jc w:val="center"/>
        <w:tblLayout w:type="fixed"/>
        <w:tblLook w:firstColumn="1" w:firstRow="1" w:lastColumn="0" w:lastRow="0" w:noHBand="0" w:noVBand="1" w:val="04A0"/>
      </w:tblPr>
      <w:tblGrid>
        <w:gridCol w:w="2381"/>
        <w:gridCol w:w="2381"/>
        <w:gridCol w:w="2381"/>
        <w:gridCol w:w="2381"/>
      </w:tblGrid>
      <w:tr>
        <w:tc>
          <w:tcPr>
            <w:tcW w:type="dxa" w:w="2211"/>
            <w:vAlign w:val="center"/>
            <w:shd w:fill="F2F6F8"/>
          </w:tcPr>
          <w:p>
            <w:pPr>
              <w:jc w:val="center"/>
            </w:pPr>
            <w:r>
              <w:rPr>
                <w:b/>
                <w:color w:val="17324D"/>
                <w:sz w:val="30"/>
              </w:rPr>
              <w:t>1,200</w:t>
            </w:r>
          </w:p>
          <w:p>
            <w:pPr>
              <w:pStyle w:val="Small"/>
              <w:jc w:val="center"/>
            </w:pPr>
            <w:r>
              <w:t>customer records</w:t>
            </w:r>
          </w:p>
        </w:tc>
        <w:tc>
          <w:tcPr>
            <w:tcW w:type="dxa" w:w="2211"/>
            <w:vAlign w:val="center"/>
            <w:shd w:fill="F2F6F8"/>
          </w:tcPr>
          <w:p>
            <w:pPr>
              <w:jc w:val="center"/>
            </w:pPr>
            <w:r>
              <w:rPr>
                <w:b/>
                <w:color w:val="17324D"/>
                <w:sz w:val="30"/>
              </w:rPr>
              <w:t>190</w:t>
            </w:r>
          </w:p>
          <w:p>
            <w:pPr>
              <w:pStyle w:val="Small"/>
              <w:jc w:val="center"/>
            </w:pPr>
            <w:r>
              <w:t>injected leakage cases</w:t>
            </w:r>
          </w:p>
        </w:tc>
        <w:tc>
          <w:tcPr>
            <w:tcW w:type="dxa" w:w="2211"/>
            <w:vAlign w:val="center"/>
            <w:shd w:fill="F2F6F8"/>
          </w:tcPr>
          <w:p>
            <w:pPr>
              <w:jc w:val="center"/>
            </w:pPr>
            <w:r>
              <w:rPr>
                <w:b/>
                <w:color w:val="17324D"/>
                <w:sz w:val="30"/>
              </w:rPr>
              <w:t>₹0.22L</w:t>
            </w:r>
          </w:p>
          <w:p>
            <w:pPr>
              <w:pStyle w:val="Small"/>
              <w:jc w:val="center"/>
            </w:pPr>
            <w:r>
              <w:t>illustrative leakage gap</w:t>
            </w:r>
          </w:p>
        </w:tc>
        <w:tc>
          <w:tcPr>
            <w:tcW w:type="dxa" w:w="2211"/>
            <w:vAlign w:val="center"/>
            <w:shd w:fill="F2F6F8"/>
          </w:tcPr>
          <w:p>
            <w:pPr>
              <w:jc w:val="center"/>
            </w:pPr>
            <w:r>
              <w:rPr>
                <w:b/>
                <w:color w:val="17324D"/>
                <w:sz w:val="30"/>
              </w:rPr>
              <w:t>27.3%</w:t>
            </w:r>
          </w:p>
          <w:p>
            <w:pPr>
              <w:pStyle w:val="Small"/>
              <w:jc w:val="center"/>
            </w:pPr>
            <w:r>
              <w:t>flagged by rules</w:t>
            </w:r>
          </w:p>
        </w:tc>
      </w:tr>
    </w:tbl>
    <w:p>
      <w:pPr>
        <w:spacing w:after="300"/>
      </w:pPr>
    </w:p>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Data note</w:t>
            </w:r>
          </w:p>
          <w:p>
            <w:pPr>
              <w:spacing w:after="40"/>
            </w:pPr>
            <w:r>
              <w:t>The dataset is synthetic and intentionally contains controlled leakage patterns so that the analysis is reproducible, transparent, and suitable for academic demonstration. It is not a statement about any specific telecom operator.</w:t>
            </w:r>
          </w:p>
        </w:tc>
      </w:tr>
    </w:tbl>
    <w:p>
      <w:pPr>
        <w:spacing w:after="20"/>
      </w:pPr>
    </w:p>
    <w:p>
      <w:pPr>
        <w:spacing w:before="560"/>
      </w:pPr>
      <w:r>
        <w:rPr>
          <w:i/>
        </w:rPr>
        <w:t>Prepared as a structured academic analytics project</w:t>
      </w:r>
    </w:p>
    <w:p>
      <w:r>
        <w:br w:type="page"/>
      </w:r>
    </w:p>
    <w:p>
      <w:pPr>
        <w:pStyle w:val="Heading1"/>
        <w:keepNext/>
        <w:pBdr>
          <w:bottom w:val="single" w:sz="10" w:space="1" w:color="17324D"/>
        </w:pBdr>
      </w:pPr>
      <w:r>
        <w:t>1.  ABSTRACT</w:t>
      </w:r>
    </w:p>
    <w:p>
      <w:pPr>
        <w:pStyle w:val="Small"/>
      </w:pPr>
      <w:r>
        <w:t>A concise overview of the analytical problem, method, and result.</w:t>
      </w:r>
    </w:p>
    <w:p>
      <w:r>
        <w:t>Revenue leakage occurs when the service consumed by a customer is not fully converted into billable revenue. In a telecom setting, the mismatch can arise from incorrect usage rating, stale plans, missing billing events, incorrect discounts, integration failures, or consumption that is recorded but not billed. This project develops a transparent rule-based detection pipeline that compares observed usage with the expected charge and then prioritizes accounts according to the size of the billing gap.</w:t>
      </w:r>
    </w:p>
    <w:p>
      <w:r>
        <w:t>The study uses an illustrative synthetic dataset of 1,200 customer-month records covering prepaid, postpaid, and business plans. Six visual analyses are used to examine billing-ratio distribution, leakage concentration by pattern and region, monthly movement, expected-versus-billed relationships, and severity priority. The detection rules flag 328 records (27.3%) and estimate an aggregate leakage gap of approximately ₹22,133 in the synthetic sample.</w:t>
      </w:r>
    </w:p>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Core finding</w:t>
            </w:r>
          </w:p>
          <w:p>
            <w:pPr>
              <w:spacing w:after="40"/>
            </w:pPr>
            <w:r>
              <w:t>The strongest signals are not simply high usage values. The more reliable warning pattern is a persistent mismatch between expected charge and billed amount, especially when the billing ratio falls below the defined control threshold or the absolute gap becomes economically material.</w:t>
            </w:r>
          </w:p>
        </w:tc>
      </w:tr>
    </w:tbl>
    <w:p>
      <w:pPr>
        <w:spacing w:after="20"/>
      </w:pPr>
    </w:p>
    <w:p>
      <w:r>
        <w:t>The report is designed as a reproducible academic prototype rather than a production billing-control system. In practice, the same framework can be extended with invoice events, network mediation records, tariff tables, CRM data, tax rules, and machine-learning anomaly scores.</w:t>
      </w:r>
    </w:p>
    <w:p>
      <w:r>
        <w:br w:type="page"/>
      </w:r>
    </w:p>
    <w:p>
      <w:pPr>
        <w:pStyle w:val="Heading1"/>
        <w:keepNext/>
        <w:pBdr>
          <w:bottom w:val="single" w:sz="10" w:space="1" w:color="17324D"/>
        </w:pBdr>
      </w:pPr>
      <w:r>
        <w:t>2.  PROBLEM STATEMENT</w:t>
      </w:r>
    </w:p>
    <w:p>
      <w:pPr>
        <w:pStyle w:val="Small"/>
      </w:pPr>
      <w:r>
        <w:t>Why a usage-to-bill reconciliation layer is needed.</w:t>
      </w:r>
    </w:p>
    <w:p>
      <w:r>
        <w:t>Telecom operators process large volumes of consumption events every day. A small defect in rating, discounting, usage capture, or billing integration can affect many customer accounts before the issue is discovered. Traditional checks often focus on invoice totals or complaints, which means that low-value leakage distributed across many accounts can remain hidden.</w:t>
      </w:r>
    </w:p>
    <w:p>
      <w:r>
        <w:t>The analytical problem is therefore to create an auditable method that answers four questions:</w:t>
      </w:r>
    </w:p>
    <w:p>
      <w:pPr>
        <w:spacing w:after="100"/>
        <w:ind w:left="255" w:hanging="142"/>
      </w:pPr>
      <w:r>
        <w:rPr>
          <w:b/>
        </w:rPr>
        <w:t xml:space="preserve">• </w:t>
      </w:r>
      <w:r>
        <w:t>Which customer records show a measurable mismatch between expected and billed value?</w:t>
      </w:r>
    </w:p>
    <w:p>
      <w:pPr>
        <w:spacing w:after="100"/>
        <w:ind w:left="255" w:hanging="142"/>
      </w:pPr>
      <w:r>
        <w:rPr>
          <w:b/>
        </w:rPr>
        <w:t xml:space="preserve">• </w:t>
      </w:r>
      <w:r>
        <w:t>Which mismatch patterns are likely to represent under-billing, near-zero billing, or stale-charge conditions?</w:t>
      </w:r>
    </w:p>
    <w:p>
      <w:pPr>
        <w:spacing w:after="100"/>
        <w:ind w:left="255" w:hanging="142"/>
      </w:pPr>
      <w:r>
        <w:rPr>
          <w:b/>
        </w:rPr>
        <w:t xml:space="preserve">• </w:t>
      </w:r>
      <w:r>
        <w:t>Where is the potential leakage concentrated across customer segments, regions, and billing months?</w:t>
      </w:r>
    </w:p>
    <w:p>
      <w:pPr>
        <w:spacing w:after="100"/>
        <w:ind w:left="255" w:hanging="142"/>
      </w:pPr>
      <w:r>
        <w:rPr>
          <w:b/>
        </w:rPr>
        <w:t xml:space="preserve">• </w:t>
      </w:r>
      <w:r>
        <w:t>Which flagged cases should receive investigation first based on economic impact rather than raw anomaly count?</w:t>
      </w:r>
    </w:p>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Analytical objective</w:t>
            </w:r>
          </w:p>
          <w:p>
            <w:pPr>
              <w:spacing w:after="40"/>
            </w:pPr>
            <w:r>
              <w:t>Build a simple and explainable detection model that converts raw usage and billing fields into a leakage gap, a billing-ratio control, a flag, and an investigation priority.</w:t>
            </w:r>
          </w:p>
        </w:tc>
      </w:tr>
    </w:tbl>
    <w:p>
      <w:pPr>
        <w:spacing w:after="20"/>
      </w:pPr>
    </w:p>
    <w:tbl>
      <w:tblPr>
        <w:tblW w:type="auto" w:w="0"/>
        <w:jc w:val="center"/>
        <w:tblLayout w:type="fixed"/>
        <w:tblLook w:firstColumn="1" w:firstRow="1" w:lastColumn="0" w:lastRow="0" w:noHBand="0" w:noVBand="1" w:val="04A0"/>
      </w:tblPr>
      <w:tblGrid>
        <w:gridCol w:w="1701"/>
        <w:gridCol w:w="3515"/>
        <w:gridCol w:w="3969"/>
      </w:tblGrid>
      <w:tr>
        <w:tc>
          <w:tcPr>
            <w:tcW w:type="dxa" w:w="3175"/>
            <w:vAlign w:val="center"/>
            <w:shd w:fill="17324D"/>
            <w:tcMar>
              <w:top w:w="90" w:type="dxa"/>
              <w:left w:w="90" w:type="dxa"/>
              <w:bottom w:w="90" w:type="dxa"/>
              <w:right w:w="90" w:type="dxa"/>
            </w:tcMar>
          </w:tcPr>
          <w:p>
            <w:r>
              <w:rPr>
                <w:b/>
                <w:color w:val="FFFFFF"/>
                <w:sz w:val="16"/>
              </w:rPr>
              <w:t>Metric</w:t>
            </w:r>
          </w:p>
        </w:tc>
        <w:tc>
          <w:tcPr>
            <w:tcW w:type="dxa" w:w="3175"/>
            <w:vAlign w:val="center"/>
            <w:shd w:fill="17324D"/>
            <w:tcMar>
              <w:top w:w="90" w:type="dxa"/>
              <w:left w:w="90" w:type="dxa"/>
              <w:bottom w:w="90" w:type="dxa"/>
              <w:right w:w="90" w:type="dxa"/>
            </w:tcMar>
          </w:tcPr>
          <w:p>
            <w:r>
              <w:rPr>
                <w:b/>
                <w:color w:val="FFFFFF"/>
                <w:sz w:val="16"/>
              </w:rPr>
              <w:t>Definition</w:t>
            </w:r>
          </w:p>
        </w:tc>
        <w:tc>
          <w:tcPr>
            <w:tcW w:type="dxa" w:w="3175"/>
            <w:vAlign w:val="center"/>
            <w:shd w:fill="17324D"/>
            <w:tcMar>
              <w:top w:w="90" w:type="dxa"/>
              <w:left w:w="90" w:type="dxa"/>
              <w:bottom w:w="90" w:type="dxa"/>
              <w:right w:w="90" w:type="dxa"/>
            </w:tcMar>
          </w:tcPr>
          <w:p>
            <w:r>
              <w:rPr>
                <w:b/>
                <w:color w:val="FFFFFF"/>
                <w:sz w:val="16"/>
              </w:rPr>
              <w:t>Why it matters</w:t>
            </w:r>
          </w:p>
        </w:tc>
      </w:tr>
      <w:tr>
        <w:tc>
          <w:tcPr>
            <w:tcW w:type="dxa" w:w="1701"/>
            <w:vAlign w:val="center"/>
            <w:tcMar>
              <w:top w:w="90" w:type="dxa"/>
              <w:left w:w="90" w:type="dxa"/>
              <w:bottom w:w="90" w:type="dxa"/>
              <w:right w:w="90" w:type="dxa"/>
            </w:tcMar>
          </w:tcPr>
          <w:p>
            <w:r>
              <w:rPr>
                <w:sz w:val="16"/>
              </w:rPr>
              <w:t>Expected charge</w:t>
            </w:r>
          </w:p>
        </w:tc>
        <w:tc>
          <w:tcPr>
            <w:tcW w:type="dxa" w:w="3515"/>
            <w:vAlign w:val="center"/>
            <w:tcMar>
              <w:top w:w="90" w:type="dxa"/>
              <w:left w:w="90" w:type="dxa"/>
              <w:bottom w:w="90" w:type="dxa"/>
              <w:right w:w="90" w:type="dxa"/>
            </w:tcMar>
          </w:tcPr>
          <w:p>
            <w:r>
              <w:rPr>
                <w:sz w:val="16"/>
              </w:rPr>
              <w:t>Usage × applicable rate, less standard credits</w:t>
            </w:r>
          </w:p>
        </w:tc>
        <w:tc>
          <w:tcPr>
            <w:tcW w:type="dxa" w:w="3969"/>
            <w:vAlign w:val="center"/>
            <w:tcMar>
              <w:top w:w="90" w:type="dxa"/>
              <w:left w:w="90" w:type="dxa"/>
              <w:bottom w:w="90" w:type="dxa"/>
              <w:right w:w="90" w:type="dxa"/>
            </w:tcMar>
          </w:tcPr>
          <w:p>
            <w:r>
              <w:rPr>
                <w:sz w:val="16"/>
              </w:rPr>
              <w:t>Creates the baseline billable value</w:t>
            </w:r>
          </w:p>
        </w:tc>
      </w:tr>
      <w:tr>
        <w:tc>
          <w:tcPr>
            <w:tcW w:type="dxa" w:w="1701"/>
            <w:vAlign w:val="center"/>
            <w:tcMar>
              <w:top w:w="90" w:type="dxa"/>
              <w:left w:w="90" w:type="dxa"/>
              <w:bottom w:w="90" w:type="dxa"/>
              <w:right w:w="90" w:type="dxa"/>
            </w:tcMar>
          </w:tcPr>
          <w:p>
            <w:r>
              <w:rPr>
                <w:sz w:val="16"/>
              </w:rPr>
              <w:t>Billing ratio</w:t>
            </w:r>
          </w:p>
        </w:tc>
        <w:tc>
          <w:tcPr>
            <w:tcW w:type="dxa" w:w="3515"/>
            <w:vAlign w:val="center"/>
            <w:tcMar>
              <w:top w:w="90" w:type="dxa"/>
              <w:left w:w="90" w:type="dxa"/>
              <w:bottom w:w="90" w:type="dxa"/>
              <w:right w:w="90" w:type="dxa"/>
            </w:tcMar>
          </w:tcPr>
          <w:p>
            <w:r>
              <w:rPr>
                <w:sz w:val="16"/>
              </w:rPr>
              <w:t>Billed amount ÷ expected charge</w:t>
            </w:r>
          </w:p>
        </w:tc>
        <w:tc>
          <w:tcPr>
            <w:tcW w:type="dxa" w:w="3969"/>
            <w:vAlign w:val="center"/>
            <w:tcMar>
              <w:top w:w="90" w:type="dxa"/>
              <w:left w:w="90" w:type="dxa"/>
              <w:bottom w:w="90" w:type="dxa"/>
              <w:right w:w="90" w:type="dxa"/>
            </w:tcMar>
          </w:tcPr>
          <w:p>
            <w:r>
              <w:rPr>
                <w:sz w:val="16"/>
              </w:rPr>
              <w:t>Detects proportional under-billing</w:t>
            </w:r>
          </w:p>
        </w:tc>
      </w:tr>
      <w:tr>
        <w:tc>
          <w:tcPr>
            <w:tcW w:type="dxa" w:w="1701"/>
            <w:vAlign w:val="center"/>
            <w:tcMar>
              <w:top w:w="90" w:type="dxa"/>
              <w:left w:w="90" w:type="dxa"/>
              <w:bottom w:w="90" w:type="dxa"/>
              <w:right w:w="90" w:type="dxa"/>
            </w:tcMar>
          </w:tcPr>
          <w:p>
            <w:r>
              <w:rPr>
                <w:sz w:val="16"/>
              </w:rPr>
              <w:t>Leakage gap</w:t>
            </w:r>
          </w:p>
        </w:tc>
        <w:tc>
          <w:tcPr>
            <w:tcW w:type="dxa" w:w="3515"/>
            <w:vAlign w:val="center"/>
            <w:tcMar>
              <w:top w:w="90" w:type="dxa"/>
              <w:left w:w="90" w:type="dxa"/>
              <w:bottom w:w="90" w:type="dxa"/>
              <w:right w:w="90" w:type="dxa"/>
            </w:tcMar>
          </w:tcPr>
          <w:p>
            <w:r>
              <w:rPr>
                <w:sz w:val="16"/>
              </w:rPr>
              <w:t>Expected charge − billed amount</w:t>
            </w:r>
          </w:p>
        </w:tc>
        <w:tc>
          <w:tcPr>
            <w:tcW w:type="dxa" w:w="3969"/>
            <w:vAlign w:val="center"/>
            <w:tcMar>
              <w:top w:w="90" w:type="dxa"/>
              <w:left w:w="90" w:type="dxa"/>
              <w:bottom w:w="90" w:type="dxa"/>
              <w:right w:w="90" w:type="dxa"/>
            </w:tcMar>
          </w:tcPr>
          <w:p>
            <w:r>
              <w:rPr>
                <w:sz w:val="16"/>
              </w:rPr>
              <w:t>Quantifies potential revenue at risk</w:t>
            </w:r>
          </w:p>
        </w:tc>
      </w:tr>
      <w:tr>
        <w:tc>
          <w:tcPr>
            <w:tcW w:type="dxa" w:w="1701"/>
            <w:vAlign w:val="center"/>
            <w:tcMar>
              <w:top w:w="90" w:type="dxa"/>
              <w:left w:w="90" w:type="dxa"/>
              <w:bottom w:w="90" w:type="dxa"/>
              <w:right w:w="90" w:type="dxa"/>
            </w:tcMar>
          </w:tcPr>
          <w:p>
            <w:r>
              <w:rPr>
                <w:sz w:val="16"/>
              </w:rPr>
              <w:t>Flagged record</w:t>
            </w:r>
          </w:p>
        </w:tc>
        <w:tc>
          <w:tcPr>
            <w:tcW w:type="dxa" w:w="3515"/>
            <w:vAlign w:val="center"/>
            <w:tcMar>
              <w:top w:w="90" w:type="dxa"/>
              <w:left w:w="90" w:type="dxa"/>
              <w:bottom w:w="90" w:type="dxa"/>
              <w:right w:w="90" w:type="dxa"/>
            </w:tcMar>
          </w:tcPr>
          <w:p>
            <w:r>
              <w:rPr>
                <w:sz w:val="16"/>
              </w:rPr>
              <w:t>Ratio &lt; 0.88 or large economic gap</w:t>
            </w:r>
          </w:p>
        </w:tc>
        <w:tc>
          <w:tcPr>
            <w:tcW w:type="dxa" w:w="3969"/>
            <w:vAlign w:val="center"/>
            <w:tcMar>
              <w:top w:w="90" w:type="dxa"/>
              <w:left w:w="90" w:type="dxa"/>
              <w:bottom w:w="90" w:type="dxa"/>
              <w:right w:w="90" w:type="dxa"/>
            </w:tcMar>
          </w:tcPr>
          <w:p>
            <w:r>
              <w:rPr>
                <w:sz w:val="16"/>
              </w:rPr>
              <w:t>Creates an auditable investigation queue</w:t>
            </w:r>
          </w:p>
        </w:tc>
      </w:tr>
      <w:tr>
        <w:tc>
          <w:tcPr>
            <w:tcW w:type="dxa" w:w="1701"/>
            <w:vAlign w:val="center"/>
            <w:tcMar>
              <w:top w:w="90" w:type="dxa"/>
              <w:left w:w="90" w:type="dxa"/>
              <w:bottom w:w="90" w:type="dxa"/>
              <w:right w:w="90" w:type="dxa"/>
            </w:tcMar>
          </w:tcPr>
          <w:p>
            <w:r>
              <w:rPr>
                <w:sz w:val="16"/>
              </w:rPr>
              <w:t>Severity</w:t>
            </w:r>
          </w:p>
        </w:tc>
        <w:tc>
          <w:tcPr>
            <w:tcW w:type="dxa" w:w="3515"/>
            <w:vAlign w:val="center"/>
            <w:tcMar>
              <w:top w:w="90" w:type="dxa"/>
              <w:left w:w="90" w:type="dxa"/>
              <w:bottom w:w="90" w:type="dxa"/>
              <w:right w:w="90" w:type="dxa"/>
            </w:tcMar>
          </w:tcPr>
          <w:p>
            <w:r>
              <w:rPr>
                <w:sz w:val="16"/>
              </w:rPr>
              <w:t>Critical / High / Medium / Low</w:t>
            </w:r>
          </w:p>
        </w:tc>
        <w:tc>
          <w:tcPr>
            <w:tcW w:type="dxa" w:w="3969"/>
            <w:vAlign w:val="center"/>
            <w:tcMar>
              <w:top w:w="90" w:type="dxa"/>
              <w:left w:w="90" w:type="dxa"/>
              <w:bottom w:w="90" w:type="dxa"/>
              <w:right w:w="90" w:type="dxa"/>
            </w:tcMar>
          </w:tcPr>
          <w:p>
            <w:r>
              <w:rPr>
                <w:sz w:val="16"/>
              </w:rPr>
              <w:t>Adds prioritisation to the exception list</w:t>
            </w:r>
          </w:p>
        </w:tc>
      </w:tr>
    </w:tbl>
    <w:p>
      <w:pPr>
        <w:spacing w:after="40"/>
      </w:pPr>
    </w:p>
    <w:p>
      <w:r>
        <w:br w:type="page"/>
      </w:r>
    </w:p>
    <w:p>
      <w:pPr>
        <w:pStyle w:val="Heading1"/>
        <w:keepNext/>
        <w:pBdr>
          <w:bottom w:val="single" w:sz="10" w:space="1" w:color="17324D"/>
        </w:pBdr>
      </w:pPr>
      <w:r>
        <w:t>3.  METHODOLOGY</w:t>
      </w:r>
    </w:p>
    <w:p>
      <w:pPr>
        <w:pStyle w:val="Small"/>
      </w:pPr>
      <w:r>
        <w:t>A deterministic workflow that can be implemented before machine learning.</w:t>
      </w:r>
    </w:p>
    <w:tbl>
      <w:tblPr>
        <w:tblW w:type="auto" w:w="0"/>
        <w:jc w:val="center"/>
        <w:tblLayout w:type="fixed"/>
        <w:tblLook w:firstColumn="1" w:firstRow="1" w:lastColumn="0" w:lastRow="0" w:noHBand="0" w:noVBand="1" w:val="04A0"/>
      </w:tblPr>
      <w:tblGrid>
        <w:gridCol w:w="4762"/>
        <w:gridCol w:w="4762"/>
      </w:tblGrid>
      <w:tr>
        <w:tc>
          <w:tcPr>
            <w:tcW w:type="dxa" w:w="4649"/>
            <w:vAlign w:val="top"/>
            <w:shd w:fill="F6F8F9"/>
          </w:tcPr>
          <w:p>
            <w:r>
              <w:rPr>
                <w:b/>
                <w:color w:val="2F7F7A"/>
                <w:sz w:val="24"/>
              </w:rPr>
              <w:t>01  Standardise</w:t>
            </w:r>
          </w:p>
          <w:p>
            <w:pPr>
              <w:spacing w:after="120"/>
            </w:pPr>
            <w:r>
              <w:t>Validate usage, plan, region, billing month, rate, and billed amount fields.</w:t>
            </w:r>
          </w:p>
        </w:tc>
        <w:tc>
          <w:tcPr>
            <w:tcW w:type="dxa" w:w="4649"/>
            <w:vAlign w:val="top"/>
            <w:shd w:fill="F6F8F9"/>
          </w:tcPr>
          <w:p>
            <w:r>
              <w:rPr>
                <w:b/>
                <w:color w:val="2F7F7A"/>
                <w:sz w:val="24"/>
              </w:rPr>
              <w:t>02  Estimate</w:t>
            </w:r>
          </w:p>
          <w:p>
            <w:pPr>
              <w:spacing w:after="120"/>
            </w:pPr>
            <w:r>
              <w:t>Calculate expected charge from observed usage and the applicable tariff rate.</w:t>
            </w:r>
          </w:p>
        </w:tc>
      </w:tr>
      <w:tr>
        <w:tc>
          <w:tcPr>
            <w:tcW w:type="dxa" w:w="4649"/>
            <w:vAlign w:val="top"/>
            <w:shd w:fill="F6F8F9"/>
          </w:tcPr>
          <w:p>
            <w:r>
              <w:rPr>
                <w:b/>
                <w:color w:val="2F7F7A"/>
                <w:sz w:val="24"/>
              </w:rPr>
              <w:t>03  Reconcile</w:t>
            </w:r>
          </w:p>
          <w:p>
            <w:pPr>
              <w:spacing w:after="120"/>
            </w:pPr>
            <w:r>
              <w:t>Compute billing ratio and absolute leakage gap for each record.</w:t>
            </w:r>
          </w:p>
        </w:tc>
        <w:tc>
          <w:tcPr>
            <w:tcW w:type="dxa" w:w="4649"/>
            <w:vAlign w:val="top"/>
            <w:shd w:fill="F6F8F9"/>
          </w:tcPr>
          <w:p>
            <w:r>
              <w:rPr>
                <w:b/>
                <w:color w:val="2F7F7A"/>
                <w:sz w:val="24"/>
              </w:rPr>
              <w:t>04  Detect</w:t>
            </w:r>
          </w:p>
          <w:p>
            <w:pPr>
              <w:spacing w:after="120"/>
            </w:pPr>
            <w:r>
              <w:t>Apply transparent thresholds and pattern-specific checks to create flags.</w:t>
            </w:r>
          </w:p>
        </w:tc>
      </w:tr>
      <w:tr>
        <w:tc>
          <w:tcPr>
            <w:tcW w:type="dxa" w:w="4649"/>
            <w:vAlign w:val="top"/>
            <w:shd w:fill="F6F8F9"/>
          </w:tcPr>
          <w:p>
            <w:r>
              <w:rPr>
                <w:b/>
                <w:color w:val="2F7F7A"/>
                <w:sz w:val="24"/>
              </w:rPr>
              <w:t>05  Prioritise</w:t>
            </w:r>
          </w:p>
          <w:p>
            <w:pPr>
              <w:spacing w:after="120"/>
            </w:pPr>
            <w:r>
              <w:t>Rank cases by economic gap and assign severity for investigation.</w:t>
            </w:r>
          </w:p>
        </w:tc>
        <w:tc>
          <w:tcPr>
            <w:tcW w:type="dxa" w:w="4649"/>
            <w:vAlign w:val="top"/>
            <w:shd w:fill="F6F8F9"/>
          </w:tcPr>
          <w:p>
            <w:r>
              <w:rPr>
                <w:b/>
                <w:color w:val="2F7F7A"/>
                <w:sz w:val="24"/>
              </w:rPr>
              <w:t>06  Visualise</w:t>
            </w:r>
          </w:p>
          <w:p>
            <w:pPr>
              <w:spacing w:after="120"/>
            </w:pPr>
            <w:r>
              <w:t>Use charts to expose concentration, trends, and abnormal relationships.</w:t>
            </w:r>
          </w:p>
        </w:tc>
      </w:tr>
    </w:tbl>
    <w:p>
      <w:r>
        <w:t>Detection rule used in this report: Flag a record when Billing_Ratio &lt; 0.88 OR when the absolute leakage gap exceeds ₹120 for high-usage records. Severity increases with the size of the gap.</w:t>
      </w:r>
    </w:p>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Why rule-based first?</w:t>
            </w:r>
          </w:p>
          <w:p>
            <w:pPr>
              <w:spacing w:after="40"/>
            </w:pPr>
            <w:r>
              <w:t>The rules are easy to inspect, explain, reproduce, and validate with billing specialists. A production implementation can later add statistical or machine-learning models without replacing the reconciliation layer.</w:t>
            </w:r>
          </w:p>
        </w:tc>
      </w:tr>
    </w:tbl>
    <w:p>
      <w:pPr>
        <w:spacing w:after="20"/>
      </w:pPr>
    </w:p>
    <w:p>
      <w:r>
        <w:br w:type="page"/>
      </w:r>
    </w:p>
    <w:p>
      <w:pPr>
        <w:pStyle w:val="Heading1"/>
        <w:keepNext/>
        <w:pBdr>
          <w:bottom w:val="single" w:sz="10" w:space="1" w:color="17324D"/>
        </w:pBdr>
      </w:pPr>
      <w:r>
        <w:t>4.  CODE</w:t>
      </w:r>
    </w:p>
    <w:p>
      <w:pPr>
        <w:pStyle w:val="Small"/>
      </w:pPr>
      <w:r>
        <w:t>Python implementation used to generate the dataset, calculate leakage, and create the visuals.</w:t>
      </w:r>
    </w:p>
    <w:p>
      <w:r>
        <w:t>The code below is intentionally written in a readable research-project style. It shows the main analytical steps rather than hiding the logic inside a black-box package.</w:t>
      </w:r>
    </w:p>
    <w:tbl>
      <w:tblPr>
        <w:tblW w:type="auto" w:w="0"/>
        <w:jc w:val="center"/>
        <w:tblLook w:firstColumn="1" w:firstRow="1" w:lastColumn="0" w:lastRow="0" w:noHBand="0" w:noVBand="1" w:val="04A0"/>
      </w:tblPr>
      <w:tblGrid>
        <w:gridCol w:w="9524"/>
      </w:tblGrid>
      <w:tr>
        <w:tc>
          <w:tcPr>
            <w:tcW w:type="dxa" w:w="9524"/>
            <w:shd w:fill="F7F9FA"/>
          </w:tcPr>
          <w:p>
            <w:r>
              <w:t>import numpy as np</w:t>
            </w:r>
          </w:p>
          <w:p>
            <w:pPr>
              <w:pStyle w:val="CodeBlock"/>
            </w:pPr>
            <w:r>
              <w:t>import pandas as pd</w:t>
            </w:r>
          </w:p>
          <w:p>
            <w:pPr>
              <w:pStyle w:val="CodeBlock"/>
            </w:pPr>
            <w:r/>
          </w:p>
          <w:p>
            <w:pPr>
              <w:pStyle w:val="CodeBlock"/>
            </w:pPr>
            <w:r>
              <w:t>rng = np.random.default_rng(42)</w:t>
            </w:r>
          </w:p>
          <w:p>
            <w:pPr>
              <w:pStyle w:val="CodeBlock"/>
            </w:pPr>
            <w:r>
              <w:t>n = 1200</w:t>
            </w:r>
          </w:p>
          <w:p>
            <w:pPr>
              <w:pStyle w:val="CodeBlock"/>
            </w:pPr>
            <w:r/>
          </w:p>
          <w:p>
            <w:pPr>
              <w:pStyle w:val="CodeBlock"/>
            </w:pPr>
            <w:r>
              <w:t># Core fields</w:t>
            </w:r>
          </w:p>
          <w:p>
            <w:pPr>
              <w:pStyle w:val="CodeBlock"/>
            </w:pPr>
            <w:r>
              <w:t>plan = rng.choice(["Prepaid", "Postpaid", "Business"],</w:t>
            </w:r>
          </w:p>
          <w:p>
            <w:pPr>
              <w:pStyle w:val="CodeBlock"/>
            </w:pPr>
            <w:r>
              <w:t xml:space="preserve">                  size=n, p=[0.50, 0.42, 0.08])</w:t>
            </w:r>
          </w:p>
          <w:p>
            <w:pPr>
              <w:pStyle w:val="CodeBlock"/>
            </w:pPr>
            <w:r>
              <w:t>usage = np.clip(</w:t>
            </w:r>
          </w:p>
          <w:p>
            <w:pPr>
              <w:pStyle w:val="CodeBlock"/>
            </w:pPr>
            <w:r>
              <w:t xml:space="preserve">    np.select([plan == "Prepaid", plan == "Postpaid", plan == "Business"],</w:t>
            </w:r>
          </w:p>
          <w:p>
            <w:pPr>
              <w:pStyle w:val="CodeBlock"/>
            </w:pPr>
            <w:r>
              <w:t xml:space="preserve">              [25, 50, 300]) * rng.lognormal(0, 0.45, n),</w:t>
            </w:r>
          </w:p>
          <w:p>
            <w:pPr>
              <w:pStyle w:val="CodeBlock"/>
            </w:pPr>
            <w:r>
              <w:t xml:space="preserve">    5, None</w:t>
            </w:r>
          </w:p>
          <w:p>
            <w:pPr>
              <w:pStyle w:val="CodeBlock"/>
            </w:pPr>
            <w:r>
              <w:t>)</w:t>
            </w:r>
          </w:p>
          <w:p>
            <w:pPr>
              <w:pStyle w:val="CodeBlock"/>
            </w:pPr>
            <w:r>
              <w:t>usage = np.round(usage, 1)</w:t>
            </w:r>
          </w:p>
          <w:p>
            <w:pPr>
              <w:pStyle w:val="CodeBlock"/>
            </w:pPr>
            <w:r/>
          </w:p>
          <w:p>
            <w:pPr>
              <w:pStyle w:val="CodeBlock"/>
            </w:pPr>
            <w:r>
              <w:t>rate = np.select([plan == "Prepaid", plan == "Postpaid", plan == "Business"],</w:t>
            </w:r>
          </w:p>
          <w:p>
            <w:pPr>
              <w:pStyle w:val="CodeBlock"/>
            </w:pPr>
            <w:r>
              <w:t xml:space="preserve">                 [2.8, 2.4, 1.7])</w:t>
            </w:r>
          </w:p>
          <w:p>
            <w:pPr>
              <w:pStyle w:val="CodeBlock"/>
            </w:pPr>
            <w:r>
              <w:t>expected = usage * rate</w:t>
            </w:r>
          </w:p>
          <w:p>
            <w:pPr>
              <w:pStyle w:val="CodeBlock"/>
            </w:pPr>
            <w:r>
              <w:t>credit = np.clip(rng.normal(5, 4, n), 0, 18)</w:t>
            </w:r>
          </w:p>
          <w:p>
            <w:pPr>
              <w:pStyle w:val="CodeBlock"/>
            </w:pPr>
            <w:r>
              <w:t>bill = np.maximum(expected - credit, 0)</w:t>
            </w:r>
          </w:p>
          <w:p>
            <w:pPr>
              <w:pStyle w:val="CodeBlock"/>
            </w:pPr>
            <w:r/>
          </w:p>
          <w:p>
            <w:pPr>
              <w:pStyle w:val="CodeBlock"/>
            </w:pPr>
            <w:r>
              <w:t># Leakage scenarios are injected for demonstration</w:t>
            </w:r>
          </w:p>
          <w:p>
            <w:pPr>
              <w:pStyle w:val="CodeBlock"/>
            </w:pPr>
            <w:r>
              <w:t>under_idx = rng.choice(n, 95, replace=False)</w:t>
            </w:r>
          </w:p>
          <w:p>
            <w:pPr>
              <w:pStyle w:val="CodeBlock"/>
            </w:pPr>
            <w:r>
              <w:t>bill[under_idx] *= rng.uniform(0.35, 0.88, len(under_idx))</w:t>
            </w:r>
          </w:p>
          <w:p>
            <w:pPr>
              <w:pStyle w:val="CodeBlock"/>
            </w:pPr>
            <w:r/>
          </w:p>
          <w:p>
            <w:pPr>
              <w:pStyle w:val="CodeBlock"/>
            </w:pPr>
            <w:r>
              <w:t># Reconciliation metrics</w:t>
            </w:r>
          </w:p>
          <w:p>
            <w:pPr>
              <w:pStyle w:val="CodeBlock"/>
            </w:pPr>
            <w:r>
              <w:t>leakage_gap = expected - bill</w:t>
            </w:r>
          </w:p>
          <w:p>
            <w:pPr>
              <w:pStyle w:val="CodeBlock"/>
            </w:pPr>
            <w:r>
              <w:t>billing_ratio = bill / expected</w:t>
            </w:r>
          </w:p>
        </w:tc>
      </w:tr>
    </w:tbl>
    <w:p>
      <w:r>
        <w:br w:type="page"/>
      </w:r>
    </w:p>
    <w:p>
      <w:pPr>
        <w:pStyle w:val="Heading1"/>
        <w:keepNext/>
        <w:pBdr>
          <w:bottom w:val="single" w:sz="10" w:space="1" w:color="17324D"/>
        </w:pBdr>
      </w:pPr>
      <w:r>
        <w:t>4.  CODE — DETECTION &amp; VISUALISATION</w:t>
      </w:r>
    </w:p>
    <w:p>
      <w:pPr>
        <w:pStyle w:val="Small"/>
      </w:pPr>
      <w:r>
        <w:t>Continuation of the reproducible analysis.</w:t>
      </w:r>
    </w:p>
    <w:tbl>
      <w:tblPr>
        <w:tblW w:type="auto" w:w="0"/>
        <w:jc w:val="center"/>
        <w:tblLook w:firstColumn="1" w:firstRow="1" w:lastColumn="0" w:lastRow="0" w:noHBand="0" w:noVBand="1" w:val="04A0"/>
      </w:tblPr>
      <w:tblGrid>
        <w:gridCol w:w="9524"/>
      </w:tblGrid>
      <w:tr>
        <w:tc>
          <w:tcPr>
            <w:tcW w:type="dxa" w:w="9524"/>
            <w:shd w:fill="F7F9FA"/>
          </w:tcPr>
          <w:p>
            <w:pPr>
              <w:pStyle w:val="CodeBlock"/>
            </w:pPr>
            <w:r>
              <w:t># Detection controls</w:t>
            </w:r>
          </w:p>
          <w:p>
            <w:pPr>
              <w:pStyle w:val="CodeBlock"/>
            </w:pPr>
            <w:r>
              <w:t>flagged = (billing_ratio &lt; 0.88) | (</w:t>
            </w:r>
          </w:p>
          <w:p>
            <w:pPr>
              <w:pStyle w:val="CodeBlock"/>
            </w:pPr>
            <w:r>
              <w:t xml:space="preserve">    (leakage_gap &gt; 120) &amp; (usage &gt; 60)</w:t>
            </w:r>
          </w:p>
          <w:p>
            <w:pPr>
              <w:pStyle w:val="CodeBlock"/>
            </w:pPr>
            <w:r>
              <w:t>)</w:t>
            </w:r>
          </w:p>
          <w:p>
            <w:pPr>
              <w:pStyle w:val="CodeBlock"/>
            </w:pPr>
            <w:r/>
          </w:p>
          <w:p>
            <w:pPr>
              <w:pStyle w:val="CodeBlock"/>
            </w:pPr>
            <w:r>
              <w:t>severity = np.select(</w:t>
            </w:r>
          </w:p>
          <w:p>
            <w:pPr>
              <w:pStyle w:val="CodeBlock"/>
            </w:pPr>
            <w:r>
              <w:t xml:space="preserve">    [leakage_gap &gt;= 350, leakage_gap &gt;= 150, leakage_gap &gt;= 50],</w:t>
            </w:r>
          </w:p>
          <w:p>
            <w:pPr>
              <w:pStyle w:val="CodeBlock"/>
            </w:pPr>
            <w:r>
              <w:t xml:space="preserve">    ["Critical", "High", "Medium"],</w:t>
            </w:r>
          </w:p>
          <w:p>
            <w:pPr>
              <w:pStyle w:val="CodeBlock"/>
            </w:pPr>
            <w:r>
              <w:t xml:space="preserve">    default="Low"</w:t>
            </w:r>
          </w:p>
          <w:p>
            <w:pPr>
              <w:pStyle w:val="CodeBlock"/>
            </w:pPr>
            <w:r>
              <w:t>)</w:t>
            </w:r>
          </w:p>
          <w:p>
            <w:pPr>
              <w:pStyle w:val="CodeBlock"/>
            </w:pPr>
            <w:r/>
          </w:p>
          <w:p>
            <w:pPr>
              <w:pStyle w:val="CodeBlock"/>
            </w:pPr>
            <w:r>
              <w:t># Useful investigation table</w:t>
            </w:r>
          </w:p>
          <w:p>
            <w:pPr>
              <w:pStyle w:val="CodeBlock"/>
            </w:pPr>
            <w:r>
              <w:t>exceptions = df.loc[flagged, [</w:t>
            </w:r>
          </w:p>
          <w:p>
            <w:pPr>
              <w:pStyle w:val="CodeBlock"/>
            </w:pPr>
            <w:r>
              <w:t xml:space="preserve">    "Customer_ID", "Plan", "Region", "Usage_GB",</w:t>
            </w:r>
          </w:p>
          <w:p>
            <w:pPr>
              <w:pStyle w:val="CodeBlock"/>
            </w:pPr>
            <w:r>
              <w:t xml:space="preserve">    "Expected_Charge", "Billed_Amount", "Leakage_Gap",</w:t>
            </w:r>
          </w:p>
          <w:p>
            <w:pPr>
              <w:pStyle w:val="CodeBlock"/>
            </w:pPr>
            <w:r>
              <w:t xml:space="preserve">    "Billing_Ratio", "Severity"</w:t>
            </w:r>
          </w:p>
          <w:p>
            <w:pPr>
              <w:pStyle w:val="CodeBlock"/>
            </w:pPr>
            <w:r>
              <w:t>]].sort_values("Leakage_Gap", ascending=False)</w:t>
            </w:r>
          </w:p>
          <w:p>
            <w:pPr>
              <w:pStyle w:val="CodeBlock"/>
            </w:pPr>
            <w:r/>
          </w:p>
          <w:p>
            <w:pPr>
              <w:pStyle w:val="CodeBlock"/>
            </w:pPr>
            <w:r>
              <w:t># Example: potential leakage by month</w:t>
            </w:r>
          </w:p>
          <w:p>
            <w:pPr>
              <w:pStyle w:val="CodeBlock"/>
            </w:pPr>
            <w:r>
              <w:t>monthly = (df.groupby("Billing_Month")</w:t>
            </w:r>
          </w:p>
          <w:p>
            <w:pPr>
              <w:pStyle w:val="CodeBlock"/>
            </w:pPr>
            <w:r>
              <w:t xml:space="preserve">             .agg(leakage_gap=("Leakage_Gap", "sum"),</w:t>
            </w:r>
          </w:p>
          <w:p>
            <w:pPr>
              <w:pStyle w:val="CodeBlock"/>
            </w:pPr>
            <w:r>
              <w:t xml:space="preserve">                  flagged_rate=("Flagged", "mean"))</w:t>
            </w:r>
          </w:p>
          <w:p>
            <w:pPr>
              <w:pStyle w:val="CodeBlock"/>
            </w:pPr>
            <w:r>
              <w:t xml:space="preserve">             .reset_index())</w:t>
            </w:r>
          </w:p>
          <w:p>
            <w:pPr>
              <w:pStyle w:val="CodeBlock"/>
            </w:pPr>
            <w:r/>
          </w:p>
          <w:p>
            <w:pPr>
              <w:pStyle w:val="CodeBlock"/>
            </w:pPr>
            <w:r>
              <w:t># Example visual</w:t>
            </w:r>
          </w:p>
          <w:p>
            <w:pPr>
              <w:pStyle w:val="CodeBlock"/>
            </w:pPr>
            <w:r>
              <w:t>import matplotlib.pyplot as plt</w:t>
            </w:r>
          </w:p>
          <w:p>
            <w:pPr>
              <w:pStyle w:val="CodeBlock"/>
            </w:pPr>
            <w:r>
              <w:t>plt.plot(monthly["Billing_Month"], monthly["leakage_gap"], marker="o")</w:t>
            </w:r>
          </w:p>
          <w:p>
            <w:pPr>
              <w:pStyle w:val="CodeBlock"/>
            </w:pPr>
            <w:r>
              <w:t>plt.xlabel("Billing month")</w:t>
            </w:r>
          </w:p>
          <w:p>
            <w:pPr>
              <w:pStyle w:val="CodeBlock"/>
            </w:pPr>
            <w:r>
              <w:t>plt.ylabel("Estimated leakage gap")</w:t>
            </w:r>
          </w:p>
          <w:p>
            <w:pPr>
              <w:pStyle w:val="CodeBlock"/>
            </w:pPr>
            <w:r>
              <w:t>plt.title("Monthly Leakage Gap Trend")</w:t>
            </w:r>
          </w:p>
          <w:p>
            <w:pPr>
              <w:pStyle w:val="CodeBlock"/>
            </w:pPr>
            <w:r>
              <w:t>plt.tight_layout()</w:t>
            </w:r>
          </w:p>
          <w:p>
            <w:pPr>
              <w:pStyle w:val="CodeBlock"/>
            </w:pPr>
            <w:r>
              <w:t>plt.show()</w:t>
            </w:r>
          </w:p>
        </w:tc>
      </w:tr>
    </w:tbl>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Implementation note</w:t>
            </w:r>
          </w:p>
          <w:p>
            <w:pPr>
              <w:spacing w:after="40"/>
            </w:pPr>
            <w:r>
              <w:t>In a real telecom environment, the expected charge should come from the production tariff/rating engine rather than a simplified Usage × Rate calculation. The research prototype intentionally keeps the reconciliation logic visible.</w:t>
            </w:r>
          </w:p>
        </w:tc>
      </w:tr>
    </w:tbl>
    <w:p>
      <w:pPr>
        <w:spacing w:after="20"/>
      </w:pPr>
    </w:p>
    <w:p>
      <w:r>
        <w:br w:type="page"/>
      </w:r>
    </w:p>
    <w:p>
      <w:pPr>
        <w:pStyle w:val="Heading1"/>
        <w:keepNext/>
        <w:pBdr>
          <w:bottom w:val="single" w:sz="10" w:space="1" w:color="17324D"/>
        </w:pBdr>
      </w:pPr>
      <w:r>
        <w:t>5.  OUTPUT — VISUAL ANALYSIS</w:t>
      </w:r>
    </w:p>
    <w:p>
      <w:pPr>
        <w:pStyle w:val="Small"/>
      </w:pPr>
      <w:r>
        <w:t>Each chart is isolated so that the pattern is readable without visual clutter.</w:t>
      </w:r>
    </w:p>
    <w:p>
      <w:pPr>
        <w:spacing w:before="140" w:after="100"/>
        <w:jc w:val="center"/>
      </w:pPr>
      <w:r>
        <w:drawing>
          <wp:inline xmlns:a="http://schemas.openxmlformats.org/drawingml/2006/main" xmlns:pic="http://schemas.openxmlformats.org/drawingml/2006/picture">
            <wp:extent cx="5688000" cy="3158580"/>
            <wp:docPr id="1" name="Picture 1"/>
            <wp:cNvGraphicFramePr>
              <a:graphicFrameLocks noChangeAspect="1"/>
            </wp:cNvGraphicFramePr>
            <a:graphic>
              <a:graphicData uri="http://schemas.openxmlformats.org/drawingml/2006/picture">
                <pic:pic>
                  <pic:nvPicPr>
                    <pic:cNvPr id="0" name="01_billing_ratio.png"/>
                    <pic:cNvPicPr/>
                  </pic:nvPicPr>
                  <pic:blipFill>
                    <a:blip r:embed="rId11"/>
                    <a:stretch>
                      <a:fillRect/>
                    </a:stretch>
                  </pic:blipFill>
                  <pic:spPr>
                    <a:xfrm>
                      <a:off x="0" y="0"/>
                      <a:ext cx="5688000" cy="3158580"/>
                    </a:xfrm>
                    <a:prstGeom prst="rect"/>
                  </pic:spPr>
                </pic:pic>
              </a:graphicData>
            </a:graphic>
          </wp:inline>
        </w:drawing>
      </w:r>
    </w:p>
    <w:p>
      <w:pPr>
        <w:pStyle w:val="Small"/>
        <w:jc w:val="center"/>
      </w:pPr>
      <w:r>
        <w:t>Figure 1. Billing ratio distribution. The dashed threshold separates records requiring reconciliation review.</w:t>
      </w:r>
    </w:p>
    <w:p>
      <w:r>
        <w:t>The distribution is concentrated near a normal billing relationship, while a visible left tail captures accounts with materially reduced billed value. The alert threshold creates a repeatable control rather than relying on visual judgement alone.</w:t>
      </w:r>
    </w:p>
    <w:p>
      <w:r>
        <w:br w:type="page"/>
      </w:r>
    </w:p>
    <w:p>
      <w:pPr>
        <w:pStyle w:val="Heading1"/>
        <w:keepNext/>
        <w:pBdr>
          <w:bottom w:val="single" w:sz="10" w:space="1" w:color="17324D"/>
        </w:pBdr>
      </w:pPr>
      <w:r>
        <w:t>5.  OUTPUT — VISUAL ANALYSIS</w:t>
      </w:r>
    </w:p>
    <w:p>
      <w:pPr>
        <w:pStyle w:val="Small"/>
      </w:pPr>
      <w:r>
        <w:t>Leakage concentration by detected pattern.</w:t>
      </w:r>
    </w:p>
    <w:p>
      <w:pPr>
        <w:spacing w:before="140" w:after="100"/>
        <w:jc w:val="center"/>
      </w:pPr>
      <w:r>
        <w:drawing>
          <wp:inline xmlns:a="http://schemas.openxmlformats.org/drawingml/2006/main" xmlns:pic="http://schemas.openxmlformats.org/drawingml/2006/picture">
            <wp:extent cx="5688000" cy="3299104"/>
            <wp:docPr id="2" name="Picture 2"/>
            <wp:cNvGraphicFramePr>
              <a:graphicFrameLocks noChangeAspect="1"/>
            </wp:cNvGraphicFramePr>
            <a:graphic>
              <a:graphicData uri="http://schemas.openxmlformats.org/drawingml/2006/picture">
                <pic:pic>
                  <pic:nvPicPr>
                    <pic:cNvPr id="0" name="02_leakage_by_type.png"/>
                    <pic:cNvPicPr/>
                  </pic:nvPicPr>
                  <pic:blipFill>
                    <a:blip r:embed="rId12"/>
                    <a:stretch>
                      <a:fillRect/>
                    </a:stretch>
                  </pic:blipFill>
                  <pic:spPr>
                    <a:xfrm>
                      <a:off x="0" y="0"/>
                      <a:ext cx="5688000" cy="3299104"/>
                    </a:xfrm>
                    <a:prstGeom prst="rect"/>
                  </pic:spPr>
                </pic:pic>
              </a:graphicData>
            </a:graphic>
          </wp:inline>
        </w:drawing>
      </w:r>
    </w:p>
    <w:p>
      <w:pPr>
        <w:pStyle w:val="Small"/>
        <w:jc w:val="center"/>
      </w:pPr>
      <w:r>
        <w:t>Figure 2. Estimated leakage gap by detected pattern. Near-zero billing and under-billed usage are high-priority patterns because they combine low billed value with meaningful expected consumption.</w:t>
      </w:r>
    </w:p>
    <w:p>
      <w:r>
        <w:t>This view helps a revenue-assurance team decide whether to investigate the billing engine, discount logic, event mediation, or individual account configurations first.</w:t>
      </w:r>
    </w:p>
    <w:p>
      <w:r>
        <w:br w:type="page"/>
      </w:r>
    </w:p>
    <w:p>
      <w:pPr>
        <w:pStyle w:val="Heading1"/>
        <w:keepNext/>
        <w:pBdr>
          <w:bottom w:val="single" w:sz="10" w:space="1" w:color="17324D"/>
        </w:pBdr>
      </w:pPr>
      <w:r>
        <w:t>5.  OUTPUT — VISUAL ANALYSIS</w:t>
      </w:r>
    </w:p>
    <w:p>
      <w:pPr>
        <w:pStyle w:val="Small"/>
      </w:pPr>
      <w:r>
        <w:t>Regional concentration of potential leakage.</w:t>
      </w:r>
    </w:p>
    <w:p>
      <w:pPr>
        <w:spacing w:before="140" w:after="100"/>
        <w:jc w:val="center"/>
      </w:pPr>
      <w:r>
        <w:drawing>
          <wp:inline xmlns:a="http://schemas.openxmlformats.org/drawingml/2006/main" xmlns:pic="http://schemas.openxmlformats.org/drawingml/2006/picture">
            <wp:extent cx="5688000" cy="3158580"/>
            <wp:docPr id="3" name="Picture 3"/>
            <wp:cNvGraphicFramePr>
              <a:graphicFrameLocks noChangeAspect="1"/>
            </wp:cNvGraphicFramePr>
            <a:graphic>
              <a:graphicData uri="http://schemas.openxmlformats.org/drawingml/2006/picture">
                <pic:pic>
                  <pic:nvPicPr>
                    <pic:cNvPr id="0" name="03_region_gap.png"/>
                    <pic:cNvPicPr/>
                  </pic:nvPicPr>
                  <pic:blipFill>
                    <a:blip r:embed="rId13"/>
                    <a:stretch>
                      <a:fillRect/>
                    </a:stretch>
                  </pic:blipFill>
                  <pic:spPr>
                    <a:xfrm>
                      <a:off x="0" y="0"/>
                      <a:ext cx="5688000" cy="3158580"/>
                    </a:xfrm>
                    <a:prstGeom prst="rect"/>
                  </pic:spPr>
                </pic:pic>
              </a:graphicData>
            </a:graphic>
          </wp:inline>
        </w:drawing>
      </w:r>
    </w:p>
    <w:p>
      <w:pPr>
        <w:pStyle w:val="Small"/>
        <w:jc w:val="center"/>
      </w:pPr>
      <w:r>
        <w:t>Figure 3. Estimated leakage gap by region. Labels also show the share of records flagged in each region.</w:t>
      </w:r>
    </w:p>
    <w:p>
      <w:r>
        <w:t>A region with a large total gap but a moderate flag rate can indicate a smaller number of high-value exceptions. Conversely, a high flag rate with a modest total gap can indicate a broad but lower-value process issue.</w:t>
      </w:r>
    </w:p>
    <w:p>
      <w:r>
        <w:br w:type="page"/>
      </w:r>
    </w:p>
    <w:p>
      <w:pPr>
        <w:pStyle w:val="Heading1"/>
        <w:keepNext/>
        <w:pBdr>
          <w:bottom w:val="single" w:sz="10" w:space="1" w:color="17324D"/>
        </w:pBdr>
      </w:pPr>
      <w:r>
        <w:t>5.  OUTPUT — VISUAL ANALYSIS</w:t>
      </w:r>
    </w:p>
    <w:p>
      <w:pPr>
        <w:pStyle w:val="Small"/>
      </w:pPr>
      <w:r>
        <w:t>Time dimension of the leakage signal.</w:t>
      </w:r>
    </w:p>
    <w:p>
      <w:pPr>
        <w:spacing w:before="140" w:after="100"/>
        <w:jc w:val="center"/>
      </w:pPr>
      <w:r>
        <w:drawing>
          <wp:inline xmlns:a="http://schemas.openxmlformats.org/drawingml/2006/main" xmlns:pic="http://schemas.openxmlformats.org/drawingml/2006/picture">
            <wp:extent cx="5688000" cy="3299104"/>
            <wp:docPr id="4" name="Picture 4"/>
            <wp:cNvGraphicFramePr>
              <a:graphicFrameLocks noChangeAspect="1"/>
            </wp:cNvGraphicFramePr>
            <a:graphic>
              <a:graphicData uri="http://schemas.openxmlformats.org/drawingml/2006/picture">
                <pic:pic>
                  <pic:nvPicPr>
                    <pic:cNvPr id="0" name="04_monthly_trend.png"/>
                    <pic:cNvPicPr/>
                  </pic:nvPicPr>
                  <pic:blipFill>
                    <a:blip r:embed="rId14"/>
                    <a:stretch>
                      <a:fillRect/>
                    </a:stretch>
                  </pic:blipFill>
                  <pic:spPr>
                    <a:xfrm>
                      <a:off x="0" y="0"/>
                      <a:ext cx="5688000" cy="3299104"/>
                    </a:xfrm>
                    <a:prstGeom prst="rect"/>
                  </pic:spPr>
                </pic:pic>
              </a:graphicData>
            </a:graphic>
          </wp:inline>
        </w:drawing>
      </w:r>
    </w:p>
    <w:p>
      <w:pPr>
        <w:pStyle w:val="Small"/>
        <w:jc w:val="center"/>
      </w:pPr>
      <w:r>
        <w:t>Figure 4. Monthly leakage-gap trend across the synthetic billing period.</w:t>
      </w:r>
    </w:p>
    <w:p>
      <w:r>
        <w:t>A time series is essential because a sudden increase can signal a newly introduced billing or mediation defect. A persistent elevated level may instead point to a structural configuration problem.</w:t>
      </w:r>
    </w:p>
    <w:p>
      <w:r>
        <w:br w:type="page"/>
      </w:r>
    </w:p>
    <w:p>
      <w:pPr>
        <w:pStyle w:val="Heading1"/>
        <w:keepNext/>
        <w:pBdr>
          <w:bottom w:val="single" w:sz="10" w:space="1" w:color="17324D"/>
        </w:pBdr>
      </w:pPr>
      <w:r>
        <w:t>5.  OUTPUT — VISUAL ANALYSIS</w:t>
      </w:r>
    </w:p>
    <w:p>
      <w:pPr>
        <w:pStyle w:val="Small"/>
      </w:pPr>
      <w:r>
        <w:t>Relationship between expected and billed value.</w:t>
      </w:r>
    </w:p>
    <w:p>
      <w:pPr>
        <w:spacing w:before="140" w:after="100"/>
        <w:jc w:val="center"/>
      </w:pPr>
      <w:r>
        <w:drawing>
          <wp:inline xmlns:a="http://schemas.openxmlformats.org/drawingml/2006/main" xmlns:pic="http://schemas.openxmlformats.org/drawingml/2006/picture">
            <wp:extent cx="5688000" cy="3299104"/>
            <wp:docPr id="5" name="Picture 5"/>
            <wp:cNvGraphicFramePr>
              <a:graphicFrameLocks noChangeAspect="1"/>
            </wp:cNvGraphicFramePr>
            <a:graphic>
              <a:graphicData uri="http://schemas.openxmlformats.org/drawingml/2006/picture">
                <pic:pic>
                  <pic:nvPicPr>
                    <pic:cNvPr id="0" name="05_expected_vs_billed.png"/>
                    <pic:cNvPicPr/>
                  </pic:nvPicPr>
                  <pic:blipFill>
                    <a:blip r:embed="rId15"/>
                    <a:stretch>
                      <a:fillRect/>
                    </a:stretch>
                  </pic:blipFill>
                  <pic:spPr>
                    <a:xfrm>
                      <a:off x="0" y="0"/>
                      <a:ext cx="5688000" cy="3299104"/>
                    </a:xfrm>
                    <a:prstGeom prst="rect"/>
                  </pic:spPr>
                </pic:pic>
              </a:graphicData>
            </a:graphic>
          </wp:inline>
        </w:drawing>
      </w:r>
    </w:p>
    <w:p>
      <w:pPr>
        <w:pStyle w:val="Small"/>
        <w:jc w:val="center"/>
      </w:pPr>
      <w:r>
        <w:t>Figure 5. Expected charge versus billed amount. Points below the diagonal represent records billed below the expected amount; flagged cases are highlighted.</w:t>
      </w:r>
    </w:p>
    <w:p>
      <w:r>
        <w:t>The diagonal provides an intuitive control line. Exceptions that move far below the line deserve attention even when the customer is not among the highest-usage accounts.</w:t>
      </w:r>
    </w:p>
    <w:p>
      <w:r>
        <w:br w:type="page"/>
      </w:r>
    </w:p>
    <w:p>
      <w:pPr>
        <w:pStyle w:val="Heading1"/>
        <w:keepNext/>
        <w:pBdr>
          <w:bottom w:val="single" w:sz="10" w:space="1" w:color="17324D"/>
        </w:pBdr>
      </w:pPr>
      <w:r>
        <w:t>5.  OUTPUT — VISUAL ANALYSIS</w:t>
      </w:r>
    </w:p>
    <w:p>
      <w:pPr>
        <w:pStyle w:val="Small"/>
      </w:pPr>
      <w:r>
        <w:t>Investigation priority.</w:t>
      </w:r>
    </w:p>
    <w:p>
      <w:pPr>
        <w:spacing w:before="140" w:after="100"/>
        <w:jc w:val="center"/>
      </w:pPr>
      <w:r>
        <w:drawing>
          <wp:inline xmlns:a="http://schemas.openxmlformats.org/drawingml/2006/main" xmlns:pic="http://schemas.openxmlformats.org/drawingml/2006/picture">
            <wp:extent cx="5688000" cy="3158580"/>
            <wp:docPr id="6" name="Picture 6"/>
            <wp:cNvGraphicFramePr>
              <a:graphicFrameLocks noChangeAspect="1"/>
            </wp:cNvGraphicFramePr>
            <a:graphic>
              <a:graphicData uri="http://schemas.openxmlformats.org/drawingml/2006/picture">
                <pic:pic>
                  <pic:nvPicPr>
                    <pic:cNvPr id="0" name="06_severity.png"/>
                    <pic:cNvPicPr/>
                  </pic:nvPicPr>
                  <pic:blipFill>
                    <a:blip r:embed="rId16"/>
                    <a:stretch>
                      <a:fillRect/>
                    </a:stretch>
                  </pic:blipFill>
                  <pic:spPr>
                    <a:xfrm>
                      <a:off x="0" y="0"/>
                      <a:ext cx="5688000" cy="3158580"/>
                    </a:xfrm>
                    <a:prstGeom prst="rect"/>
                  </pic:spPr>
                </pic:pic>
              </a:graphicData>
            </a:graphic>
          </wp:inline>
        </w:drawing>
      </w:r>
    </w:p>
    <w:p>
      <w:pPr>
        <w:pStyle w:val="Small"/>
        <w:jc w:val="center"/>
      </w:pPr>
      <w:r>
        <w:t>Figure 6. Severity distribution for flagged accounts.</w:t>
      </w:r>
    </w:p>
    <w:p>
      <w:r>
        <w:t>Severity adds operational meaning to the anomaly count. Critical and High cases should be investigated first because the expected financial impact is larger, while Medium and Low cases are suitable for batch review or automated checks.</w:t>
      </w:r>
    </w:p>
    <w:p>
      <w:r>
        <w:br w:type="page"/>
      </w:r>
    </w:p>
    <w:p>
      <w:pPr>
        <w:pStyle w:val="Heading1"/>
        <w:keepNext/>
        <w:pBdr>
          <w:bottom w:val="single" w:sz="10" w:space="1" w:color="17324D"/>
        </w:pBdr>
      </w:pPr>
      <w:r>
        <w:t>6.  RESULT</w:t>
      </w:r>
    </w:p>
    <w:p>
      <w:pPr>
        <w:pStyle w:val="Small"/>
      </w:pPr>
      <w:r>
        <w:t>Interpretation of the analytical output.</w:t>
      </w:r>
    </w:p>
    <w:tbl>
      <w:tblPr>
        <w:tblW w:type="auto" w:w="0"/>
        <w:jc w:val="center"/>
        <w:tblLayout w:type="fixed"/>
        <w:tblLook w:firstColumn="1" w:firstRow="1" w:lastColumn="0" w:lastRow="0" w:noHBand="0" w:noVBand="1" w:val="04A0"/>
      </w:tblPr>
      <w:tblGrid>
        <w:gridCol w:w="2268"/>
        <w:gridCol w:w="2835"/>
        <w:gridCol w:w="4082"/>
      </w:tblGrid>
      <w:tr>
        <w:tc>
          <w:tcPr>
            <w:tcW w:type="dxa" w:w="3175"/>
            <w:vAlign w:val="center"/>
            <w:shd w:fill="17324D"/>
            <w:tcMar>
              <w:top w:w="90" w:type="dxa"/>
              <w:left w:w="90" w:type="dxa"/>
              <w:bottom w:w="90" w:type="dxa"/>
              <w:right w:w="90" w:type="dxa"/>
            </w:tcMar>
          </w:tcPr>
          <w:p>
            <w:r>
              <w:rPr>
                <w:b/>
                <w:color w:val="FFFFFF"/>
                <w:sz w:val="16"/>
              </w:rPr>
              <w:t>Result</w:t>
            </w:r>
          </w:p>
        </w:tc>
        <w:tc>
          <w:tcPr>
            <w:tcW w:type="dxa" w:w="3175"/>
            <w:vAlign w:val="center"/>
            <w:shd w:fill="17324D"/>
            <w:tcMar>
              <w:top w:w="90" w:type="dxa"/>
              <w:left w:w="90" w:type="dxa"/>
              <w:bottom w:w="90" w:type="dxa"/>
              <w:right w:w="90" w:type="dxa"/>
            </w:tcMar>
          </w:tcPr>
          <w:p>
            <w:r>
              <w:rPr>
                <w:b/>
                <w:color w:val="FFFFFF"/>
                <w:sz w:val="16"/>
              </w:rPr>
              <w:t>Observed value in synthetic sample</w:t>
            </w:r>
          </w:p>
        </w:tc>
        <w:tc>
          <w:tcPr>
            <w:tcW w:type="dxa" w:w="3175"/>
            <w:vAlign w:val="center"/>
            <w:shd w:fill="17324D"/>
            <w:tcMar>
              <w:top w:w="90" w:type="dxa"/>
              <w:left w:w="90" w:type="dxa"/>
              <w:bottom w:w="90" w:type="dxa"/>
              <w:right w:w="90" w:type="dxa"/>
            </w:tcMar>
          </w:tcPr>
          <w:p>
            <w:r>
              <w:rPr>
                <w:b/>
                <w:color w:val="FFFFFF"/>
                <w:sz w:val="16"/>
              </w:rPr>
              <w:t>Interpretation</w:t>
            </w:r>
          </w:p>
        </w:tc>
      </w:tr>
      <w:tr>
        <w:tc>
          <w:tcPr>
            <w:tcW w:type="dxa" w:w="2268"/>
            <w:vAlign w:val="center"/>
            <w:tcMar>
              <w:top w:w="90" w:type="dxa"/>
              <w:left w:w="90" w:type="dxa"/>
              <w:bottom w:w="90" w:type="dxa"/>
              <w:right w:w="90" w:type="dxa"/>
            </w:tcMar>
          </w:tcPr>
          <w:p>
            <w:r>
              <w:rPr>
                <w:sz w:val="16"/>
              </w:rPr>
              <w:t>Total records</w:t>
            </w:r>
          </w:p>
        </w:tc>
        <w:tc>
          <w:tcPr>
            <w:tcW w:type="dxa" w:w="2835"/>
            <w:vAlign w:val="center"/>
            <w:tcMar>
              <w:top w:w="90" w:type="dxa"/>
              <w:left w:w="90" w:type="dxa"/>
              <w:bottom w:w="90" w:type="dxa"/>
              <w:right w:w="90" w:type="dxa"/>
            </w:tcMar>
          </w:tcPr>
          <w:p>
            <w:r>
              <w:rPr>
                <w:sz w:val="16"/>
              </w:rPr>
              <w:t>1,200</w:t>
            </w:r>
          </w:p>
        </w:tc>
        <w:tc>
          <w:tcPr>
            <w:tcW w:type="dxa" w:w="4082"/>
            <w:vAlign w:val="center"/>
            <w:tcMar>
              <w:top w:w="90" w:type="dxa"/>
              <w:left w:w="90" w:type="dxa"/>
              <w:bottom w:w="90" w:type="dxa"/>
              <w:right w:w="90" w:type="dxa"/>
            </w:tcMar>
          </w:tcPr>
          <w:p>
            <w:r>
              <w:rPr>
                <w:sz w:val="16"/>
              </w:rPr>
              <w:t>Broad base for reconciliation</w:t>
            </w:r>
          </w:p>
        </w:tc>
      </w:tr>
      <w:tr>
        <w:tc>
          <w:tcPr>
            <w:tcW w:type="dxa" w:w="2268"/>
            <w:vAlign w:val="center"/>
            <w:tcMar>
              <w:top w:w="90" w:type="dxa"/>
              <w:left w:w="90" w:type="dxa"/>
              <w:bottom w:w="90" w:type="dxa"/>
              <w:right w:w="90" w:type="dxa"/>
            </w:tcMar>
          </w:tcPr>
          <w:p>
            <w:r>
              <w:rPr>
                <w:sz w:val="16"/>
              </w:rPr>
              <w:t>Flagged records</w:t>
            </w:r>
          </w:p>
        </w:tc>
        <w:tc>
          <w:tcPr>
            <w:tcW w:type="dxa" w:w="2835"/>
            <w:vAlign w:val="center"/>
            <w:tcMar>
              <w:top w:w="90" w:type="dxa"/>
              <w:left w:w="90" w:type="dxa"/>
              <w:bottom w:w="90" w:type="dxa"/>
              <w:right w:w="90" w:type="dxa"/>
            </w:tcMar>
          </w:tcPr>
          <w:p>
            <w:r>
              <w:rPr>
                <w:sz w:val="16"/>
              </w:rPr>
              <w:t>328 (27.3%)</w:t>
            </w:r>
          </w:p>
        </w:tc>
        <w:tc>
          <w:tcPr>
            <w:tcW w:type="dxa" w:w="4082"/>
            <w:vAlign w:val="center"/>
            <w:tcMar>
              <w:top w:w="90" w:type="dxa"/>
              <w:left w:w="90" w:type="dxa"/>
              <w:bottom w:w="90" w:type="dxa"/>
              <w:right w:w="90" w:type="dxa"/>
            </w:tcMar>
          </w:tcPr>
          <w:p>
            <w:r>
              <w:rPr>
                <w:sz w:val="16"/>
              </w:rPr>
              <w:t>A focused exception queue rather than all records</w:t>
            </w:r>
          </w:p>
        </w:tc>
      </w:tr>
      <w:tr>
        <w:tc>
          <w:tcPr>
            <w:tcW w:type="dxa" w:w="2268"/>
            <w:vAlign w:val="center"/>
            <w:tcMar>
              <w:top w:w="90" w:type="dxa"/>
              <w:left w:w="90" w:type="dxa"/>
              <w:bottom w:w="90" w:type="dxa"/>
              <w:right w:w="90" w:type="dxa"/>
            </w:tcMar>
          </w:tcPr>
          <w:p>
            <w:r>
              <w:rPr>
                <w:sz w:val="16"/>
              </w:rPr>
              <w:t>Potential leakage gap</w:t>
            </w:r>
          </w:p>
        </w:tc>
        <w:tc>
          <w:tcPr>
            <w:tcW w:type="dxa" w:w="2835"/>
            <w:vAlign w:val="center"/>
            <w:tcMar>
              <w:top w:w="90" w:type="dxa"/>
              <w:left w:w="90" w:type="dxa"/>
              <w:bottom w:w="90" w:type="dxa"/>
              <w:right w:w="90" w:type="dxa"/>
            </w:tcMar>
          </w:tcPr>
          <w:p>
            <w:r>
              <w:rPr>
                <w:sz w:val="16"/>
              </w:rPr>
              <w:t>₹22,133</w:t>
            </w:r>
          </w:p>
        </w:tc>
        <w:tc>
          <w:tcPr>
            <w:tcW w:type="dxa" w:w="4082"/>
            <w:vAlign w:val="center"/>
            <w:tcMar>
              <w:top w:w="90" w:type="dxa"/>
              <w:left w:w="90" w:type="dxa"/>
              <w:bottom w:w="90" w:type="dxa"/>
              <w:right w:w="90" w:type="dxa"/>
            </w:tcMar>
          </w:tcPr>
          <w:p>
            <w:r>
              <w:rPr>
                <w:sz w:val="16"/>
              </w:rPr>
              <w:t>Illustrative value at risk before investigation</w:t>
            </w:r>
          </w:p>
        </w:tc>
      </w:tr>
      <w:tr>
        <w:tc>
          <w:tcPr>
            <w:tcW w:type="dxa" w:w="2268"/>
            <w:vAlign w:val="center"/>
            <w:tcMar>
              <w:top w:w="90" w:type="dxa"/>
              <w:left w:w="90" w:type="dxa"/>
              <w:bottom w:w="90" w:type="dxa"/>
              <w:right w:w="90" w:type="dxa"/>
            </w:tcMar>
          </w:tcPr>
          <w:p>
            <w:r>
              <w:rPr>
                <w:sz w:val="16"/>
              </w:rPr>
              <w:t>Critical + High</w:t>
            </w:r>
          </w:p>
        </w:tc>
        <w:tc>
          <w:tcPr>
            <w:tcW w:type="dxa" w:w="2835"/>
            <w:vAlign w:val="center"/>
            <w:tcMar>
              <w:top w:w="90" w:type="dxa"/>
              <w:left w:w="90" w:type="dxa"/>
              <w:bottom w:w="90" w:type="dxa"/>
              <w:right w:w="90" w:type="dxa"/>
            </w:tcMar>
          </w:tcPr>
          <w:p>
            <w:r>
              <w:rPr>
                <w:sz w:val="16"/>
              </w:rPr>
              <w:t>29</w:t>
            </w:r>
          </w:p>
        </w:tc>
        <w:tc>
          <w:tcPr>
            <w:tcW w:type="dxa" w:w="4082"/>
            <w:vAlign w:val="center"/>
            <w:tcMar>
              <w:top w:w="90" w:type="dxa"/>
              <w:left w:w="90" w:type="dxa"/>
              <w:bottom w:w="90" w:type="dxa"/>
              <w:right w:w="90" w:type="dxa"/>
            </w:tcMar>
          </w:tcPr>
          <w:p>
            <w:r>
              <w:rPr>
                <w:sz w:val="16"/>
              </w:rPr>
              <w:t>Cases with the largest economic impact</w:t>
            </w:r>
          </w:p>
        </w:tc>
      </w:tr>
      <w:tr>
        <w:tc>
          <w:tcPr>
            <w:tcW w:type="dxa" w:w="2268"/>
            <w:vAlign w:val="center"/>
            <w:tcMar>
              <w:top w:w="90" w:type="dxa"/>
              <w:left w:w="90" w:type="dxa"/>
              <w:bottom w:w="90" w:type="dxa"/>
              <w:right w:w="90" w:type="dxa"/>
            </w:tcMar>
          </w:tcPr>
          <w:p>
            <w:r>
              <w:rPr>
                <w:sz w:val="16"/>
              </w:rPr>
              <w:t>Lowest billing ratio</w:t>
            </w:r>
          </w:p>
        </w:tc>
        <w:tc>
          <w:tcPr>
            <w:tcW w:type="dxa" w:w="2835"/>
            <w:vAlign w:val="center"/>
            <w:tcMar>
              <w:top w:w="90" w:type="dxa"/>
              <w:left w:w="90" w:type="dxa"/>
              <w:bottom w:w="90" w:type="dxa"/>
              <w:right w:w="90" w:type="dxa"/>
            </w:tcMar>
          </w:tcPr>
          <w:p>
            <w:r>
              <w:rPr>
                <w:sz w:val="16"/>
              </w:rPr>
              <w:t>0.013</w:t>
            </w:r>
          </w:p>
        </w:tc>
        <w:tc>
          <w:tcPr>
            <w:tcW w:type="dxa" w:w="4082"/>
            <w:vAlign w:val="center"/>
            <w:tcMar>
              <w:top w:w="90" w:type="dxa"/>
              <w:left w:w="90" w:type="dxa"/>
              <w:bottom w:w="90" w:type="dxa"/>
              <w:right w:w="90" w:type="dxa"/>
            </w:tcMar>
          </w:tcPr>
          <w:p>
            <w:r>
              <w:rPr>
                <w:sz w:val="16"/>
              </w:rPr>
              <w:t>Strongest proportional under-billing signal</w:t>
            </w:r>
          </w:p>
        </w:tc>
      </w:tr>
    </w:tbl>
    <w:p>
      <w:pPr>
        <w:spacing w:after="40"/>
      </w:pPr>
    </w:p>
    <w:p>
      <w:r>
        <w:t>The results support a central conclusion: revenue leakage is best approached as a reconciliation problem before it is approached as a purely predictive problem. When usage exists and expected value can be estimated, the gap between expected and billed amounts provides a direct and explainable control signal.</w:t>
      </w:r>
    </w:p>
    <w:p>
      <w:r>
        <w:t>The synthetic analysis also shows why anomaly counts alone are insufficient. A small number of high-value cases may contribute more revenue risk than many low-value exceptions. For this reason, the investigation queue should be ranked by economic gap, supported by severity and pattern information.</w:t>
      </w:r>
    </w:p>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Business interpretation</w:t>
            </w:r>
          </w:p>
          <w:p>
            <w:pPr>
              <w:spacing w:after="40"/>
            </w:pPr>
            <w:r>
              <w:t>The analytical pipeline turns raw usage and billing data into a prioritised revenue-assurance queue. This can reduce manual screening, improve exception visibility, and help billing teams focus on the accounts and process failures with the highest financial relevance.</w:t>
            </w:r>
          </w:p>
        </w:tc>
      </w:tr>
    </w:tbl>
    <w:p>
      <w:pPr>
        <w:spacing w:after="20"/>
      </w:pPr>
    </w:p>
    <w:p>
      <w:r>
        <w:br w:type="page"/>
      </w:r>
    </w:p>
    <w:p>
      <w:pPr>
        <w:pStyle w:val="Heading1"/>
        <w:keepNext/>
        <w:pBdr>
          <w:bottom w:val="single" w:sz="10" w:space="1" w:color="17324D"/>
        </w:pBdr>
      </w:pPr>
      <w:r>
        <w:t>7.  CONCLUSION</w:t>
      </w:r>
    </w:p>
    <w:p>
      <w:pPr>
        <w:pStyle w:val="Small"/>
      </w:pPr>
      <w:r>
        <w:t>From data mismatch to an actionable revenue-assurance control.</w:t>
      </w:r>
    </w:p>
    <w:p>
      <w:r>
        <w:t>This project presents a practical, explainable method for detecting revenue leakage in a telecom billing context. By reconciling observed consumption with an expected charge, calculating a billing ratio, measuring the leakage gap, and assigning severity, the analysis creates a transparent path from raw data to an investigation queue.</w:t>
      </w:r>
    </w:p>
    <w:p>
      <w:r>
        <w:t>The approach is intentionally simple enough to audit and extend. A production system could add real-time event completeness checks, tariff-version validation, discount-rule reconciliation, duplicate or missing usage-event detection, customer-contract logic, and machine-learning models for unusual behavioural patterns. These additions should complement, not replace, the underlying expected-versus-billed reconciliation.</w:t>
      </w:r>
    </w:p>
    <w:p>
      <w:pPr>
        <w:spacing w:after="100"/>
        <w:ind w:left="255" w:hanging="142"/>
      </w:pPr>
      <w:r>
        <w:rPr>
          <w:b/>
        </w:rPr>
        <w:t xml:space="preserve">• </w:t>
      </w:r>
      <w:r>
        <w:t>Use a single governed source for usage and tariff definitions so that expected value is calculated consistently.</w:t>
      </w:r>
    </w:p>
    <w:p>
      <w:pPr>
        <w:spacing w:after="100"/>
        <w:ind w:left="255" w:hanging="142"/>
      </w:pPr>
      <w:r>
        <w:rPr>
          <w:b/>
        </w:rPr>
        <w:t xml:space="preserve">• </w:t>
      </w:r>
      <w:r>
        <w:t>Separate proportional anomalies from economically material gaps so that investigation effort is prioritised correctly.</w:t>
      </w:r>
    </w:p>
    <w:p>
      <w:pPr>
        <w:spacing w:after="100"/>
        <w:ind w:left="255" w:hanging="142"/>
      </w:pPr>
      <w:r>
        <w:rPr>
          <w:b/>
        </w:rPr>
        <w:t xml:space="preserve">• </w:t>
      </w:r>
      <w:r>
        <w:t>Track exceptions over time to distinguish one-off customer issues from recurring system defects.</w:t>
      </w:r>
    </w:p>
    <w:p>
      <w:pPr>
        <w:spacing w:after="100"/>
        <w:ind w:left="255" w:hanging="142"/>
      </w:pPr>
      <w:r>
        <w:rPr>
          <w:b/>
        </w:rPr>
        <w:t xml:space="preserve">• </w:t>
      </w:r>
      <w:r>
        <w:t>Close the loop by measuring recovered revenue after corrective action and feeding confirmed cases back into the detection rules.</w:t>
      </w:r>
    </w:p>
    <w:tbl>
      <w:tblPr>
        <w:tblW w:type="auto" w:w="0"/>
        <w:jc w:val="center"/>
        <w:tblLayout w:type="fixed"/>
        <w:tblLook w:firstColumn="1" w:firstRow="1" w:lastColumn="0" w:lastRow="0" w:noHBand="0" w:noVBand="1" w:val="04A0"/>
      </w:tblPr>
      <w:tblGrid>
        <w:gridCol w:w="9354"/>
      </w:tblGrid>
      <w:tr>
        <w:tc>
          <w:tcPr>
            <w:tcW w:type="dxa" w:w="9524"/>
            <w:vAlign w:val="center"/>
            <w:shd w:fill="F2F6F8"/>
          </w:tcPr>
          <w:p>
            <w:pPr>
              <w:spacing w:after="60"/>
            </w:pPr>
            <w:r>
              <w:rPr>
                <w:b/>
              </w:rPr>
              <w:t>Final takeaway</w:t>
            </w:r>
          </w:p>
          <w:p>
            <w:pPr>
              <w:spacing w:after="40"/>
            </w:pPr>
            <w:r>
              <w:t>A clean revenue-leakage control does not need to begin with a complex model. It begins with a trustworthy definition of what should have been billed, a clear comparison with what was billed, and a disciplined way to prioritise the difference.</w:t>
            </w:r>
          </w:p>
        </w:tc>
      </w:tr>
    </w:tbl>
    <w:p>
      <w:pPr>
        <w:spacing w:after="20"/>
      </w:pPr>
    </w:p>
    <w:p>
      <w:pPr>
        <w:pStyle w:val="Small"/>
        <w:spacing w:before="400"/>
      </w:pPr>
      <w:r>
        <w:t>Dataset and figures: synthetic, reproducible, and created specifically for this academic report. Monetary values are illustrative and are not representative of any real telecom operator.</w:t>
      </w:r>
    </w:p>
    <w:sectPr w:rsidR="00FC693F" w:rsidRPr="0006063C" w:rsidSect="00034616">
      <w:headerReference w:type="default" r:id="rId9"/>
      <w:footerReference w:type="default" r:id="rId10"/>
      <w:pgSz w:w="11906" w:h="16838"/>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868D"/>
        <w:sz w:val="16"/>
      </w:rPr>
      <w:t>Academic Data Analysis Report  |  Illustrative synthetic dataset</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747C"/>
        <w:sz w:val="16"/>
      </w:rPr>
      <w:t>REVENUE LEAKAGE DETECTION  •  TELECOM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42E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F7F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Aptos" w:hAnsi="Aptos"/>
      <w:b w:val="0"/>
      <w:i/>
      <w:iCs/>
      <w:color w:val="6671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color w:val="5F6970"/>
      <w:sz w:val="17"/>
    </w:rPr>
  </w:style>
  <w:style w:type="paragraph" w:customStyle="1" w:styleId="CodeBlock">
    <w:name w:val="CodeBlock"/>
    <w:pPr>
      <w:spacing w:after="0" w:line="240" w:lineRule="auto"/>
    </w:pPr>
    <w:rPr>
      <w:rFonts w:ascii="Consolas" w:hAnsi="Consolas"/>
      <w:color w:val="232D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Leakage Detection in Telecom: Usage and Billing Analytics</dc:title>
  <dc:subject>Academic data analysis report</dc:subject>
  <dc:creator/>
  <cp:keywords>revenue leakage, telecom, billing, usage analytics, anomaly detection</cp:keywords>
  <dc:description/>
  <cp:lastModifiedBy/>
  <cp:revision>1</cp:revision>
  <dcterms:created xsi:type="dcterms:W3CDTF">2013-12-23T23:15:00Z</dcterms:created>
  <dcterms:modified xsi:type="dcterms:W3CDTF">2013-12-23T23:15:00Z</dcterms:modified>
  <cp:category/>
</cp:coreProperties>
</file>