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Internal User Needs – FIXORA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Management Team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1.Ability to monitor overall platform performance, operational metrics, and business growth through executive dashboards.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2.Ability to access reports related to bookings, revenue, customer activity, and service provider performance.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3.Ability to define platform policies, pricing strategies, and commission structures.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4.Ability to approve major operational decisions such as provider onboarding standards and service expansion.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5.Ability to review customer satisfaction metrics and make strategic improvements to platform services.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Operations &amp; Vendor Management Team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1.Ability to review and approve service professional registrations and verification documents.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2.Ability to manage vendor performance metrics, ratings, and service quality standards.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3.Ability to handle customer complaints, disputes, and service escalations.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4.Ability to monitor active bookings and operational workflow in real time.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5.Ability to suspend, deactivate, or penalize service providers for policy violations.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Finance Team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1.Ability to track all transactions, commissions, refunds, and platform revenue.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2.Ability to generate financial reports including daily, monthly, and yearly summaries.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3.Ability to manage provider payouts and commission deductions.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4.Ability to ensure secure payment gateway integration and compliance with financial regulations.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5.Ability to audit transaction history for fraud detection and reconciliation purposes.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Sales &amp; Partnerships Team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.Ability to onboard new service professionals and business partners.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2.Ability to manage partnership contracts and commission agreements.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3.Ability to track regional growth, provider acquisition, and revenue targets.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4.Ability to analyze service demand trends to identify expansion opportunities.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5.Ability to manage promotional offers and strategic collaborations.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Marketing Team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1.Ability to access user analytics and campaign performance metrics.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2.Ability to create and manage promotional campaigns, referral programs, and discounts.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3.Ability to segment users based on demographics, service usage, and location.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4.Ability to send targeted notifications, email campaigns, and push marketing messages.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5.Ability to track customer acquisition cost (CAC) and return on marketing investment (ROI).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