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Market Game 2027 — comprendre le code étape par étape</w:t>
      </w:r>
    </w:p>
    <w:p>
      <w:pPr/>
      <w:r>
        <w:t xml:space="preserve">Oct 3, 2026</w:t>
      </w:r>
      <w:r>
        <w:t xml:space="preserve"> · </w:t>
      </w:r>
      <w:r>
        <w:t xml:space="preserve">@Jean</w:t>
      </w:r>
    </w:p>
    <w:p>
      <w:pPr/>
      <w:r>
        <w:t xml:space="preserve">Le portefeuille 2027 pèse 536 627 MWh à température normale. Ce document suit, étape par étape, le chemin que parcourent les cinq scripts Python : du coefficient de profil Enedis jusqu'à l'ordre day-ahead du 1er janvier 2027 — la théorie du cours d'un côté, le bout de code qui l'applique de l'autre.</w:t>
      </w:r>
    </w:p>
    <w:p>
      <w:pPr>
        <w:pStyle w:val="Heading2"/>
      </w:pPr>
      <w:r>
        <w:t xml:space="preserve">Le circuit</w:t>
      </w:r>
    </w:p>
    <w:p>
      <w:pPr/>
      <w:r>
        <w:drawing>
          <wp:inline distT="0" distB="0" distL="0" distR="0">
            <wp:extent cx="5486400" cy="4702628"/>
            <wp:docPr id="1" name="image1" descr="circuit du modèle · 3 sources, 4 scripts, 14 étap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ircuit du modèle · 3 sources, 4 scripts, 14 étap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circuit du modèle · 3 sources, 4 scripts, 14 étapes</w:t>
      </w:r>
    </w:p>
    <w:p>
      <w:pPr/>
      <w:r>
        <w:t xml:space="preserve">Chaque script reconstruit tout depuis les CSV de base : aucun ne lit les sorties d'un autre. C'est ce qui permet de relancer </w:t>
      </w:r>
      <w:r>
        <w:rPr>
          <w:rStyle w:val="CodeChar"/>
        </w:rPr>
        <w:t xml:space="preserve">decision_t2.py</w:t>
      </w:r>
      <w:r>
        <w:t xml:space="preserve"> seul après avoir changé un paramètre, et c'est aussi pourquoi les deux derniers mettent quelques minutes à tourner.</w:t>
      </w:r>
    </w:p>
    <w:p>
      <w:pPr>
        <w:pStyle w:val="Heading2"/>
      </w:pPr>
      <w:r>
        <w:t xml:space="preserve">Les chiffres clés</w:t>
      </w:r>
    </w:p>
    <w:p>
      <w:pPr/>
      <w:r>
        <w:t xml:space="preserve">Tout ce qu'on peut vous demander de citer de mémoire, regroupé ici.</w:t>
      </w:r>
    </w:p>
    <w:p>
      <w:pPr>
        <w:pStyle w:val="Heading3"/>
      </w:pPr>
      <w:r>
        <w:t xml:space="preserve">Paramètres imposés (§2.2, identiques pour toutes les équipes)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Prix de vente, composante énergie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Marge cible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Plancher de risque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Prime de risque forward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95 €/MWh</w:t>
            </w:r>
          </w:p>
        </w:tc>
        <w:tc>
          <w:tcPr>
            <w:tcW w:w="2340" w:type="dxa"/>
          </w:tcPr>
          <w:p>
            <w:pPr/>
            <w:r>
              <w:t xml:space="preserve">10 €/MWh</w:t>
            </w:r>
          </w:p>
        </w:tc>
        <w:tc>
          <w:tcPr>
            <w:tcW w:w="2340" w:type="dxa"/>
          </w:tcPr>
          <w:p>
            <w:pPr/>
            <w:r>
              <w:t xml:space="preserve">5 €/MWh</w:t>
            </w:r>
          </w:p>
        </w:tc>
        <w:tc>
          <w:tcPr>
            <w:tcW w:w="2340" w:type="dxa"/>
          </w:tcPr>
          <w:p>
            <w:pPr/>
            <w:r>
              <w:t xml:space="preserve">3 %</w:t>
            </w:r>
          </w:p>
        </w:tc>
      </w:tr>
    </w:tbl>
    <w:p>
      <w:pPr>
        <w:pStyle w:val="Heading3"/>
      </w:pPr>
      <w:r>
        <w:t xml:space="preserve">Le volume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Valeur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Énergie 2027, température normale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536 627 MWh</w:t>
            </w:r>
            <w:r>
              <w:t xml:space="preserve"> = le 100 % de tous les ratios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Pointe</w:t>
            </w:r>
          </w:p>
        </w:tc>
        <w:tc>
          <w:tcPr>
            <w:tcW w:w="4680" w:type="dxa"/>
          </w:tcPr>
          <w:p>
            <w:pPr/>
            <w:r>
              <w:t xml:space="preserve">118,33 MW le 07/01 à 18h45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Répartition RES1 / PRO1</w:t>
            </w:r>
          </w:p>
        </w:tc>
        <w:tc>
          <w:tcPr>
            <w:tcW w:w="4680" w:type="dxa"/>
          </w:tcPr>
          <w:p>
            <w:pPr/>
            <w:r>
              <w:t xml:space="preserve">76,7 % / 23,3 %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Trimestres (MWh)</w:t>
            </w:r>
          </w:p>
        </w:tc>
        <w:tc>
          <w:tcPr>
            <w:tcW w:w="4680" w:type="dxa"/>
          </w:tcPr>
          <w:p>
            <w:pPr/>
            <w:r>
              <w:t xml:space="preserve">Q1 152 934 · Q2 118 293 · Q3 115 024 · Q4 150 376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Peak / off-peak</w:t>
            </w:r>
          </w:p>
        </w:tc>
        <w:tc>
          <w:tcPr>
            <w:tcW w:w="4680" w:type="dxa"/>
          </w:tcPr>
          <w:p>
            <w:pPr/>
            <w:r>
              <w:t xml:space="preserve">42,4 % / 57,6 %, ratio de forme </w:t>
            </w:r>
            <w:r>
              <w:rPr>
                <w:b/>
              </w:rPr>
              <w:t xml:space="preserve">1,32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Foisonnement</w:t>
            </w:r>
          </w:p>
        </w:tc>
        <w:tc>
          <w:tcPr>
            <w:tcW w:w="4680" w:type="dxa"/>
          </w:tcPr>
          <w:p>
            <w:pPr/>
            <w:r>
              <w:t xml:space="preserve">8,5 % (136,98 MW de pointes cumulées contre 125,40 pour le portefeuille)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Thermosensibilité</w:t>
            </w:r>
          </w:p>
        </w:tc>
        <w:tc>
          <w:tcPr>
            <w:tcW w:w="4680" w:type="dxa"/>
          </w:tcPr>
          <w:p>
            <w:pPr/>
            <w:r>
              <w:t xml:space="preserve">1,96 MW/°C en moyenne de chauffe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Volume révisé au T2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501 962 MWh</w:t>
            </w:r>
            <w:r>
              <w:t xml:space="preserve"> (−6,46 %)</w:t>
            </w:r>
          </w:p>
        </w:tc>
      </w:tr>
    </w:tbl>
    <w:p>
      <w:pPr>
        <w:pStyle w:val="Heading3"/>
      </w:pPr>
      <w:r>
        <w:t xml:space="preserve">Le prix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Valeur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Forward Cal-27 Base au T1 (22/09/2026)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83,31 €/MWh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Forward Cal-27 Base au T2 (01/12/2026)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73,70 €/MWh</w:t>
            </w:r>
            <w:r>
              <w:t xml:space="preserve"> (−11,5 %)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Pente prix-volume mutualisée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b = +2,451</w:t>
            </w:r>
            <w:r>
              <w:t xml:space="preserve"> (r² = 0,243, t = +12,1, n = 454)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Levels des scénarios</w:t>
            </w:r>
          </w:p>
        </w:tc>
        <w:tc>
          <w:tcPr>
            <w:tcW w:w="4680" w:type="dxa"/>
          </w:tcPr>
          <w:p>
            <w:pPr/>
            <w:r>
              <w:t xml:space="preserve">2021 </w:t>
            </w:r>
            <w:r>
              <w:rPr>
                <w:b/>
              </w:rPr>
              <w:t xml:space="preserve">80,72</w:t>
            </w:r>
            <w:r>
              <w:t xml:space="preserve"> · 2023 </w:t>
            </w:r>
            <w:r>
              <w:rPr>
                <w:b/>
              </w:rPr>
              <w:t xml:space="preserve">78,00</w:t>
            </w:r>
            <w:r>
              <w:t xml:space="preserve"> · 2024 </w:t>
            </w:r>
            <w:r>
              <w:rPr>
                <w:b/>
              </w:rPr>
              <w:t xml:space="preserve">77,46</w:t>
            </w:r>
            <w:r>
              <w:t xml:space="preserve"> · choc </w:t>
            </w:r>
            <w:r>
              <w:rPr>
                <w:b/>
              </w:rPr>
              <w:t xml:space="preserve">96,87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Surcoût prix-volume</w:t>
            </w:r>
          </w:p>
        </w:tc>
        <w:tc>
          <w:tcPr>
            <w:tcW w:w="4680" w:type="dxa"/>
          </w:tcPr>
          <w:p>
            <w:pPr/>
            <w:r>
              <w:t xml:space="preserve">+4,18 à +6,65 €/MWh selon le scénario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Alpha retenu</w:t>
            </w:r>
          </w:p>
        </w:tc>
        <w:tc>
          <w:tcPr>
            <w:tcW w:w="4680" w:type="dxa"/>
          </w:tcPr>
          <w:p>
            <w:pPr/>
            <w:r>
              <w:t xml:space="preserve">0,50 — mais </w:t>
            </w:r>
            <w:r>
              <w:rPr>
                <w:b/>
              </w:rPr>
              <w:t xml:space="preserve">aucun alpha de [0 ; 1] n'atteignait 73,70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Bande de plausibilité CRE à 1 sigma</w:t>
            </w:r>
          </w:p>
        </w:tc>
        <w:tc>
          <w:tcPr>
            <w:tcW w:w="4680" w:type="dxa"/>
          </w:tcPr>
          <w:p>
            <w:pPr/>
            <w:r>
              <w:t xml:space="preserve">7,30 €/MWh, soit [76,01 ; 90,61]</w:t>
            </w:r>
          </w:p>
        </w:tc>
      </w:tr>
    </w:tbl>
    <w:p>
      <w:pPr>
        <w:pStyle w:val="Heading3"/>
      </w:pPr>
      <w:r>
        <w:t xml:space="preserve">La couverture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Valeur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Mix T1 retenu (70 %, strip trimestriel Base)</w:t>
            </w:r>
          </w:p>
        </w:tc>
        <w:tc>
          <w:tcPr>
            <w:tcW w:w="4680" w:type="dxa"/>
          </w:tcPr>
          <w:p>
            <w:pPr/>
            <w:r>
              <w:t xml:space="preserve">Q1 </w:t>
            </w:r>
            <w:r>
              <w:rPr>
                <w:b/>
              </w:rPr>
              <w:t xml:space="preserve">49,58 MW</w:t>
            </w:r>
            <w:r>
              <w:t xml:space="preserve"> · Q2 </w:t>
            </w:r>
            <w:r>
              <w:rPr>
                <w:b/>
              </w:rPr>
              <w:t xml:space="preserve">37,91</w:t>
            </w:r>
            <w:r>
              <w:t xml:space="preserve"> · Q3 </w:t>
            </w:r>
            <w:r>
              <w:rPr>
                <w:b/>
              </w:rPr>
              <w:t xml:space="preserve">36,47</w:t>
            </w:r>
            <w:r>
              <w:t xml:space="preserve"> · Q4 </w:t>
            </w:r>
            <w:r>
              <w:rPr>
                <w:b/>
              </w:rPr>
              <w:t xml:space="preserve">47,65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Coût de ce mix</w:t>
            </w:r>
          </w:p>
        </w:tc>
        <w:tc>
          <w:tcPr>
            <w:tcW w:w="4680" w:type="dxa"/>
          </w:tcPr>
          <w:p>
            <w:pPr/>
            <w:r>
              <w:t xml:space="preserve">32,89 M€, soit 87,55 €/MWh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Coût des trois mix comparés</w:t>
            </w:r>
          </w:p>
        </w:tc>
        <w:tc>
          <w:tcPr>
            <w:tcW w:w="4680" w:type="dxa"/>
          </w:tcPr>
          <w:p>
            <w:pPr/>
            <w:r>
              <w:t xml:space="preserve">cal 83,31 · trimestres 87,55 · trimestres+peak 89,11 €/MWh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Stratégie retenue au T1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70/20/10</w:t>
            </w:r>
            <w:r>
              <w:t xml:space="preserve"> — espérance 4,51, pire cas </w:t>
            </w:r>
            <w:r>
              <w:rPr>
                <w:b/>
              </w:rPr>
              <w:t xml:space="preserve">−0,24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Décision du Conseil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aucune stratégie ne tient le plancher de 5 €/MWh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Coût de la protection</w:t>
            </w:r>
          </w:p>
        </w:tc>
        <w:tc>
          <w:tcPr>
            <w:tcW w:w="4680" w:type="dxa"/>
          </w:tcPr>
          <w:p>
            <w:pPr/>
            <w:r>
              <w:t xml:space="preserve">0,39 €/MWh d'espérance cédé par €/MWh de pire cas gagné</w:t>
            </w:r>
          </w:p>
        </w:tc>
      </w:tr>
    </w:tbl>
    <w:p>
      <w:pPr>
        <w:pStyle w:val="Heading3"/>
      </w:pPr>
      <w:r>
        <w:t xml:space="preserve">Le T2 et le 1er janvier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Valeur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Ratio réellement atteint après le T1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74,8 %</w:t>
            </w:r>
            <w:r>
              <w:t xml:space="preserve"> de la nouvelle prévision (plan : 70 %)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Mark-to-market de la position T1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−3,92 M€</w:t>
            </w:r>
            <w:r>
              <w:t xml:space="preserve">, soit −10,43 €/MWh couvert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Probabilités révisées</w:t>
            </w:r>
          </w:p>
        </w:tc>
        <w:tc>
          <w:tcPr>
            <w:tcW w:w="4680" w:type="dxa"/>
          </w:tcPr>
          <w:p>
            <w:pPr/>
            <w:r>
              <w:t xml:space="preserve">2021 28,1 % · 2023 34,2 % · 2024 35,4 % · choc </w:t>
            </w:r>
            <w:r>
              <w:rPr>
                <w:b/>
              </w:rPr>
              <w:t xml:space="preserve">2,3 %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Achat au T2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14,42 MW de Cal-27 Base à 73,70</w:t>
            </w:r>
            <w:r>
              <w:t xml:space="preserve"> = 126 323 MWh, 9,31 M€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Couverture finale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100 %</w:t>
            </w:r>
            <w:r>
              <w:t xml:space="preserve"> — espérance 7,14, pire cas </w:t>
            </w:r>
            <w:r>
              <w:rPr>
                <w:b/>
              </w:rPr>
              <w:t xml:space="preserve">5,51</w:t>
            </w:r>
            <w:r>
              <w:t xml:space="preserve"> (admissible)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01/01/2027</w:t>
            </w:r>
          </w:p>
        </w:tc>
        <w:tc>
          <w:tcPr>
            <w:tcW w:w="4680" w:type="dxa"/>
          </w:tcPr>
          <w:p>
            <w:pPr/>
            <w:r>
              <w:t xml:space="preserve">couverture plate 64,01 MW, charge de 42,21 à 98,71 MW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Position ouverte du jour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261,6 MWh à acheter</w:t>
            </w:r>
            <w:r>
              <w:t xml:space="preserve">, 150,4 MWh à revendre</w:t>
            </w:r>
          </w:p>
        </w:tc>
      </w:tr>
    </w:tbl>
    <w:p>
      <w:pPr>
        <w:pStyle w:val="Heading3"/>
      </w:pPr>
      <w:r>
        <w:t xml:space="preserve">Le T3 (31/12/2026)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Valeur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Volume 2027 révisé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512 820 MWh</w:t>
            </w:r>
            <w:r>
              <w:t xml:space="preserve"> (191 531 RES1 + 4 745 PRO1)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Forward Cal-27 Base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78,37 €/MWh</w:t>
            </w:r>
            <w:r>
              <w:t xml:space="preserve"> (+6,3 % depuis le T2)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Position détenue</w:t>
            </w:r>
          </w:p>
        </w:tc>
        <w:tc>
          <w:tcPr>
            <w:tcW w:w="4680" w:type="dxa"/>
          </w:tcPr>
          <w:p>
            <w:pPr/>
            <w:r>
              <w:t xml:space="preserve">501 942 MWh à 84,06 €/MWh payés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Mark-to-market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−1,35 M€</w:t>
            </w:r>
            <w:r>
              <w:t xml:space="preserve">, dont </w:t>
            </w:r>
            <w:r>
              <w:rPr>
                <w:b/>
              </w:rPr>
              <w:t xml:space="preserve">+590 k€</w:t>
            </w:r>
            <w:r>
              <w:t xml:space="preserve"> sur l'achat du T2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Ratio global</w:t>
            </w:r>
          </w:p>
        </w:tc>
        <w:tc>
          <w:tcPr>
            <w:tcW w:w="4680" w:type="dxa"/>
          </w:tcPr>
          <w:p>
            <w:pPr/>
            <w:r>
              <w:t xml:space="preserve">97,9 % — mais </w:t>
            </w:r>
            <w:r>
              <w:rPr>
                <w:b/>
              </w:rPr>
              <w:t xml:space="preserve">Q1 à 94,6 %</w:t>
            </w:r>
            <w:r>
              <w:t xml:space="preserve"> et </w:t>
            </w:r>
            <w:r>
              <w:rPr>
                <w:b/>
              </w:rPr>
              <w:t xml:space="preserve">Q3 à 102,2 %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Rééquilibrage</w:t>
            </w:r>
          </w:p>
        </w:tc>
        <w:tc>
          <w:tcPr>
            <w:tcW w:w="4680" w:type="dxa"/>
          </w:tcPr>
          <w:p>
            <w:pPr/>
            <w:r>
              <w:t xml:space="preserve">acheter Q1 +3,68 MW et Q4 +2,98 MW, vendre Q2 et Q3 → </w:t>
            </w:r>
            <w:r>
              <w:rPr>
                <w:b/>
              </w:rPr>
              <w:t xml:space="preserve">+1,40 M€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Centrale solaire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80 MWc</w:t>
            </w:r>
            <w:r>
              <w:t xml:space="preserve">, 110,5 MWh le 1er janvier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01/01/2027, température prévue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+0,44 °C</w:t>
            </w:r>
            <w:r>
              <w:t xml:space="preserve"> contre 4,79 °C de normale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Charge du jour</w:t>
            </w:r>
          </w:p>
        </w:tc>
        <w:tc>
          <w:tcPr>
            <w:tcW w:w="4680" w:type="dxa"/>
          </w:tcPr>
          <w:p>
            <w:pPr/>
            <w:r>
              <w:t xml:space="preserve">1 849,5 MWh (1 682,1 à température normale)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Heure 14 h – 15 h</w:t>
            </w:r>
          </w:p>
        </w:tc>
        <w:tc>
          <w:tcPr>
            <w:tcW w:w="4680" w:type="dxa"/>
          </w:tcPr>
          <w:p>
            <w:pPr/>
            <w:r>
              <w:t xml:space="preserve">charge 81,89 · couverture 64,00 · solaire 14,00 → </w:t>
            </w:r>
            <w:r>
              <w:rPr>
                <w:b/>
              </w:rPr>
              <w:t xml:space="preserve">short 3,89 MW</w:t>
            </w:r>
          </w:p>
        </w:tc>
      </w:tr>
    </w:tbl>
    <w:p>
      <w:pPr>
        <w:pStyle w:val="Heading2"/>
      </w:pPr>
      <w:r>
        <w:t xml:space="preserve">Où se trouve quoi</w:t>
      </w:r>
    </w:p>
    <w:p>
      <w:pPr/>
      <w:r>
        <w:t xml:space="preserve">Quatorze étapes réparties sur cinq fichiers, dont un seul — </w:t>
      </w:r>
      <w:r>
        <w:rPr>
          <w:rStyle w:val="CodeChar"/>
        </w:rPr>
        <w:t xml:space="preserve">calendrier.py</w:t>
      </w:r>
      <w:r>
        <w:t xml:space="preserve"> — ne se lance jamais directement.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Étape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Fichier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Fonction ou constante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Doc du prof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Le portefeuille et les paramètres imposés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Modelisation_Conso.py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PARAMS</w:t>
            </w:r>
            <w:r>
              <w:t xml:space="preserve"> l.11, </w:t>
            </w:r>
            <w:r>
              <w:rPr>
                <w:rStyle w:val="CodeChar"/>
              </w:rPr>
              <w:t xml:space="preserve">REVISION_T2</w:t>
            </w:r>
            <w:r>
              <w:t xml:space="preserve"> l.15</w:t>
            </w:r>
          </w:p>
        </w:tc>
        <w:tc>
          <w:tcPr>
            <w:tcW w:w="1872" w:type="dxa"/>
          </w:tcPr>
          <w:p>
            <w:pPr/>
            <w:r>
              <w:t xml:space="preserve">§2.2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Du coefficient au mégawatt : le FUD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Modelisation_Conso.py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fud()</w:t>
            </w:r>
            <w:r>
              <w:t xml:space="preserve"> l.30</w:t>
            </w:r>
          </w:p>
        </w:tc>
        <w:tc>
          <w:tcPr>
            <w:tcW w:w="1872" w:type="dxa"/>
          </w:tcPr>
          <w:p>
            <w:pPr/>
            <w:r>
              <w:t xml:space="preserve">§3.1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Charger et aligner les données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Modelisation_Conso.py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charger_*()</w:t>
            </w:r>
            <w:r>
              <w:t xml:space="preserve">, </w:t>
            </w:r>
            <w:r>
              <w:rPr>
                <w:rStyle w:val="CodeChar"/>
              </w:rPr>
              <w:t xml:space="preserve">construire_base()</w:t>
            </w:r>
            <w:r>
              <w:t xml:space="preserve"> l.77</w:t>
            </w:r>
          </w:p>
        </w:tc>
        <w:tc>
          <w:tcPr>
            <w:tcW w:w="1872" w:type="dxa"/>
          </w:tcPr>
          <w:p>
            <w:pPr/>
            <w:r>
              <w:t xml:space="preserve">§3.1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Le coefficient météo CM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Modelisation_Conso.py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coefficient_meteo()</w:t>
            </w:r>
            <w:r>
              <w:t xml:space="preserve"> l.84</w:t>
            </w:r>
          </w:p>
        </w:tc>
        <w:tc>
          <w:tcPr>
            <w:tcW w:w="1872" w:type="dxa"/>
          </w:tcPr>
          <w:p>
            <w:pPr/>
            <w:r>
              <w:t xml:space="preserve">§3.1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Le calcul de la charge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Modelisation_Conso.py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calculer_puissances()</w:t>
            </w:r>
            <w:r>
              <w:t xml:space="preserve"> l.93</w:t>
            </w:r>
          </w:p>
        </w:tc>
        <w:tc>
          <w:tcPr>
            <w:tcW w:w="1872" w:type="dxa"/>
          </w:tcPr>
          <w:p>
            <w:pPr/>
            <w:r>
              <w:t xml:space="preserve">§3.1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Projeter sur le calendrier 2027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calendrier.py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apparier_jours()</w:t>
            </w:r>
            <w:r>
              <w:t xml:space="preserve"> l.31, </w:t>
            </w:r>
            <w:r>
              <w:rPr>
                <w:rStyle w:val="CodeChar"/>
              </w:rPr>
              <w:t xml:space="preserve">projeter()</w:t>
            </w:r>
            <w:r>
              <w:t xml:space="preserve"> l.61</w:t>
            </w:r>
          </w:p>
        </w:tc>
        <w:tc>
          <w:tcPr>
            <w:tcW w:w="1872" w:type="dxa"/>
          </w:tcPr>
          <w:p>
            <w:pPr/>
            <w:r>
              <w:t xml:space="preserve">§3.1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Rejouer une météo historique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scenarios.py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injecter_temperature()</w:t>
            </w:r>
            <w:r>
              <w:t xml:space="preserve"> l.127</w:t>
            </w:r>
          </w:p>
        </w:tc>
        <w:tc>
          <w:tcPr>
            <w:tcW w:w="1872" w:type="dxa"/>
          </w:tcPr>
          <w:p>
            <w:pPr/>
            <w:r>
              <w:t xml:space="preserve">§3.2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La régression prix-volume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scenarios.py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anomalies()</w:t>
            </w:r>
            <w:r>
              <w:t xml:space="preserve"> l.142, </w:t>
            </w:r>
            <w:r>
              <w:rPr>
                <w:rStyle w:val="CodeChar"/>
              </w:rPr>
              <w:t xml:space="preserve">pente_prix_volume()</w:t>
            </w:r>
            <w:r>
              <w:t xml:space="preserve"> l.156</w:t>
            </w:r>
          </w:p>
        </w:tc>
        <w:tc>
          <w:tcPr>
            <w:tcW w:w="1872" w:type="dxa"/>
          </w:tcPr>
          <w:p>
            <w:pPr/>
            <w:r>
              <w:t xml:space="preserve">§3.2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Level × Shape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scenarios.py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scenario_spot()</w:t>
            </w:r>
            <w:r>
              <w:t xml:space="preserve"> l.169, </w:t>
            </w:r>
            <w:r>
              <w:rPr>
                <w:rStyle w:val="CodeChar"/>
              </w:rPr>
              <w:t xml:space="preserve">construire_scenario()</w:t>
            </w:r>
            <w:r>
              <w:t xml:space="preserve"> l.176</w:t>
            </w:r>
          </w:p>
        </w:tc>
        <w:tc>
          <w:tcPr>
            <w:tcW w:w="1872" w:type="dxa"/>
          </w:tcPr>
          <w:p>
            <w:pPr/>
            <w:r>
              <w:t xml:space="preserve">§3.2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La méthode alpha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scenarios.py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forward_t2_anticipe()</w:t>
            </w:r>
            <w:r>
              <w:t xml:space="preserve"> l.40, </w:t>
            </w:r>
            <w:r>
              <w:rPr>
                <w:rStyle w:val="CodeChar"/>
              </w:rPr>
              <w:t xml:space="preserve">sigma_t2()</w:t>
            </w:r>
            <w:r>
              <w:t xml:space="preserve"> l.45</w:t>
            </w:r>
          </w:p>
        </w:tc>
        <w:tc>
          <w:tcPr>
            <w:tcW w:w="1872" w:type="dxa"/>
          </w:tcPr>
          <w:p>
            <w:pPr/>
            <w:r>
              <w:t xml:space="preserve">§3.3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Le mix de produits EEX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comparaison_scenarios.py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fenetre()</w:t>
            </w:r>
            <w:r>
              <w:t xml:space="preserve"> l.37, </w:t>
            </w:r>
            <w:r>
              <w:rPr>
                <w:rStyle w:val="CodeChar"/>
              </w:rPr>
              <w:t xml:space="preserve">construire_mix()</w:t>
            </w:r>
            <w:r>
              <w:t xml:space="preserve"> l.68</w:t>
            </w:r>
          </w:p>
        </w:tc>
        <w:tc>
          <w:tcPr>
            <w:tcW w:w="1872" w:type="dxa"/>
          </w:tcPr>
          <w:p>
            <w:pPr/>
            <w:r>
              <w:t xml:space="preserve">§3.4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Les marges et le choix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comparaison_scenarios.py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marge()</w:t>
            </w:r>
            <w:r>
              <w:t xml:space="preserve"> l.160, </w:t>
            </w:r>
            <w:r>
              <w:rPr>
                <w:rStyle w:val="CodeChar"/>
              </w:rPr>
              <w:t xml:space="preserve">choisir()</w:t>
            </w:r>
            <w:r>
              <w:t xml:space="preserve"> l.205</w:t>
            </w:r>
          </w:p>
        </w:tc>
        <w:tc>
          <w:tcPr>
            <w:tcW w:w="1872" w:type="dxa"/>
          </w:tcPr>
          <w:p>
            <w:pPr/>
            <w:r>
              <w:t xml:space="preserve">§3.5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13</w:t>
            </w:r>
          </w:p>
        </w:tc>
        <w:tc>
          <w:tcPr>
            <w:tcW w:w="1872" w:type="dxa"/>
          </w:tcPr>
          <w:p>
            <w:pPr/>
            <w:r>
              <w:t xml:space="preserve">Le travail au T2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decision_t2.py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probabilites_revisees()</w:t>
            </w:r>
            <w:r>
              <w:t xml:space="preserve"> l.20, </w:t>
            </w:r>
            <w:r>
              <w:rPr>
                <w:rStyle w:val="CodeChar"/>
              </w:rPr>
              <w:t xml:space="preserve">marge_t2()</w:t>
            </w:r>
            <w:r>
              <w:t xml:space="preserve"> l.50</w:t>
            </w:r>
          </w:p>
        </w:tc>
        <w:tc>
          <w:tcPr>
            <w:tcW w:w="1872" w:type="dxa"/>
          </w:tcPr>
          <w:p>
            <w:pPr/>
            <w:r>
              <w:t xml:space="preserve">§4.1 à 4.4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</w:t>
            </w:r>
          </w:p>
        </w:tc>
        <w:tc>
          <w:tcPr>
            <w:tcW w:w="1872" w:type="dxa"/>
          </w:tcPr>
          <w:p>
            <w:pPr/>
            <w:r>
              <w:t xml:space="preserve">La position ouverte du 1er janvier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decision_t2.py</w:t>
            </w:r>
          </w:p>
        </w:tc>
        <w:tc>
          <w:tcPr>
            <w:tcW w:w="1872" w:type="dxa"/>
          </w:tcPr>
          <w:p>
            <w:pPr/>
            <w:r>
              <w:t xml:space="preserve">fin de </w:t>
            </w:r>
            <w:r>
              <w:rPr>
                <w:rStyle w:val="CodeChar"/>
              </w:rPr>
              <w:t xml:space="preserve">main()</w:t>
            </w:r>
            <w:r>
              <w:t xml:space="preserve">, </w:t>
            </w:r>
            <w:r>
              <w:rPr>
                <w:rStyle w:val="CodeChar"/>
              </w:rPr>
              <w:t xml:space="preserve">tracer()</w:t>
            </w:r>
            <w:r>
              <w:t xml:space="preserve"> l.212</w:t>
            </w:r>
          </w:p>
        </w:tc>
        <w:tc>
          <w:tcPr>
            <w:tcW w:w="1872" w:type="dxa"/>
          </w:tcPr>
          <w:p>
            <w:pPr/>
            <w:r>
              <w:t xml:space="preserve">§5</w:t>
            </w:r>
          </w:p>
        </w:tc>
      </w:tr>
    </w:tbl>
    <w:p>
      <w:pPr/>
      <w:r>
        <w:rPr>
          <w:b/>
        </w:rPr>
        <w:t xml:space="preserve">Ordre d'exécution</w:t>
      </w:r>
      <w:r>
        <w:t xml:space="preserve"> : </w:t>
      </w:r>
      <w:r>
        <w:rPr>
          <w:rStyle w:val="CodeChar"/>
        </w:rPr>
        <w:t xml:space="preserve">Modelisation_Conso.py</w:t>
      </w:r>
      <w:r>
        <w:t xml:space="preserve">, puis </w:t>
      </w:r>
      <w:r>
        <w:rPr>
          <w:rStyle w:val="CodeChar"/>
        </w:rPr>
        <w:t xml:space="preserve">comparaison_scenarios.py</w:t>
      </w:r>
      <w:r>
        <w:t xml:space="preserve">, puis </w:t>
      </w:r>
      <w:r>
        <w:rPr>
          <w:rStyle w:val="CodeChar"/>
        </w:rPr>
        <w:t xml:space="preserve">decision_t2.py</w:t>
      </w:r>
      <w:r>
        <w:t xml:space="preserve">. </w:t>
      </w:r>
      <w:r>
        <w:rPr>
          <w:rStyle w:val="CodeChar"/>
        </w:rPr>
        <w:t xml:space="preserve">scenarios.py</w:t>
      </w:r>
      <w:r>
        <w:t xml:space="preserve"> est facultatif (il détaille un seul scénario), </w:t>
      </w:r>
      <w:r>
        <w:rPr>
          <w:rStyle w:val="CodeChar"/>
        </w:rPr>
        <w:t xml:space="preserve">calendrier.py</w:t>
      </w:r>
      <w:r>
        <w:t xml:space="preserve"> est une bibliothèque. Les deux derniers scripts sont indépendants : chacun reconstruit tout depuis les CSV de base, aucun ne lit les sorties de l'autre.</w:t>
      </w:r>
    </w:p>
    <w:p>
      <w:pPr>
        <w:pStyle w:val="Heading2"/>
      </w:pPr>
      <w:r>
        <w:t xml:space="preserve">Étapes 1 et 2 — Le profil Enedis et le FUD</w:t>
      </w:r>
    </w:p>
    <w:p>
      <w:pPr/>
      <w:r>
        <w:t xml:space="preserve">Un profil Enedis est une </w:t>
      </w:r>
      <w:r>
        <w:rPr>
          <w:b/>
        </w:rPr>
        <w:t xml:space="preserve">forme sans unité</w:t>
      </w:r>
      <w:r>
        <w:t xml:space="preserve"> ; le FUD est l'échelle qui la transforme en kilowatts.</w:t>
      </w:r>
    </w:p>
    <w:p>
      <w:pPr>
        <w:pStyle w:val="Heading3"/>
      </w:pPr>
      <w:r>
        <w:t xml:space="preserve">La théorie</w:t>
      </w:r>
    </w:p>
    <w:p>
      <w:pPr/>
      <w:r>
        <w:t xml:space="preserve">Enedis publie, pour chaque catégorie de client, une courbe de coefficients au pas demi-horaire qui dit comment un client moyen de cette catégorie répartit sa consommation dans l'année. Ces coefficients n'ont pas d'unité : ils décrivent une forme, pas un niveau.</w:t>
      </w:r>
    </w:p>
    <w:p>
      <w:pPr/>
      <w:r>
        <w:t xml:space="preserve">Pour obtenir des kW il faut une échelle. Enedis la définit par le </w:t>
      </w:r>
      <w:r>
        <w:rPr>
          <w:b/>
        </w:rPr>
        <w:t xml:space="preserve">Facteur d'Usage par Défaut</w:t>
      </w:r>
      <w:r>
        <w:t xml:space="preserve"> :</w:t>
      </w:r>
    </w:p>
    <w:p>
      <w:pPr>
        <w:pStyle w:val="Code"/>
      </w:pPr>
      <w:bookmarkStart w:id="1" w:name="bongo_lang_latex_1"/>
      <w:bookmarkEnd w:id="1"/>
      <w:r>
        <w:t xml:space="preserve">\mathrm{FUD} = P_s \times \Theta</w:t>
      </w:r>
    </w:p>
    <w:p>
      <w:pPr/>
      <w:r>
        <w:t xml:space="preserve">où </w:t>
      </w:r>
      <w:r>
        <w:rPr>
          <w:rStyle w:val="CodeChar"/>
        </w:rPr>
        <w:t xml:space="preserve">Ps</w:t>
      </w:r>
      <w:r>
        <w:t xml:space="preserve"> est la puissance souscrite en kVA et </w:t>
      </w:r>
      <w:r>
        <w:rPr>
          <w:rStyle w:val="CodeChar"/>
        </w:rPr>
        <w:t xml:space="preserve">Θ</w:t>
      </w:r>
      <w:r>
        <w:t xml:space="preserve"> un coefficient publié par profil (document Enedis-NOI-NUM_09E). </w:t>
      </w:r>
      <w:r>
        <w:rPr>
          <w:rStyle w:val="CodeChar"/>
        </w:rPr>
        <w:t xml:space="preserve">Θ</w:t>
      </w:r>
      <w:r>
        <w:t xml:space="preserve"> est le taux d'utilisation moyen de la puissance souscrite.</w:t>
      </w:r>
    </w:p>
    <w:p>
      <w:pPr/>
      <w:r>
        <w:t xml:space="preserve">Pour un client déjà en portefeuille, dont on connaît la consommation passée, on utiliserait le FUR (Facteur d'Usage Réel). Ici le portefeuille est fictif et sans historique, donc </w:t>
      </w:r>
      <w:r>
        <w:rPr>
          <w:b/>
        </w:rPr>
        <w:t xml:space="preserve">FUD</w:t>
      </w:r>
      <w:r>
        <w:t xml:space="preserve">. C'est le premier point à savoir justifier.</w:t>
      </w:r>
    </w:p>
    <w:p>
      <w:pPr>
        <w:pStyle w:val="Heading3"/>
      </w:pPr>
      <w:r>
        <w:t xml:space="preserve">Les chiffres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Profil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Clients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Ps (kVA)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Θ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FUD (kW)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Puissance de référence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RES1</w:t>
            </w:r>
          </w:p>
        </w:tc>
        <w:tc>
          <w:tcPr>
            <w:tcW w:w="1560" w:type="dxa"/>
          </w:tcPr>
          <w:p>
            <w:pPr/>
            <w:r>
              <w:t xml:space="preserve">200 000</w:t>
            </w:r>
          </w:p>
        </w:tc>
        <w:tc>
          <w:tcPr>
            <w:tcW w:w="1560" w:type="dxa"/>
          </w:tcPr>
          <w:p>
            <w:pPr/>
            <w:r>
              <w:t xml:space="preserve">4,5</w:t>
            </w:r>
          </w:p>
        </w:tc>
        <w:tc>
          <w:tcPr>
            <w:tcW w:w="1560" w:type="dxa"/>
          </w:tcPr>
          <w:p>
            <w:pPr/>
            <w:r>
              <w:t xml:space="preserve">0,05210</w:t>
            </w:r>
          </w:p>
        </w:tc>
        <w:tc>
          <w:tcPr>
            <w:tcW w:w="1560" w:type="dxa"/>
          </w:tcPr>
          <w:p>
            <w:pPr/>
            <w:r>
              <w:t xml:space="preserve">0,23445</w:t>
            </w:r>
          </w:p>
        </w:tc>
        <w:tc>
          <w:tcPr>
            <w:tcW w:w="1560" w:type="dxa"/>
          </w:tcPr>
          <w:p>
            <w:pPr/>
            <w:r>
              <w:t xml:space="preserve">46 890 kW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PRO1</w:t>
            </w:r>
          </w:p>
        </w:tc>
        <w:tc>
          <w:tcPr>
            <w:tcW w:w="1560" w:type="dxa"/>
          </w:tcPr>
          <w:p>
            <w:pPr/>
            <w:r>
              <w:t xml:space="preserve">5 000</w:t>
            </w:r>
          </w:p>
        </w:tc>
        <w:tc>
          <w:tcPr>
            <w:tcW w:w="1560" w:type="dxa"/>
          </w:tcPr>
          <w:p>
            <w:pPr/>
            <w:r>
              <w:t xml:space="preserve">36,0</w:t>
            </w:r>
          </w:p>
        </w:tc>
        <w:tc>
          <w:tcPr>
            <w:tcW w:w="1560" w:type="dxa"/>
          </w:tcPr>
          <w:p>
            <w:pPr/>
            <w:r>
              <w:t xml:space="preserve">0,08004</w:t>
            </w:r>
          </w:p>
        </w:tc>
        <w:tc>
          <w:tcPr>
            <w:tcW w:w="1560" w:type="dxa"/>
          </w:tcPr>
          <w:p>
            <w:pPr/>
            <w:r>
              <w:t xml:space="preserve">2,88144</w:t>
            </w:r>
          </w:p>
        </w:tc>
        <w:tc>
          <w:tcPr>
            <w:tcW w:w="1560" w:type="dxa"/>
          </w:tcPr>
          <w:p>
            <w:pPr/>
            <w:r>
              <w:t xml:space="preserve">14 407 kW</w:t>
            </w:r>
          </w:p>
        </w:tc>
      </w:tr>
    </w:tbl>
    <w:p>
      <w:pPr/>
      <w:r>
        <w:t xml:space="preserve">Un client PRO1 pèse 12 fois un client RES1. Sur l'année, cela donne </w:t>
      </w:r>
      <w:r>
        <w:rPr>
          <w:b/>
        </w:rPr>
        <w:t xml:space="preserve">76,7 % de l'énergie pour RES1 et 23,3 % pour PRO1</w:t>
      </w:r>
      <w:r>
        <w:t xml:space="preserve">, parce que les deux profils n'ont pas la même forme (PRO1 consomme le jour, RES1 le soir).</w:t>
      </w:r>
    </w:p>
    <w:p>
      <w:pPr>
        <w:pStyle w:val="Heading3"/>
      </w:pPr>
      <w:r>
        <w:t xml:space="preserve">Dans le code</w:t>
      </w:r>
    </w:p>
    <w:p>
      <w:pPr>
        <w:pStyle w:val="Code"/>
      </w:pPr>
      <w:bookmarkStart w:id="2" w:name="bongo_lang_python_2"/>
      <w:bookmarkEnd w:id="2"/>
      <w:r>
        <w:t xml:space="preserve">PARAMS = {</w:t>
        <w:br/>
        <w:t xml:space="preserve">    "RES1": {"nb_clients": 200_000, "puissance_souscrite": 4.5, "theta": 0.0521},</w:t>
        <w:br/>
        <w:t xml:space="preserve">    "PRO1": {"nb_clients": 5_000, "puissance_souscrite": 36.0, "theta": 0.08004},</w:t>
        <w:br/>
        <w:t xml:space="preserve">}</w:t>
        <w:br/>
        <w:br/>
        <w:t xml:space="preserve">def fud(profil):</w:t>
        <w:br/>
        <w:t xml:space="preserve">    p = PARAMS[profil]</w:t>
        <w:br/>
        <w:t xml:space="preserve">    return p["puissance_souscrite"] * p["theta"]</w:t>
      </w:r>
    </w:p>
    <w:p>
      <w:pPr/>
      <w:r>
        <w:t xml:space="preserve">Le 1er décembre, le service commercial revoit sa prévision à la baisse : </w:t>
      </w:r>
      <w:r>
        <w:rPr>
          <w:b/>
        </w:rPr>
        <w:t xml:space="preserve">188 200 clients RES1 au lieu de 200 000</w:t>
      </w:r>
      <w:r>
        <w:t xml:space="preserve">, et </w:t>
      </w:r>
      <w:r>
        <w:rPr>
          <w:b/>
        </w:rPr>
        <w:t xml:space="preserve">4 585 PRO1 au lieu de 5 000</w:t>
      </w:r>
      <w:r>
        <w:t xml:space="preserve">.</w:t>
      </w:r>
    </w:p>
    <w:p>
      <w:pPr/>
      <w:r>
        <w:t xml:space="preserve">Il n'y a rien à recalculer, parce que deux fois moins de clients consomment exactement deux fois moins, à chaque instant. Il suffit donc de multiplier la courbe par le </w:t>
      </w:r>
      <w:r>
        <w:rPr>
          <w:b/>
        </w:rPr>
        <w:t xml:space="preserve">rapport des effectifs</w:t>
      </w:r>
      <w:r>
        <w:t xml:space="preserve"> : </w:t>
      </w:r>
      <w:r>
        <w:rPr>
          <w:rStyle w:val="CodeChar"/>
        </w:rPr>
        <w:t xml:space="preserve">188 200 / 200 000 = 0,941</w:t>
      </w:r>
      <w:r>
        <w:t xml:space="preserve"> pour RES1, et </w:t>
      </w:r>
      <w:r>
        <w:rPr>
          <w:rStyle w:val="CodeChar"/>
        </w:rPr>
        <w:t xml:space="preserve">4 585 / 5 000 = 0,917</w:t>
      </w:r>
      <w:r>
        <w:t xml:space="preserve"> pour PRO1. Ces deux facteurs s'appliquent à tous les pas de temps de l'année — à 3 h du matin le 14 juillet comme à 19 h le 7 janvier.</w:t>
      </w:r>
    </w:p>
    <w:p>
      <w:pPr>
        <w:pStyle w:val="Code"/>
      </w:pPr>
      <w:bookmarkStart w:id="3" w:name="bongo_lang_python_3"/>
      <w:bookmarkEnd w:id="3"/>
      <w:r>
        <w:t xml:space="preserve">REVISION_T2 = {"RES1": -0.059, "PRO1": -0.083}</w:t>
        <w:br/>
        <w:br/>
        <w:t xml:space="preserve">def reviser_t2(df):</w:t>
        <w:br/>
        <w:t xml:space="preserve">    out = df.copy()</w:t>
        <w:br/>
        <w:t xml:space="preserve">    for profil, variation in REVISION_T2.items():</w:t>
        <w:br/>
        <w:t xml:space="preserve">        for col in (f"P_{profil}_kW", f"P_dyn_{profil}_kW"):</w:t>
        <w:br/>
        <w:t xml:space="preserve">            out[col] = df[col] * (1 + variation)</w:t>
        <w:br/>
        <w:t xml:space="preserve">    return _totaliser(out)</w:t>
      </w:r>
    </w:p>
    <w:p>
      <w:pPr>
        <w:pStyle w:val="Heading3"/>
      </w:pPr>
      <w:r>
        <w:t xml:space="preserve">Ce qu'il faut savoir dire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Pourquoi FUD et pas FUR</w:t>
      </w:r>
      <w:r>
        <w:t xml:space="preserve"> : pas d'historique de consommation sur ce portefeuille.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D'où viennent les Θ</w:t>
      </w:r>
      <w:r>
        <w:t xml:space="preserve"> : ce ne sont pas des valeurs inventées, elles sont lues dans le barème Enedis, profil par profil.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Pourquoi −5,96 % de clients donne −6,46 % d'énergie</w:t>
      </w:r>
      <w:r>
        <w:t xml:space="preserve"> : PRO1 ne pèse que 2,4 % des clients, mais 23,3 % de l'énergie. Comptée en nombre de clients, sa baisse de 8,3 % ne change presque rien ; comptée en énergie, elle compte dix fois plus lourd. D'où 0,976 × (−5,9) + 0,024 × (−8,3) = −5,96 % en clients, contre 0,767 × (−5,9) + 0,233 × (−8,3) = −6,46 % en énergie : ce sont les deux mêmes pourcentages, pondérés différemment. C'est exactement le genre de détail qu'on vous demandera.</w:t>
      </w:r>
    </w:p>
    <w:p>
      <w:pPr>
        <w:pStyle w:val="Heading2"/>
      </w:pPr>
      <w:r>
        <w:t xml:space="preserve">Étape 3 — Charger et aligner les données</w:t>
      </w:r>
    </w:p>
    <w:p>
      <w:pPr/>
      <w:r>
        <w:t xml:space="preserve">Quatre fichiers, deux séparateurs, deux résolutions : tout le travail consiste à les </w:t>
      </w:r>
      <w:r>
        <w:rPr>
          <w:b/>
        </w:rPr>
        <w:t xml:space="preserve">joindre sur l'horodate</w:t>
      </w:r>
      <w:r>
        <w:t xml:space="preserve"> plutôt qu'à les coller côte à côte.</w:t>
      </w:r>
    </w:p>
    <w:p>
      <w:pPr/>
      <w:r>
        <w:t xml:space="preserve">L'</w:t>
      </w:r>
      <w:r>
        <w:rPr>
          <w:b/>
        </w:rPr>
        <w:t xml:space="preserve">horodate</w:t>
      </w:r>
      <w:r>
        <w:t xml:space="preserve"> — c'est le nom de la colonne chez Enedis, </w:t>
      </w:r>
      <w:r>
        <w:rPr>
          <w:rStyle w:val="CodeChar"/>
        </w:rPr>
        <w:t xml:space="preserve">HORODATE</w:t>
      </w:r>
      <w:r>
        <w:t xml:space="preserve"> — est la date et l'heure de début de chaque pas de temps, fuseau compris. </w:t>
      </w:r>
      <w:r>
        <w:rPr>
          <w:rStyle w:val="CodeChar"/>
        </w:rPr>
        <w:t xml:space="preserve">2025-01-07T18:30:00+01:00</w:t>
      </w:r>
      <w:r>
        <w:t xml:space="preserve"> désigne la demi-heure qui va de 18h30 à 19h00, en heure d'hiver française. C'est la seule chose que les quatre fichiers ont en commun, donc la clé qui permet de les rapprocher.</w:t>
      </w:r>
    </w:p>
    <w:p>
      <w:pPr>
        <w:pStyle w:val="Heading3"/>
      </w:pPr>
      <w:r>
        <w:t xml:space="preserve">Ce qu'on charge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Fichier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Séparateur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qu'on en tire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RES1_BASE.csv</w:t>
            </w:r>
            <w:r>
              <w:t xml:space="preserve">, </w:t>
            </w:r>
            <w:r>
              <w:rPr>
                <w:rStyle w:val="CodeChar"/>
              </w:rPr>
              <w:t xml:space="preserve">PRO1_BASE.csv</w:t>
            </w:r>
          </w:p>
        </w:tc>
        <w:tc>
          <w:tcPr>
            <w:tcW w:w="3120" w:type="dxa"/>
          </w:tcPr>
          <w:p>
            <w:pPr/>
            <w:r>
              <w:t xml:space="preserve">virgule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COEFFICIENT_PREPARE</w:t>
            </w:r>
            <w:r>
              <w:t xml:space="preserve"> (30 min) et </w:t>
            </w:r>
            <w:r>
              <w:rPr>
                <w:rStyle w:val="CodeChar"/>
              </w:rPr>
              <w:t xml:space="preserve">COEFFICIENT_DYNAMIQUE</w:t>
            </w:r>
            <w:r>
              <w:t xml:space="preserve"> (15 min)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gradients.csv</w:t>
            </w:r>
          </w:p>
        </w:tc>
        <w:tc>
          <w:tcPr>
            <w:tcW w:w="3120" w:type="dxa"/>
          </w:tcPr>
          <w:p>
            <w:pPr/>
            <w:r>
              <w:t xml:space="preserve">point-virgule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RES1_BASE</w:t>
            </w:r>
            <w:r>
              <w:t xml:space="preserve">, </w:t>
            </w:r>
            <w:r>
              <w:rPr>
                <w:rStyle w:val="CodeChar"/>
              </w:rPr>
              <w:t xml:space="preserve">PRO1_BASE</w:t>
            </w:r>
            <w:r>
              <w:t xml:space="preserve"> = gradient de thermosensibilité, en %/°C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temperature_2025.csv</w:t>
            </w:r>
          </w:p>
        </w:tc>
        <w:tc>
          <w:tcPr>
            <w:tcW w:w="3120" w:type="dxa"/>
          </w:tcPr>
          <w:p>
            <w:pPr/>
            <w:r>
              <w:t xml:space="preserve">virgule</w:t>
            </w:r>
          </w:p>
        </w:tc>
        <w:tc>
          <w:tcPr>
            <w:tcW w:w="3120" w:type="dxa"/>
          </w:tcPr>
          <w:p>
            <w:pPr/>
            <w:r>
              <w:t xml:space="preserve">température réalisée et température normale, lissées</w:t>
            </w:r>
          </w:p>
        </w:tc>
      </w:tr>
    </w:tbl>
    <w:p>
      <w:pPr/>
      <w:r>
        <w:t xml:space="preserve">Un coefficient de profil répond à une seule question : </w:t>
      </w:r>
      <w:r>
        <w:rPr>
          <w:b/>
        </w:rPr>
        <w:t xml:space="preserve">à cet instant, un client moyen de cette classe consomme combien de fois sa consommation moyenne de l'année ?</w:t>
      </w:r>
      <w:r>
        <w:t xml:space="preserve"> C'est un multiplicateur sans unité — </w:t>
      </w:r>
      <w:r>
        <w:rPr>
          <w:rStyle w:val="CodeChar"/>
        </w:rPr>
        <w:t xml:space="preserve">1</w:t>
      </w:r>
      <w:r>
        <w:t xml:space="preserve"> veut dire « exactement sa moyenne », </w:t>
      </w:r>
      <w:r>
        <w:rPr>
          <w:rStyle w:val="CodeChar"/>
        </w:rPr>
        <w:t xml:space="preserve">2</w:t>
      </w:r>
      <w:r>
        <w:t xml:space="preserve"> « le double », </w:t>
      </w:r>
      <w:r>
        <w:rPr>
          <w:rStyle w:val="CodeChar"/>
        </w:rPr>
        <w:t xml:space="preserve">0,5</w:t>
      </w:r>
      <w:r>
        <w:t xml:space="preserve"> « la moitié ». Enedis mesure un échantillon de clients de la classe et normalise la courbe pour que sa moyenne annuelle vaille 1 : le coefficient ne porte donc </w:t>
      </w:r>
      <w:r>
        <w:rPr>
          <w:b/>
        </w:rPr>
        <w:t xml:space="preserve">que la forme</w:t>
      </w:r>
      <w:r>
        <w:t xml:space="preserve">, jamais le niveau. Celui de RES1 va de 0,49 un matin de juin à 2,01 le 29 décembre à 19h30, soit un rapport de 4 entre le creux et la pointe.</w:t>
      </w:r>
    </w:p>
    <w:p>
      <w:pPr/>
      <w:r>
        <w:t xml:space="preserve">Le fichier Enedis contient </w:t>
      </w:r>
      <w:r>
        <w:rPr>
          <w:b/>
        </w:rPr>
        <w:t xml:space="preserve">trois</w:t>
      </w:r>
      <w:r>
        <w:t xml:space="preserve"> colonnes de coefficients, pas une 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Colonne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Résolution réelle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Moyenne 2025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Disponible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COEFFICIENT_PREPARE</w:t>
            </w:r>
          </w:p>
        </w:tc>
        <w:tc>
          <w:tcPr>
            <w:tcW w:w="2340" w:type="dxa"/>
          </w:tcPr>
          <w:p>
            <w:pPr/>
            <w:r>
              <w:t xml:space="preserve">30 min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1,0021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à l'avance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COEFFICIENT_AJUSTE</w:t>
            </w:r>
          </w:p>
        </w:tc>
        <w:tc>
          <w:tcPr>
            <w:tcW w:w="2340" w:type="dxa"/>
          </w:tcPr>
          <w:p>
            <w:pPr/>
            <w:r>
              <w:t xml:space="preserve">30 min</w:t>
            </w:r>
          </w:p>
        </w:tc>
        <w:tc>
          <w:tcPr>
            <w:tcW w:w="2340" w:type="dxa"/>
          </w:tcPr>
          <w:p>
            <w:pPr/>
            <w:r>
              <w:t xml:space="preserve">0,9959</w:t>
            </w:r>
          </w:p>
        </w:tc>
        <w:tc>
          <w:tcPr>
            <w:tcW w:w="2340" w:type="dxa"/>
          </w:tcPr>
          <w:p>
            <w:pPr/>
            <w:r>
              <w:t xml:space="preserve">après coup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COEFFICIENT_DYNAMIQUE</w:t>
            </w:r>
          </w:p>
        </w:tc>
        <w:tc>
          <w:tcPr>
            <w:tcW w:w="2340" w:type="dxa"/>
          </w:tcPr>
          <w:p>
            <w:pPr/>
            <w:r>
              <w:t xml:space="preserve">15 min</w:t>
            </w:r>
          </w:p>
        </w:tc>
        <w:tc>
          <w:tcPr>
            <w:tcW w:w="2340" w:type="dxa"/>
          </w:tcPr>
          <w:p>
            <w:pPr/>
            <w:r>
              <w:t xml:space="preserve">0,8772</w:t>
            </w:r>
          </w:p>
        </w:tc>
        <w:tc>
          <w:tcPr>
            <w:tcW w:w="2340" w:type="dxa"/>
          </w:tcPr>
          <w:p>
            <w:pPr/>
            <w:r>
              <w:t xml:space="preserve">après coup</w:t>
            </w:r>
          </w:p>
        </w:tc>
      </w:tr>
    </w:tbl>
    <w:p>
      <w:pPr/>
      <w:r>
        <w:t xml:space="preserve">On prend le </w:t>
      </w:r>
      <w:r>
        <w:rPr>
          <w:b/>
        </w:rPr>
        <w:t xml:space="preserve">préparé</w:t>
      </w:r>
      <w:r>
        <w:t xml:space="preserve"> pour deux raisons. D'abord, c'est le seul qui existe </w:t>
      </w:r>
      <w:r>
        <w:rPr>
          <w:i/>
        </w:rPr>
        <w:t xml:space="preserve">avant</w:t>
      </w:r>
      <w:r>
        <w:t xml:space="preserve"> la période : les deux autres sont des corrections établies une fois les relevés consolidés, donc inutilisables pour prévoir 2027. Ensuite, c'est celui qui est normalisé autour de 1, ce qui fait de </w:t>
      </w:r>
      <w:r>
        <w:rPr>
          <w:rStyle w:val="CodeChar"/>
        </w:rPr>
        <w:t xml:space="preserve">N × FUD</w:t>
      </w:r>
      <w:r>
        <w:t xml:space="preserve"> la puissance moyenne du portefeuille. Le dynamique, lui, tourne autour de 0,877 : l'utiliser tel quel donnerait 360 299 MWh au lieu de 411 616, soit </w:t>
      </w:r>
      <w:r>
        <w:rPr>
          <w:b/>
        </w:rPr>
        <w:t xml:space="preserve">12,5 % du volume envolé</w:t>
      </w:r>
      <w:r>
        <w:t xml:space="preserve">.</w:t>
      </w:r>
    </w:p>
    <w:p>
      <w:pPr/>
      <w:r>
        <w:t xml:space="preserve">Reste un problème à régler : le préparé est au pas de 30 minutes, le dynamique au quart d'heure.</w:t>
      </w:r>
    </w:p>
    <w:p>
      <w:pPr>
        <w:pStyle w:val="Heading3"/>
      </w:pPr>
      <w:r>
        <w:t xml:space="preserve">Affiner sans changer le niveau</w:t>
      </w:r>
    </w:p>
    <w:p>
      <w:pPr/>
      <w:r>
        <w:t xml:space="preserve">Le coefficient préparé donne </w:t>
      </w:r>
      <w:r>
        <w:rPr>
          <w:b/>
        </w:rPr>
        <w:t xml:space="preserve">une valeur par demi-heure</w:t>
      </w:r>
      <w:r>
        <w:t xml:space="preserve">, le dynamique </w:t>
      </w:r>
      <w:r>
        <w:rPr>
          <w:b/>
        </w:rPr>
        <w:t xml:space="preserve">deux valeurs par demi-heure</w:t>
      </w:r>
      <w:r>
        <w:t xml:space="preserve"> (une par quart d'heure). On veut la finesse du second sans toucher au niveau du premier : on lui emprunte donc uniquement </w:t>
      </w:r>
      <w:r>
        <w:rPr>
          <w:b/>
        </w:rPr>
        <w:t xml:space="preserve">sa façon de répartir la demi-heure entre ses deux quarts d'heure</w:t>
      </w:r>
      <w:r>
        <w:t xml:space="preserve">, et on applique cette répartition au préparé.</w:t>
      </w:r>
    </w:p>
    <w:p>
      <w:pPr>
        <w:pStyle w:val="Code"/>
      </w:pPr>
      <w:bookmarkStart w:id="4" w:name="bongo_lang_python_4"/>
      <w:bookmarkEnd w:id="4"/>
      <w:r>
        <w:t xml:space="preserve">def affiner_au_quart_heure(demi_horaire, quart_horaire):</w:t>
        <w:br/>
        <w:t xml:space="preserve">    demi_heure = quart_horaire.index.tz_convert("UTC").floor("30min")</w:t>
        <w:br/>
        <w:t xml:space="preserve">    ratio = quart_horaire / quart_horaire.groupby(demi_heure).transform("mean")</w:t>
        <w:br/>
        <w:t xml:space="preserve">    return demi_horaire * ratio</w:t>
      </w:r>
    </w:p>
    <w:p>
      <w:pPr/>
      <w:r>
        <w:t xml:space="preserve">Le ratio vaut </w:t>
      </w:r>
      <w:r>
        <w:rPr>
          <w:b/>
        </w:rPr>
        <w:t xml:space="preserve">1 en moyenne sur chaque demi-heure</w:t>
      </w:r>
      <w:r>
        <w:t xml:space="preserve">, donc l'énergie est conservée exactement : on ne fait que la redistribuer entre les deux quarts d'heure. C'est la seule façon honnête de passer de 30 min à 15 min.</w:t>
      </w:r>
    </w:p>
    <w:p>
      <w:pPr>
        <w:pStyle w:val="Heading3"/>
      </w:pPr>
      <w:r>
        <w:t xml:space="preserve">Le fuseau horaire</w:t>
      </w:r>
    </w:p>
    <w:p>
      <w:pPr>
        <w:pStyle w:val="Code"/>
      </w:pPr>
      <w:bookmarkStart w:id="5" w:name="bongo_lang_python_5"/>
      <w:bookmarkEnd w:id="5"/>
      <w:r>
        <w:t xml:space="preserve">def _horodate(serie):</w:t>
        <w:br/>
        <w:t xml:space="preserve">    return pd.to_datetime(serie, format="ISO8601", utc=True).dt.tz_convert("Europe/Paris")</w:t>
      </w:r>
    </w:p>
    <w:p>
      <w:pPr/>
      <w:r>
        <w:t xml:space="preserve">Chaque horodate </w:t>
      </w:r>
      <w:r>
        <w:rPr>
          <w:b/>
        </w:rPr>
        <w:t xml:space="preserve">garde son fuseau</w:t>
      </w:r>
      <w:r>
        <w:t xml:space="preserve"> au lieu d'être une simple date-heure. C'est indispensable à cause des changements d'heure : dans la nuit d'octobre, </w:t>
      </w:r>
      <w:r>
        <w:rPr>
          <w:b/>
        </w:rPr>
        <w:t xml:space="preserve">2h30 arrive deux fois</w:t>
      </w:r>
      <w:r>
        <w:t xml:space="preserve">, et une date-heure sans fuseau ne permet pas de distinguer la première de la seconde ; dans la nuit de mars, 2h30 n'existe pas du tout. Sans fuseau, on se retrouve avec 35 096 lignes au lieu de 35 040 et des doublons invisibles à l'œil. C'est aussi pourquoi le </w:t>
      </w:r>
      <w:r>
        <w:rPr>
          <w:rStyle w:val="CodeChar"/>
        </w:rPr>
        <w:t xml:space="preserve">.floor("30min")</w:t>
      </w:r>
      <w:r>
        <w:t xml:space="preserve"> ci-dessus travaille en UTC : pandas refuse d'arrondir une heure ambiguë, et en UTC l'ambiguïté n'existe pas.</w:t>
      </w:r>
    </w:p>
    <w:p>
      <w:pPr/>
      <w:r>
        <w:t xml:space="preserve">Au passage : 35 040 = 365 × 96, soit 96 pas de 15 minutes par jour.</w:t>
      </w:r>
    </w:p>
    <w:p>
      <w:pPr>
        <w:pStyle w:val="Heading3"/>
      </w:pPr>
      <w:r>
        <w:t xml:space="preserve">La jointure, et pourquoi c'est le point crucial</w:t>
      </w:r>
    </w:p>
    <w:p>
      <w:pPr>
        <w:pStyle w:val="Code"/>
      </w:pPr>
      <w:bookmarkStart w:id="6" w:name="bongo_lang_python_6"/>
      <w:bookmarkEnd w:id="6"/>
      <w:r>
        <w:t xml:space="preserve">def construire_base():</w:t>
        <w:br/>
        <w:t xml:space="preserve">    df = charger_coefficients("RES1")</w:t>
        <w:br/>
        <w:t xml:space="preserve">    for autre in (charger_coefficients("PRO1"), charger_gradients(), charger_temperatures()):</w:t>
        <w:br/>
        <w:t xml:space="preserve">        df = df.merge(autre, on="HORODATE", how="inner")</w:t>
        <w:br/>
        <w:t xml:space="preserve">    return df.set_index("HORODATE").sort_index()</w:t>
      </w:r>
    </w:p>
    <w:p>
      <w:pPr/>
      <w:r>
        <w:rPr>
          <w:rStyle w:val="CodeChar"/>
        </w:rPr>
        <w:t xml:space="preserve">merge(on="HORODATE")</w:t>
      </w:r>
      <w:r>
        <w:t xml:space="preserve"> veut dire : </w:t>
      </w:r>
      <w:r>
        <w:rPr>
          <w:b/>
        </w:rPr>
        <w:t xml:space="preserve">aligne les lignes qui portent la même horodate</w:t>
      </w:r>
      <w:r>
        <w:t xml:space="preserve">. Une concaténation par position dirait au contraire « première ligne avec première ligne, deuxième avec deuxième » — et c'est exactement ce que fait un copier-coller dans Excel.</w:t>
      </w:r>
    </w:p>
    <w:p>
      <w:pPr/>
      <w:r>
        <w:t xml:space="preserve">Sur ces données, la différence est fatale. Ouvre </w:t>
      </w:r>
      <w:r>
        <w:rPr>
          <w:rStyle w:val="CodeChar"/>
        </w:rPr>
        <w:t xml:space="preserve">temperature_2025.csv</w:t>
      </w:r>
      <w:r>
        <w:t xml:space="preserve"> : sa première ligne de données est le </w:t>
      </w:r>
      <w:r>
        <w:rPr>
          <w:b/>
        </w:rPr>
        <w:t xml:space="preserve">31 décembre à 23h45</w:t>
      </w:r>
      <w:r>
        <w:t xml:space="preserve">, sa dernière le </w:t>
      </w:r>
      <w:r>
        <w:rPr>
          <w:b/>
        </w:rPr>
        <w:t xml:space="preserve">1er janvier à 00h00</w:t>
      </w:r>
      <w:r>
        <w:t xml:space="preserve">. Le fichier est trié à l'envers. Collé par position à côté des coefficients Enedis — qui, eux, commencent au 1er janvier — il met les températures de fin décembre en face du début janvier, et ainsi de suite sur toute l'année.</w:t>
      </w:r>
    </w:p>
    <w:p>
      <w:pPr/>
      <w:r>
        <w:t xml:space="preserve">Le piège, c'est que </w:t>
      </w:r>
      <w:r>
        <w:rPr>
          <w:b/>
        </w:rPr>
        <w:t xml:space="preserve">le résultat reste plausible</w:t>
      </w:r>
      <w:r>
        <w:t xml:space="preserve"> : on obtient des courbes, des saisons, des hivers froids. Rien ne saute aux yeux. C'est l'erreur du classeur Excel du prof, et une jointure sur l'horodate y est immunisée par construction : si une ligne n'a pas de correspondante, elle disparaît au lieu de se tromper de voisine.</w:t>
      </w:r>
    </w:p>
    <w:p>
      <w:pPr/>
      <w:r>
        <w:t xml:space="preserve">Les fichiers de prix historiques posent un autre problème : </w:t>
      </w:r>
      <w:r>
        <w:rPr>
          <w:b/>
        </w:rPr>
        <w:t xml:space="preserve">ENTSO-E a changé son format d'export entre 2021 et 2024</w:t>
      </w:r>
      <w:r>
        <w:t xml:space="preserve">. Les deux premières lignes de chaque fichier suffisent à le voir.</w:t>
      </w:r>
    </w:p>
    <w:p>
      <w:pPr>
        <w:pStyle w:val="Code"/>
      </w:pPr>
      <w:bookmarkStart w:id="7" w:name="bongo_lang_text_7"/>
      <w:bookmarkEnd w:id="7"/>
      <w:r>
        <w:t xml:space="preserve">2021 : "MTU (CET/CEST)","Day-ahead Price [EUR/MWh]","Currency","BZN|FR"</w:t>
        <w:br/>
        <w:t xml:space="preserve">       "01.01.2021 00:00 - 01.01.2021 01:00","50.87","EUR"</w:t>
        <w:br/>
        <w:br/>
        <w:t xml:space="preserve">2024 : "MTU (UTC),""Area"",""Sequence"",""Day-ahead Price (EUR/MWh)"",..."</w:t>
        <w:br/>
        <w:t xml:space="preserve">       "01/01/2024 00:00:00 - 01/01/2024 01:00:00,""BZN|FR"",..."</w:t>
      </w:r>
    </w:p>
    <w:p>
      <w:pPr/>
      <w:r>
        <w:t xml:space="preserve">Trois différences, toutes piégeuses 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Les guillemets.</w:t>
      </w:r>
      <w:r>
        <w:t xml:space="preserve"> En 2024, la ligne entière est entourée de guillemets et ceux de l'intérieur sont doublés. Résultat : pandas lit tout le fichier comme </w:t>
      </w:r>
      <w:r>
        <w:rPr>
          <w:b/>
        </w:rPr>
        <w:t xml:space="preserve">une seule colonne</w:t>
      </w:r>
      <w:r>
        <w:t xml:space="preserve">. Le code détecte ce cas et relit le fichier une deuxième fois après avoir défait cet emballage.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La date.</w:t>
      </w:r>
      <w:r>
        <w:t xml:space="preserve"> </w:t>
      </w:r>
      <w:r>
        <w:rPr>
          <w:rStyle w:val="CodeChar"/>
        </w:rPr>
        <w:t xml:space="preserve">01.01.2021 00:00</w:t>
      </w:r>
      <w:r>
        <w:t xml:space="preserve"> (points, sans secondes) contre </w:t>
      </w:r>
      <w:r>
        <w:rPr>
          <w:rStyle w:val="CodeChar"/>
        </w:rPr>
        <w:t xml:space="preserve">01/01/2024 00:00:00</w:t>
      </w:r>
      <w:r>
        <w:t xml:space="preserve"> (barres, avec secondes). Le code essaie les formats connus l'un après l'autre et garde le premier qui convertit toutes les lignes sans échec.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Le fuseau.</w:t>
      </w:r>
      <w:r>
        <w:t xml:space="preserve"> </w:t>
      </w:r>
      <w:r>
        <w:rPr>
          <w:rStyle w:val="CodeChar"/>
        </w:rPr>
        <w:t xml:space="preserve">MTU (CET/CEST)</w:t>
      </w:r>
      <w:r>
        <w:t xml:space="preserve"> signifie heure de Paris, </w:t>
      </w:r>
      <w:r>
        <w:rPr>
          <w:rStyle w:val="CodeChar"/>
        </w:rPr>
        <w:t xml:space="preserve">MTU (UTC)</w:t>
      </w:r>
      <w:r>
        <w:t xml:space="preserve"> heure universelle — deux heures d'écart en été. Le code lit le fuseau </w:t>
      </w:r>
      <w:r>
        <w:rPr>
          <w:b/>
        </w:rPr>
        <w:t xml:space="preserve">dans le titre de la colonne</w:t>
      </w:r>
      <w:r>
        <w:t xml:space="preserve">, parce que c'est la seule indication fiable du fichier.</w:t>
      </w:r>
    </w:p>
    <w:p>
      <w:pPr/>
      <w:r>
        <w:t xml:space="preserve">Rien de tout cela n'est intellectuellement passionnant, mais une erreur de fuseau décale une année entière de prix d'une heure : la pointe du soir se retrouve en face de la consommation de l'après-midi, et la régression prix-volume de l'étape 8 est fausse sans que rien ne casse.</w:t>
      </w:r>
    </w:p>
    <w:p>
      <w:pPr>
        <w:pStyle w:val="Heading3"/>
      </w:pPr>
      <w:r>
        <w:t xml:space="preserve">Ce qu'il faut savoir dire</w:t>
      </w:r>
    </w:p>
    <w:p>
      <w:pPr>
        <w:pStyle w:val="ListParagraph"/>
        <w:numPr>
          <w:ilvl w:val="0"/>
          <w:numId w:val="4"/>
        </w:numPr>
      </w:pPr>
      <w:r>
        <w:t xml:space="preserve">Pourquoi le coefficient </w:t>
      </w:r>
      <w:r>
        <w:rPr>
          <w:b/>
        </w:rPr>
        <w:t xml:space="preserve">préparé</w:t>
      </w:r>
      <w:r>
        <w:t xml:space="preserve"> est le bon pour de la prévision.</w:t>
      </w:r>
    </w:p>
    <w:p>
      <w:pPr>
        <w:pStyle w:val="ListParagraph"/>
        <w:numPr>
          <w:ilvl w:val="0"/>
          <w:numId w:val="4"/>
        </w:numPr>
      </w:pPr>
      <w:r>
        <w:t xml:space="preserve">Pourquoi l'affinage au quart d'heure </w:t>
      </w:r>
      <w:r>
        <w:rPr>
          <w:b/>
        </w:rPr>
        <w:t xml:space="preserve">conserve l'énergie</w:t>
      </w:r>
      <w:r>
        <w:t xml:space="preserve"> (le ratio moyen vaut 1).</w:t>
      </w:r>
    </w:p>
    <w:p>
      <w:pPr>
        <w:pStyle w:val="ListParagraph"/>
        <w:numPr>
          <w:ilvl w:val="0"/>
          <w:numId w:val="4"/>
        </w:numPr>
      </w:pPr>
      <w:r>
        <w:t xml:space="preserve">Pourquoi on joint sur l'horodate : donner l'exemple des températures inversées, c'est l'argument le plus parlant du dossier.</w:t>
      </w:r>
    </w:p>
    <w:p>
      <w:pPr>
        <w:pStyle w:val="Heading2"/>
      </w:pPr>
      <w:r>
        <w:t xml:space="preserve">Étapes 4 et 5 — Le coefficient météo et la charge</w:t>
      </w:r>
    </w:p>
    <w:p>
      <w:pPr/>
      <w:r>
        <w:t xml:space="preserve">Le coefficient météo corrige le profil de l'écart entre température réalisée et température normale, </w:t>
      </w:r>
      <w:r>
        <w:rPr>
          <w:b/>
        </w:rPr>
        <w:t xml:space="preserve">mais seulement sous le seuil de chauffe de 15 °C</w:t>
      </w:r>
      <w:r>
        <w:t xml:space="preserve">.</w:t>
      </w:r>
    </w:p>
    <w:p>
      <w:pPr>
        <w:pStyle w:val="Heading3"/>
      </w:pPr>
      <w:r>
        <w:t xml:space="preserve">La théorie</w:t>
      </w:r>
    </w:p>
    <w:p>
      <w:pPr/>
      <w:r>
        <w:t xml:space="preserve">Une partie du parc français se chauffe à l'électricité : quand il fait plus froid que la normale, la consommation monte. RTE quantifie cette </w:t>
      </w:r>
      <w:r>
        <w:rPr>
          <w:b/>
        </w:rPr>
        <w:t xml:space="preserve">thermosensibilité</w:t>
      </w:r>
      <w:r>
        <w:t xml:space="preserve"> par un gradient en %/°C, qui dépend du profil, de l'heure et de la saison. Fait important : </w:t>
      </w:r>
      <w:r>
        <w:rPr>
          <w:b/>
        </w:rPr>
        <w:t xml:space="preserve">les gradients sont nuls d'avril à octobre</w:t>
      </w:r>
      <w:r>
        <w:t xml:space="preserve"> — pas de chauffage, pas de sensibilité.</w:t>
      </w:r>
    </w:p>
    <w:p>
      <w:pPr/>
      <w:r>
        <w:rPr>
          <w:rStyle w:val="CodeChar"/>
          <w:b/>
        </w:rPr>
        <w:t xml:space="preserve">g</w:t>
      </w:r>
      <w:r>
        <w:rPr>
          <w:b/>
        </w:rPr>
        <w:t xml:space="preserve"> est ce gradient.</w:t>
      </w:r>
      <w:r>
        <w:t xml:space="preserve"> Il est lu dans </w:t>
      </w:r>
      <w:r>
        <w:rPr>
          <w:rStyle w:val="CodeChar"/>
        </w:rPr>
        <w:t xml:space="preserve">gradients.csv</w:t>
      </w:r>
      <w:r>
        <w:t xml:space="preserve"> (colonnes </w:t>
      </w:r>
      <w:r>
        <w:rPr>
          <w:rStyle w:val="CodeChar"/>
        </w:rPr>
        <w:t xml:space="preserve">RES1_BASE</w:t>
      </w:r>
      <w:r>
        <w:t xml:space="preserve"> et </w:t>
      </w:r>
      <w:r>
        <w:rPr>
          <w:rStyle w:val="CodeChar"/>
        </w:rPr>
        <w:t xml:space="preserve">PRO1_BASE</w:t>
      </w:r>
      <w:r>
        <w:t xml:space="preserve">) et porte le nom </w:t>
      </w:r>
      <w:r>
        <w:rPr>
          <w:rStyle w:val="CodeChar"/>
        </w:rPr>
        <w:t xml:space="preserve">grad_RES1</w:t>
      </w:r>
      <w:r>
        <w:t xml:space="preserve"> / </w:t>
      </w:r>
      <w:r>
        <w:rPr>
          <w:rStyle w:val="CodeChar"/>
        </w:rPr>
        <w:t xml:space="preserve">grad_PRO1</w:t>
      </w:r>
      <w:r>
        <w:t xml:space="preserve"> dans le code. Attention à son unité : il est exprimé </w:t>
      </w:r>
      <w:r>
        <w:rPr>
          <w:b/>
        </w:rPr>
        <w:t xml:space="preserve">en fraction par degré</w:t>
      </w:r>
      <w:r>
        <w:t xml:space="preserve">, pas en pourcentage. </w:t>
      </w:r>
      <w:r>
        <w:rPr>
          <w:rStyle w:val="CodeChar"/>
        </w:rPr>
        <w:t xml:space="preserve">0,0172</w:t>
      </w:r>
      <w:r>
        <w:t xml:space="preserve"> veut dire 1,72 % de consommation en plus par degré perdu — c'est ce qui permet d'écrire </w:t>
      </w:r>
      <w:r>
        <w:rPr>
          <w:rStyle w:val="CodeChar"/>
        </w:rPr>
        <w:t xml:space="preserve">1 + g × ΔT</w:t>
      </w:r>
      <w:r>
        <w:t xml:space="preserve"> directement, sans diviser par 100.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Profil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Hiver (jan-mars, nov-déc)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Avril à octobre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Maximum de l'année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RES1</w:t>
            </w:r>
          </w:p>
        </w:tc>
        <w:tc>
          <w:tcPr>
            <w:tcW w:w="2340" w:type="dxa"/>
          </w:tcPr>
          <w:p>
            <w:pPr/>
            <w:r>
              <w:t xml:space="preserve">2,2 à 2,5 %/°C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3,83 %/°C le 31/03 à 18h45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PRO1</w:t>
            </w:r>
          </w:p>
        </w:tc>
        <w:tc>
          <w:tcPr>
            <w:tcW w:w="2340" w:type="dxa"/>
          </w:tcPr>
          <w:p>
            <w:pPr/>
            <w:r>
              <w:t xml:space="preserve">3,0 à 3,7 %/°C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0</w:t>
            </w:r>
          </w:p>
        </w:tc>
        <w:tc>
          <w:tcPr>
            <w:tcW w:w="2340" w:type="dxa"/>
          </w:tcPr>
          <w:p>
            <w:pPr/>
            <w:r>
              <w:t xml:space="preserve">5,43 %/°C le 01/11 à 11h30</w:t>
            </w:r>
          </w:p>
        </w:tc>
      </w:tr>
    </w:tbl>
    <w:p>
      <w:pPr/>
      <w:r>
        <w:t xml:space="preserve">Trois remarques. </w:t>
      </w:r>
      <w:r>
        <w:rPr>
          <w:rStyle w:val="CodeChar"/>
        </w:rPr>
        <w:t xml:space="preserve">g</w:t>
      </w:r>
      <w:r>
        <w:t xml:space="preserve"> n'est pas une constante : il y a une valeur par pas de 15 minutes, comme pour les coefficients de profil. Il vaut </w:t>
      </w:r>
      <w:r>
        <w:rPr>
          <w:b/>
        </w:rPr>
        <w:t xml:space="preserve">exactement zéro d'avril à octobre</w:t>
      </w:r>
      <w:r>
        <w:t xml:space="preserve">, ce qui force </w:t>
      </w:r>
      <w:r>
        <w:rPr>
          <w:rStyle w:val="CodeChar"/>
        </w:rPr>
        <w:t xml:space="preserve">CM = 1</w:t>
      </w:r>
      <w:r>
        <w:t xml:space="preserve"> sur toute cette période quelle que soit la température. Et PRO1 est plus thermosensible que RES1 à puissance égale — un local professionnel chauffe un plus grand volume par rapport à sa consommation de base.</w:t>
      </w:r>
    </w:p>
    <w:p>
      <w:pPr/>
      <w:r>
        <w:t xml:space="preserve">Au-dessus de 15 °C personne ne chauffe. On ne compte donc que la part de l'écart de température située </w:t>
      </w:r>
      <w:r>
        <w:rPr>
          <w:b/>
        </w:rPr>
        <w:t xml:space="preserve">sous le seuil</w:t>
      </w:r>
      <w:r>
        <w:t xml:space="preserve">, ce qui donne quatre cas 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 réalisée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 normale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Lecture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&lt; 15 °C</w:t>
            </w:r>
          </w:p>
        </w:tc>
        <w:tc>
          <w:tcPr>
            <w:tcW w:w="1872" w:type="dxa"/>
          </w:tcPr>
          <w:p>
            <w:pPr/>
            <w:r>
              <w:t xml:space="preserve">&lt; 15 °C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1 + g × (Tn − T)</w:t>
            </w:r>
          </w:p>
        </w:tc>
        <w:tc>
          <w:tcPr>
            <w:tcW w:w="1872" w:type="dxa"/>
          </w:tcPr>
          <w:p>
            <w:pPr/>
            <w:r>
              <w:t xml:space="preserve">hiver normal : tout l'écart compte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&lt; 15 °C</w:t>
            </w:r>
          </w:p>
        </w:tc>
        <w:tc>
          <w:tcPr>
            <w:tcW w:w="1872" w:type="dxa"/>
          </w:tcPr>
          <w:p>
            <w:pPr/>
            <w:r>
              <w:t xml:space="preserve">≥ 15 °C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1 + g × (Ts − T)</w:t>
            </w:r>
          </w:p>
        </w:tc>
        <w:tc>
          <w:tcPr>
            <w:tcW w:w="1872" w:type="dxa"/>
          </w:tcPr>
          <w:p>
            <w:pPr/>
            <w:r>
              <w:t xml:space="preserve">froid inattendu : seule la part sous 15 compte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≥ 15 °C</w:t>
            </w:r>
          </w:p>
        </w:tc>
        <w:tc>
          <w:tcPr>
            <w:tcW w:w="1872" w:type="dxa"/>
          </w:tcPr>
          <w:p>
            <w:pPr/>
            <w:r>
              <w:t xml:space="preserve">&lt; 15 °C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1 + g × (Tn − Ts)</w:t>
            </w:r>
          </w:p>
        </w:tc>
        <w:tc>
          <w:tcPr>
            <w:tcW w:w="1872" w:type="dxa"/>
          </w:tcPr>
          <w:p>
            <w:pPr/>
            <w:r>
              <w:t xml:space="preserve">doux inattendu : on retire la chauffe prévue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≥ 15 °C</w:t>
            </w:r>
          </w:p>
        </w:tc>
        <w:tc>
          <w:tcPr>
            <w:tcW w:w="1872" w:type="dxa"/>
          </w:tcPr>
          <w:p>
            <w:pPr/>
            <w:r>
              <w:t xml:space="preserve">≥ 15 °C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été : aucune correction</w:t>
            </w:r>
          </w:p>
        </w:tc>
      </w:tr>
    </w:tbl>
    <w:p>
      <w:pPr/>
      <w:r>
        <w:t xml:space="preserve">Deux piquets à planter : le seuil existe (sans lui, on applique un gradient en plein mois d'août), et </w:t>
      </w:r>
      <w:r>
        <w:rPr>
          <w:b/>
        </w:rPr>
        <w:t xml:space="preserve">CM est multiplicatif, pas additif</w:t>
      </w:r>
      <w:r>
        <w:t xml:space="preserve">. L'oublier gonflait notre pointe de 14,5 % et notre énergie de 13,6 %.</w:t>
      </w:r>
    </w:p>
    <w:p>
      <w:pPr>
        <w:pStyle w:val="Code"/>
      </w:pPr>
      <w:bookmarkStart w:id="8" w:name="bongo_lang_python_8"/>
      <w:bookmarkEnd w:id="8"/>
      <w:r>
        <w:t xml:space="preserve">def coefficient_meteo(gradient, t_normale, t_realisee, t_seuil=T_SEUIL):</w:t>
        <w:br/>
        <w:t xml:space="preserve">    T, Tn, Ts = t_realisee, t_normale, t_seuil</w:t>
        <w:br/>
        <w:t xml:space="preserve">    cm = np.select(</w:t>
        <w:br/>
        <w:t xml:space="preserve">        [(T &lt; Ts) &amp; (Tn &lt; Ts), (T &lt; Ts) &amp; (Tn &gt;= Ts), (Tn &lt; Ts) &amp; (T &gt;= Ts), (T &gt;= Ts) &amp; (Tn &gt;= Ts)],</w:t>
        <w:br/>
        <w:t xml:space="preserve">        [1 + gradient * (Tn - T), 1 + gradient * (Ts - T), 1 + gradient * (Tn - Ts), 1.0],</w:t>
        <w:br/>
        <w:t xml:space="preserve">        default=np.nan)</w:t>
        <w:br/>
        <w:t xml:space="preserve">    return pd.Series(cm, index=t_realisee.index)</w:t>
      </w:r>
    </w:p>
    <w:p>
      <w:pPr/>
      <w:r>
        <w:rPr>
          <w:rStyle w:val="CodeChar"/>
        </w:rPr>
        <w:t xml:space="preserve">np.select</w:t>
      </w:r>
      <w:r>
        <w:t xml:space="preserve"> est un SI imbriqué appliqué d'un coup aux 35 040 lignes : c'est la version vectorisée du tableau ci-dessus, dans le même ordre.</w:t>
      </w:r>
    </w:p>
    <w:p>
      <w:pPr>
        <w:pStyle w:val="Heading3"/>
      </w:pPr>
      <w:r>
        <w:t xml:space="preserve">La charge</w:t>
      </w:r>
    </w:p>
    <w:p>
      <w:pPr>
        <w:pStyle w:val="Code"/>
      </w:pPr>
      <w:bookmarkStart w:id="9" w:name="bongo_lang_latex_9"/>
      <w:bookmarkEnd w:id="9"/>
      <w:r>
        <w:t xml:space="preserve">P(t) = N_{\text{clients}} \times \mathrm{FUD} \times c_{\text{profil}}(t) \times \mathrm{CM}(t)</w:t>
      </w:r>
    </w:p>
    <w:p/>
    <w:p>
      <w:pPr>
        <w:pStyle w:val="Code"/>
      </w:pPr>
      <w:bookmarkStart w:id="10" w:name="bongo_lang_python_10"/>
      <w:bookmarkEnd w:id="10"/>
      <w:r>
        <w:t xml:space="preserve">for profil in ("RES1", "PRO1"):</w:t>
        <w:br/>
        <w:t xml:space="preserve">    f, nb = fud(profil), PARAMS[profil]["nb_clients"]</w:t>
        <w:br/>
        <w:t xml:space="preserve">    coef = out[f"coef_{profil}"]</w:t>
        <w:br/>
        <w:t xml:space="preserve">    out[f"CM_{profil}"] = coefficient_meteo(</w:t>
        <w:br/>
        <w:t xml:space="preserve">        out[f"grad_{profil}"], out["temperature_normale_lissee_degc"],</w:t>
        <w:br/>
        <w:t xml:space="preserve">        out["temperature_realisee_lissee_degc"])</w:t>
        <w:br/>
        <w:t xml:space="preserve">    out[f"P_{profil}_kW"] = nb * f * coef</w:t>
        <w:br/>
        <w:t xml:space="preserve">    out[f"P_dyn_{profil}_kW"] = nb * f * coef * out[f"CM_{profil}"]</w:t>
      </w:r>
    </w:p>
    <w:p>
      <w:pPr/>
      <w:r>
        <w:t xml:space="preserve">Le code produit </w:t>
      </w:r>
      <w:r>
        <w:rPr>
          <w:b/>
        </w:rPr>
        <w:t xml:space="preserve">deux colonnes par profil</w:t>
      </w:r>
      <w:r>
        <w:t xml:space="preserve">, et c'est tout le but :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P_*_kW</w:t>
      </w:r>
      <w:r>
        <w:t xml:space="preserve"> — à température normale. C'est le </w:t>
      </w:r>
      <w:r>
        <w:rPr>
          <w:b/>
        </w:rPr>
        <w:t xml:space="preserve">volume de référence, le 100 % contre lequel tous les ratios de couverture sont exprimés</w:t>
      </w:r>
      <w:r>
        <w:t xml:space="preserve">, comme le §3.1 l'exige.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P_dyn_*_kW</w:t>
      </w:r>
      <w:r>
        <w:t xml:space="preserve"> — avec la météo du scénario. C'est ce qu'on consomme vraiment.</w:t>
      </w:r>
    </w:p>
    <w:p>
      <w:pPr>
        <w:pStyle w:val="Heading3"/>
      </w:pPr>
      <w:r>
        <w:t xml:space="preserve">Ce qui sort, et pourquoi c'est plausible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Résultat 2027, température normale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Valeur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Énergie annuelle</w:t>
            </w:r>
          </w:p>
        </w:tc>
        <w:tc>
          <w:tcPr>
            <w:tcW w:w="4680" w:type="dxa"/>
          </w:tcPr>
          <w:p>
            <w:pPr/>
            <w:r>
              <w:t xml:space="preserve">536 627 MWh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Pointe</w:t>
            </w:r>
          </w:p>
        </w:tc>
        <w:tc>
          <w:tcPr>
            <w:tcW w:w="4680" w:type="dxa"/>
          </w:tcPr>
          <w:p>
            <w:pPr/>
            <w:r>
              <w:t xml:space="preserve">118,33 MW le 07/01 à 18h45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Peak / off-peak</w:t>
            </w:r>
          </w:p>
        </w:tc>
        <w:tc>
          <w:tcPr>
            <w:tcW w:w="4680" w:type="dxa"/>
          </w:tcPr>
          <w:p>
            <w:pPr/>
            <w:r>
              <w:t xml:space="preserve">42,4 % / 57,6 %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Thermosensibilité moyenne de chauffe</w:t>
            </w:r>
          </w:p>
        </w:tc>
        <w:tc>
          <w:tcPr>
            <w:tcW w:w="4680" w:type="dxa"/>
          </w:tcPr>
          <w:p>
            <w:pPr/>
            <w:r>
              <w:t xml:space="preserve">1,96 MW/°C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Thermosensibilité maximale</w:t>
            </w:r>
          </w:p>
        </w:tc>
        <w:tc>
          <w:tcPr>
            <w:tcW w:w="4680" w:type="dxa"/>
          </w:tcPr>
          <w:p>
            <w:pPr/>
            <w:r>
              <w:t xml:space="preserve">3,73 MW/°C le 05/11 à 18h45</w:t>
            </w:r>
          </w:p>
        </w:tc>
      </w:tr>
    </w:tbl>
    <w:p>
      <w:pPr/>
      <w:r>
        <w:rPr>
          <w:b/>
        </w:rPr>
        <w:t xml:space="preserve">Peak et Off-peak</w:t>
      </w:r>
      <w:r>
        <w:t xml:space="preserve"> ne sont pas les heures pleines et creuses d'une facture de client : ce sont les deux fenêtres de livraison des produits échangés sur </w:t>
      </w:r>
      <w:r>
        <w:rPr>
          <w:b/>
        </w:rPr>
        <w:t xml:space="preserve">EEX</w:t>
      </w:r>
      <w:r>
        <w:t xml:space="preserve"> — l'</w:t>
      </w:r>
      <w:r>
        <w:rPr>
          <w:i/>
        </w:rPr>
        <w:t xml:space="preserve">European Energy Exchange</w:t>
      </w:r>
      <w:r>
        <w:t xml:space="preserve">, la bourse européenne de l'électricité basée à Leipzig, où se négocient les contrats à terme avec lesquels on se couvre. C'est de son site que viennent les prix repris dans </w:t>
      </w:r>
      <w:r>
        <w:rPr>
          <w:rStyle w:val="CodeChar"/>
        </w:rPr>
        <w:t xml:space="preserve">scenarios.py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Fenêtre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Heures/an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Part des heures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Part de notre énergie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Peak</w:t>
            </w:r>
          </w:p>
        </w:tc>
        <w:tc>
          <w:tcPr>
            <w:tcW w:w="1872" w:type="dxa"/>
          </w:tcPr>
          <w:p>
            <w:pPr/>
            <w:r>
              <w:t xml:space="preserve">lundi-vendredi 08h-20h, </w:t>
            </w:r>
            <w:r>
              <w:rPr>
                <w:b/>
              </w:rPr>
              <w:t xml:space="preserve">jours fériés inclus</w:t>
            </w:r>
          </w:p>
        </w:tc>
        <w:tc>
          <w:tcPr>
            <w:tcW w:w="1872" w:type="dxa"/>
          </w:tcPr>
          <w:p>
            <w:pPr/>
            <w:r>
              <w:t xml:space="preserve">3 132 h</w:t>
            </w:r>
          </w:p>
        </w:tc>
        <w:tc>
          <w:tcPr>
            <w:tcW w:w="1872" w:type="dxa"/>
          </w:tcPr>
          <w:p>
            <w:pPr/>
            <w:r>
              <w:t xml:space="preserve">35,8 %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42,4 %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Off-peak</w:t>
            </w:r>
          </w:p>
        </w:tc>
        <w:tc>
          <w:tcPr>
            <w:tcW w:w="1872" w:type="dxa"/>
          </w:tcPr>
          <w:p>
            <w:pPr/>
            <w:r>
              <w:t xml:space="preserve">tout le reste, week-ends compris</w:t>
            </w:r>
          </w:p>
        </w:tc>
        <w:tc>
          <w:tcPr>
            <w:tcW w:w="1872" w:type="dxa"/>
          </w:tcPr>
          <w:p>
            <w:pPr/>
            <w:r>
              <w:t xml:space="preserve">5 628 h</w:t>
            </w:r>
          </w:p>
        </w:tc>
        <w:tc>
          <w:tcPr>
            <w:tcW w:w="1872" w:type="dxa"/>
          </w:tcPr>
          <w:p>
            <w:pPr/>
            <w:r>
              <w:t xml:space="preserve">64,2 %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57,6 %</w:t>
            </w:r>
          </w:p>
        </w:tc>
      </w:tr>
    </w:tbl>
    <w:p>
      <w:pPr/>
      <w:r>
        <w:t xml:space="preserve">Les heures Peak portent donc </w:t>
      </w:r>
      <w:r>
        <w:rPr>
          <w:b/>
        </w:rPr>
        <w:t xml:space="preserve">plus d'énergie que leur part de temps</w:t>
      </w:r>
      <w:r>
        <w:t xml:space="preserve"> : 72,67 MW de puissance moyenne contre 54,91 MW en Off-peak, soit un </w:t>
      </w:r>
      <w:r>
        <w:rPr>
          <w:b/>
        </w:rPr>
        <w:t xml:space="preserve">ratio de forme de 1,32</w:t>
      </w:r>
      <w:r>
        <w:t xml:space="preserve">. Un portefeuille parfaitement plat afficherait 1,00. C'est ce 1,32 qui servira à l'étape 11 à dimensionner un éventuel bloc Peak, et le §3.1 réclame nommément ce partage.</w:t>
      </w:r>
    </w:p>
    <w:p>
      <w:pPr/>
      <w:r>
        <w:t xml:space="preserve">À ne pas confondre, donc : les heures creuses d'Enedis durent 8 h par jour, s'appliquent aussi le week-end et varient d'une commune à l'autre. Elles servent à facturer un client, pas à acheter sur un marché. Nos clients sont d'ailleurs au tarif base — la colonne </w:t>
      </w:r>
      <w:r>
        <w:rPr>
          <w:rStyle w:val="CodeChar"/>
        </w:rPr>
        <w:t xml:space="preserve">SOUS_PROFIL</w:t>
      </w:r>
      <w:r>
        <w:t xml:space="preserve"> du fichier Enedis indique </w:t>
      </w:r>
      <w:r>
        <w:rPr>
          <w:rStyle w:val="CodeChar"/>
        </w:rPr>
        <w:t xml:space="preserve">RES1_BASE</w:t>
      </w:r>
      <w:r>
        <w:t xml:space="preserve"> et </w:t>
      </w:r>
      <w:r>
        <w:rPr>
          <w:rStyle w:val="CodeChar"/>
        </w:rPr>
        <w:t xml:space="preserve">PRO1_BASE</w:t>
      </w:r>
      <w:r>
        <w:t xml:space="preserve">.</w:t>
      </w:r>
    </w:p>
    <w:p>
      <w:pPr/>
      <w:r>
        <w:t xml:space="preserve">Deux contrôles de bon sens qui valent de l'or en soutenance 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Le foisonnement.</w:t>
      </w:r>
      <w:r>
        <w:t xml:space="preserve"> La somme des pointes individuelles des deux profils vaut 136,98 MW, celle du portefeuille 125,40 MW : </w:t>
      </w:r>
      <w:r>
        <w:rPr>
          <w:b/>
        </w:rPr>
        <w:t xml:space="preserve">8,5 % d'écart</w:t>
      </w:r>
      <w:r>
        <w:t xml:space="preserve">, parce que RES1 pointe à 19h30 et PRO1 à 10h30. Un portefeuille n'est jamais la somme de ses pointes.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L'ordre de grandeur de la thermosensibilité.</w:t>
      </w:r>
      <w:r>
        <w:t xml:space="preserve"> RTE annonce environ 2 400 MW/°C pour la France entière. Notre portefeuille pèse de l'ordre du millième de la consommation nationale, et on trouve 1,96 MW/°C. C'est cohérent, et c'est exactement le « checking that the curve behaves sensibly » qui fait passer l'étape 1 en Outstanding.</w:t>
      </w:r>
    </w:p>
    <w:p>
      <w:pPr>
        <w:pStyle w:val="Heading2"/>
      </w:pPr>
      <w:r>
        <w:t xml:space="preserve">Étapes 6 et 7 — Projeter sur 2027, rejouer une météo</w:t>
      </w:r>
    </w:p>
    <w:p>
      <w:pPr/>
      <w:r>
        <w:t xml:space="preserve">Deux alignements coexistent dans le même tableau, et c'est volontaire : </w:t>
      </w:r>
      <w:r>
        <w:rPr>
          <w:b/>
        </w:rPr>
        <w:t xml:space="preserve">la consommation se recale par type de jour, la température par date calendaire</w:t>
      </w:r>
      <w:r>
        <w:t xml:space="preserve">.</w:t>
      </w:r>
    </w:p>
    <w:p>
      <w:pPr>
        <w:pStyle w:val="Heading3"/>
      </w:pPr>
      <w:r>
        <w:t xml:space="preserve">Pourquoi deux appariements</w:t>
      </w:r>
    </w:p>
    <w:p>
      <w:pPr/>
      <w:r>
        <w:t xml:space="preserve">Les données Enedis portent sur 2025, le livrable sur 2027. Il faut transporter la forme d'une année à l'autre, mais les deux grandeurs ne voyagent pas de la même façon.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Un profil de consommation suit le type de jour.</w:t>
      </w:r>
      <w:r>
        <w:t xml:space="preserve"> Un mardi se comporte comme un mardi. Le 1er janvier 2025 était un mercredi, le 1er janvier 2027 est un vendredi : recaler par date collerait un profil de mercredi sur un vendredi.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La climatologie suit la date.</w:t>
      </w:r>
      <w:r>
        <w:t xml:space="preserve"> Le 15 janvier a la même normale saisonnière tous les ans, quel que soit le jour de la semaine.</w:t>
      </w:r>
    </w:p>
    <w:p>
      <w:pPr/>
      <w:r>
        <w:t xml:space="preserve">Le §3.1 l'exige explicitement : </w:t>
      </w:r>
      <w:r>
        <w:rPr>
          <w:i/>
        </w:rPr>
        <w:t xml:space="preserve">align historical years on the 2027 calendar by weekday, not by date, and move public holidays to their 2027 dates</w:t>
      </w:r>
      <w:r>
        <w:t xml:space="preserve">.</w:t>
      </w:r>
    </w:p>
    <w:p>
      <w:pPr>
        <w:pStyle w:val="Heading3"/>
      </w:pPr>
      <w:r>
        <w:t xml:space="preserve">Sept types de jour</w:t>
      </w:r>
    </w:p>
    <w:p>
      <w:pPr>
        <w:pStyle w:val="Code"/>
      </w:pPr>
      <w:bookmarkStart w:id="11" w:name="bongo_lang_python_11"/>
      <w:bookmarkEnd w:id="11"/>
      <w:r>
        <w:t xml:space="preserve">def _type_jour(d, feries):</w:t>
        <w:br/>
        <w:t xml:space="preserve">    return 7 if d in feries else d.weekday()</w:t>
      </w:r>
    </w:p>
    <w:p>
      <w:pPr/>
      <w:r>
        <w:t xml:space="preserve">Lundi (0) à dimanche (6), </w:t>
      </w:r>
      <w:r>
        <w:rPr>
          <w:b/>
        </w:rPr>
        <w:t xml:space="preserve">plus une 7ᵉ catégorie pour les fériés</w:t>
      </w:r>
      <w:r>
        <w:t xml:space="preserve">. Un férié n'est ni un mardi ni un dimanche : les gens sont chez eux, mais les commerces ne sont pas fermés comme un dimanche. Lui donner sa propre classe, c'est ce qui permettra, à l'étape 14, de prévoir le 1er janvier 2027 avec un profil de férié et pas de vendredi — ce que le §5.2 demande nommément.</w:t>
      </w:r>
    </w:p>
    <w:p>
      <w:pPr>
        <w:pStyle w:val="Code"/>
      </w:pPr>
      <w:bookmarkStart w:id="12" w:name="bongo_lang_python_12"/>
      <w:bookmarkEnd w:id="12"/>
      <w:r>
        <w:t xml:space="preserve">def apparier_jours(an_source, an_cible):</w:t>
        <w:br/>
        <w:t xml:space="preserve">    for d in cib:</w:t>
        <w:br/>
        <w:t xml:space="preserve">        candidats = par_type.get(_type_jour(d, f_cib)) or par_type[6]</w:t>
        <w:br/>
        <w:t xml:space="preserve">        ref = d.timetuple().tm_yday</w:t>
        <w:br/>
        <w:t xml:space="preserve">        appariement[d] = min(candidats, key=lambda s: min(</w:t>
        <w:br/>
        <w:t xml:space="preserve">            abs(s.timetuple().tm_yday - ref), 365 - abs(s.timetuple().tm_yday - ref)))</w:t>
      </w:r>
    </w:p>
    <w:p>
      <w:pPr/>
      <w:r>
        <w:t xml:space="preserve">Pour chaque jour de 2027 on prend le jour de 2025 </w:t>
      </w:r>
      <w:r>
        <w:rPr>
          <w:b/>
        </w:rPr>
        <w:t xml:space="preserve">de même type le plus proche dans l'année</w:t>
      </w:r>
      <w:r>
        <w:t xml:space="preserve">. La distance est circulaire (</w:t>
      </w:r>
      <w:r>
        <w:rPr>
          <w:rStyle w:val="CodeChar"/>
        </w:rPr>
        <w:t xml:space="preserve">365 - abs(...)</w:t>
      </w:r>
      <w:r>
        <w:t xml:space="preserve">) pour que le 31 décembre soit voisin du 1er janvier. Le repli </w:t>
      </w:r>
      <w:r>
        <w:rPr>
          <w:rStyle w:val="CodeChar"/>
        </w:rPr>
        <w:t xml:space="preserve">or par_type[6]</w:t>
      </w:r>
      <w:r>
        <w:t xml:space="preserve"> couvre le cas où un type n'existerait pas dans l'année source : on retombe sur un dimanche. Résultat : 365 jours sur 365 appariés au bon type.</w:t>
      </w:r>
    </w:p>
    <w:p>
      <w:pPr>
        <w:pStyle w:val="Heading3"/>
      </w:pPr>
      <w:r>
        <w:t xml:space="preserve">Les fériés mobiles</w:t>
      </w:r>
    </w:p>
    <w:p>
      <w:pPr/>
      <w:r>
        <w:t xml:space="preserve">Pâques bouge, donc trois fériés sur onze bougent avec elle. Le code calcule la date par l'algorithme de Meeus/Jones/Butcher :</w:t>
      </w:r>
    </w:p>
    <w:p>
      <w:pPr>
        <w:pStyle w:val="Code"/>
      </w:pPr>
      <w:bookmarkStart w:id="13" w:name="bongo_lang_python_13"/>
      <w:bookmarkEnd w:id="13"/>
      <w:r>
        <w:t xml:space="preserve">def _paques(annee):</w:t>
        <w:br/>
        <w:t xml:space="preserve">    a = annee % 19</w:t>
        <w:br/>
        <w:t xml:space="preserve">    b, c = divmod(annee, 100)</w:t>
        <w:br/>
        <w:t xml:space="preserve">    ...</w:t>
        <w:br/>
        <w:t xml:space="preserve">    mois, jour = divmod(h + l - 7 * m + 114, 31)</w:t>
        <w:br/>
        <w:t xml:space="preserve">    return dt.date(annee, mois, jour + 1)</w:t>
      </w:r>
    </w:p>
    <w:p>
      <w:pPr/>
      <w:r>
        <w:t xml:space="preserve">Validé sur huit dates connues (2000, 2024 à 2028, 2030, 2038). De là se déduisent le lundi de Pâques (+1 jour), l'Ascension (+39) et le lundi de Pentecôte (+50), auxquels s'ajoutent les huit fériés fixes.</w:t>
      </w:r>
    </w:p>
    <w:p>
      <w:pPr>
        <w:pStyle w:val="Heading3"/>
      </w:pPr>
      <w:r>
        <w:t xml:space="preserve">Deux piquets techniques</w:t>
      </w:r>
    </w:p>
    <w:p>
      <w:pPr/>
      <w:r>
        <w:rPr>
          <w:b/>
        </w:rPr>
        <w:t xml:space="preserve">L'année bissextile.</w:t>
      </w:r>
      <w:r>
        <w:t xml:space="preserve"> Projeter sur une année bissextile depuis une année qui ne l'est pas fait planter la construction du 29 février :</w:t>
      </w:r>
    </w:p>
    <w:p>
      <w:pPr>
        <w:pStyle w:val="Code"/>
      </w:pPr>
      <w:bookmarkStart w:id="14" w:name="bongo_lang_python_14"/>
      <w:bookmarkEnd w:id="14"/>
      <w:r>
        <w:t xml:space="preserve">try:</w:t>
        <w:br/>
        <w:t xml:space="preserve">    jumeau = dt.date(an_source, d.month, d.day)</w:t>
        <w:br/>
        <w:t xml:space="preserve">except ValueError:          # 29 fevrier cible, source non bissextile</w:t>
        <w:br/>
        <w:t xml:space="preserve">    jumeau = dt.date(an_source, d.month, d.day - 1)</w:t>
      </w:r>
    </w:p>
    <w:p>
      <w:pPr/>
      <w:r>
        <w:rPr>
          <w:b/>
        </w:rPr>
        <w:t xml:space="preserve">Les changements d'heure.</w:t>
      </w:r>
      <w:r>
        <w:t xml:space="preserve"> </w:t>
      </w:r>
      <w:r>
        <w:rPr>
          <w:rStyle w:val="CodeChar"/>
        </w:rPr>
        <w:t xml:space="preserve">projeter()</w:t>
      </w:r>
      <w:r>
        <w:t xml:space="preserve"> reconstruit un index 2027 </w:t>
      </w:r>
      <w:r>
        <w:rPr>
          <w:b/>
        </w:rPr>
        <w:t xml:space="preserve">neuf</w:t>
      </w:r>
      <w:r>
        <w:t xml:space="preserve">, donc avec les bons changements d'heure de 2027, puis assemble jour par jour en recopiant la position dans la journée. Un jour de 23 h ne peut pas remplir un jour de 25 h, d'où le prolongement :</w:t>
      </w:r>
    </w:p>
    <w:p>
      <w:pPr>
        <w:pStyle w:val="Code"/>
      </w:pPr>
      <w:bookmarkStart w:id="15" w:name="bongo_lang_python_15"/>
      <w:bookmarkEnd w:id="15"/>
      <w:r>
        <w:t xml:space="preserve">if len(src) &lt; n:</w:t>
        <w:br/>
        <w:t xml:space="preserve">    src = pd.concat([src] + [src.iloc[[-1]]] * (n - len(src)))</w:t>
        <w:br/>
        <w:t xml:space="preserve">bloc = src.iloc[:n].copy()</w:t>
        <w:br/>
        <w:t xml:space="preserve">bloc.index = pd.DatetimeIndex(lignes)</w:t>
      </w:r>
    </w:p>
    <w:p>
      <w:pPr>
        <w:pStyle w:val="Heading3"/>
      </w:pPr>
      <w:r>
        <w:t xml:space="preserve">Étape 7 — injecter une météo passée</w:t>
      </w:r>
    </w:p>
    <w:p>
      <w:pPr/>
      <w:r>
        <w:t xml:space="preserve">Même mécanique, autre grandeur : on prend la température </w:t>
      </w:r>
      <w:r>
        <w:rPr>
          <w:b/>
        </w:rPr>
        <w:t xml:space="preserve">réalisée</w:t>
      </w:r>
      <w:r>
        <w:t xml:space="preserve"> d'une année passée (2021, 2023, 2024) et on la pose sur le calendrier 2027, par date.</w:t>
      </w:r>
    </w:p>
    <w:p>
      <w:pPr>
        <w:pStyle w:val="Code"/>
      </w:pPr>
      <w:bookmarkStart w:id="16" w:name="bongo_lang_python_16"/>
      <w:bookmarkEnd w:id="16"/>
      <w:r>
        <w:t xml:space="preserve">def injecter_temperature(cible, source):</w:t>
        <w:br/>
        <w:t xml:space="preserve">    out = cible.copy()</w:t>
        <w:br/>
        <w:t xml:space="preserve">    valeurs = _reindexer_par_calendrier(source, out.index)</w:t>
        <w:br/>
        <w:t xml:space="preserve">    valeurs = valeurs.fillna(out["temperature_normale_lissee_degc"])</w:t>
        <w:br/>
        <w:t xml:space="preserve">    out["temperature_realisee_lissee_degc"] = valeurs.to_numpy()</w:t>
        <w:br/>
        <w:t xml:space="preserve">    return out</w:t>
      </w:r>
    </w:p>
    <w:p>
      <w:pPr/>
      <w:r>
        <w:t xml:space="preserve">La réindexation passe par une clé entière et un </w:t>
      </w:r>
      <w:r>
        <w:rPr>
          <w:rStyle w:val="CodeChar"/>
        </w:rPr>
        <w:t xml:space="preserve">searchsorted</w:t>
      </w:r>
      <w:r>
        <w:t xml:space="preserve"> plutôt que par un index à plusieurs niveaux, précisément pour que les heures doublées du changement d'heure ne cassent rien :</w:t>
      </w:r>
    </w:p>
    <w:p>
      <w:pPr>
        <w:pStyle w:val="Code"/>
      </w:pPr>
      <w:bookmarkStart w:id="17" w:name="bongo_lang_python_17"/>
      <w:bookmarkEnd w:id="17"/>
      <w:r>
        <w:t xml:space="preserve">def _cle_calendaire(index):</w:t>
        <w:br/>
        <w:t xml:space="preserve">    return (index.month * 1_000_000 + index.day * 10_000</w:t>
        <w:br/>
        <w:t xml:space="preserve">            + index.hour * 60 + index.minute)</w:t>
      </w:r>
    </w:p>
    <w:p>
      <w:pPr/>
      <w:r>
        <w:t xml:space="preserve">À partir d'ici, la température réalisée n'est plus égale à la normale : </w:t>
      </w:r>
      <w:r>
        <w:rPr>
          <w:rStyle w:val="CodeChar"/>
        </w:rPr>
        <w:t xml:space="preserve">CM</w:t>
      </w:r>
      <w:r>
        <w:t xml:space="preserve"> s'écarte de 1, et </w:t>
      </w:r>
      <w:r>
        <w:rPr>
          <w:rStyle w:val="CodeChar"/>
        </w:rPr>
        <w:t xml:space="preserve">P_dyn_*_kW</w:t>
      </w:r>
      <w:r>
        <w:t xml:space="preserve"> se sépare de </w:t>
      </w:r>
      <w:r>
        <w:rPr>
          <w:rStyle w:val="CodeChar"/>
        </w:rPr>
        <w:t xml:space="preserve">P_*_kW</w:t>
      </w:r>
      <w:r>
        <w:t xml:space="preserve">. Le scénario commence.</w:t>
      </w:r>
    </w:p>
    <w:p>
      <w:pPr>
        <w:pStyle w:val="Heading3"/>
      </w:pPr>
      <w:r>
        <w:t xml:space="preserve">Ce qu'il faut savoir dire</w:t>
      </w:r>
    </w:p>
    <w:p>
      <w:pPr>
        <w:pStyle w:val="ListParagraph"/>
        <w:numPr>
          <w:ilvl w:val="0"/>
          <w:numId w:val="8"/>
        </w:numPr>
      </w:pPr>
      <w:r>
        <w:t xml:space="preserve">Pourquoi </w:t>
      </w:r>
      <w:r>
        <w:rPr>
          <w:b/>
        </w:rPr>
        <w:t xml:space="preserve">deux appariements différents</w:t>
      </w:r>
      <w:r>
        <w:t xml:space="preserve"> dans le même module — c'est la question qu'on vous posera.</w:t>
      </w:r>
    </w:p>
    <w:p>
      <w:pPr>
        <w:pStyle w:val="ListParagraph"/>
        <w:numPr>
          <w:ilvl w:val="0"/>
          <w:numId w:val="8"/>
        </w:numPr>
      </w:pPr>
      <w:r>
        <w:t xml:space="preserve">Pourquoi un férié mérite sa propre catégorie, et ce que ça rapporte au §5.</w:t>
      </w:r>
    </w:p>
    <w:p>
      <w:pPr>
        <w:pStyle w:val="ListParagraph"/>
        <w:numPr>
          <w:ilvl w:val="0"/>
          <w:numId w:val="8"/>
        </w:numPr>
      </w:pPr>
      <w:r>
        <w:t xml:space="preserve">Que l'index 2027 est </w:t>
      </w:r>
      <w:r>
        <w:rPr>
          <w:b/>
        </w:rPr>
        <w:t xml:space="preserve">reconstruit</w:t>
      </w:r>
      <w:r>
        <w:t xml:space="preserve">, pas décalé : c'est ce qui garantit 35 040 pas et pas 35 096.</w:t>
      </w:r>
    </w:p>
    <w:p>
      <w:pPr>
        <w:pStyle w:val="Heading2"/>
      </w:pPr>
      <w:r>
        <w:t xml:space="preserve">Étapes 8 et 9 — De l'anomalie de volume à la courbe de prix</w:t>
      </w:r>
    </w:p>
    <w:p>
      <w:pPr/>
      <w:r>
        <w:t xml:space="preserve">Quand il fait froid, notre portefeuille consomme plus </w:t>
      </w:r>
      <w:r>
        <w:rPr>
          <w:b/>
        </w:rPr>
        <w:t xml:space="preserve">et</w:t>
      </w:r>
      <w:r>
        <w:t xml:space="preserve"> le spot monte : on achète davantage, plus cher. Toute cette partie sert à mettre un chiffre sur ce cumul.</w:t>
      </w:r>
    </w:p>
    <w:p>
      <w:pPr>
        <w:pStyle w:val="Heading3"/>
      </w:pPr>
      <w:r>
        <w:t xml:space="preserve">Étape 8 — la pente b</w:t>
      </w:r>
    </w:p>
    <w:p>
      <w:pPr/>
      <w:r>
        <w:t xml:space="preserve">Le risque n'est pas le volume seul ni le prix seul, c'est leur </w:t>
      </w:r>
      <w:r>
        <w:rPr>
          <w:b/>
        </w:rPr>
        <w:t xml:space="preserve">corrélation défavorable</w:t>
      </w:r>
      <w:r>
        <w:t xml:space="preserve">. On la mesure en trois temps 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Anomalie de volume</w:t>
      </w:r>
      <w:r>
        <w:t xml:space="preserve"> du jour = </w:t>
      </w:r>
      <w:r>
        <w:rPr>
          <w:rStyle w:val="CodeChar"/>
        </w:rPr>
        <w:t xml:space="preserve">(volume réel − volume normal) / volume normal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Anomalie de prix</w:t>
      </w:r>
      <w:r>
        <w:t xml:space="preserve"> du jour = </w:t>
      </w:r>
      <w:r>
        <w:rPr>
          <w:rStyle w:val="CodeChar"/>
        </w:rPr>
        <w:t xml:space="preserve">(prix du jour − moyenne du mois) / moyenne du mois</w:t>
      </w:r>
      <w:r>
        <w:t xml:space="preserve">. On retire la moyenne mensuelle pour éliminer la tendance de niveau et ne garder que l'écart propre au jour.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Régresser</w:t>
      </w:r>
      <w:r>
        <w:t xml:space="preserve"> la seconde sur la première, </w:t>
      </w:r>
      <w:r>
        <w:rPr>
          <w:b/>
        </w:rPr>
        <w:t xml:space="preserve">sur les mois d'hiver uniquement</w:t>
      </w:r>
      <w:r>
        <w:t xml:space="preserve"> (janvier, février, mars, novembre, décembre) : ailleurs le gradient est nul, donc l'anomalie de volume l'est aussi et la régression n'aurait aucun sens.</w:t>
      </w:r>
    </w:p>
    <w:p>
      <w:pPr/>
      <w:r>
        <w:rPr>
          <w:b/>
        </w:rPr>
        <w:t xml:space="preserve">Un exemple pour fixer les idées</w:t>
      </w:r>
      <w:r>
        <w:t xml:space="preserve"> (scénario 2021). Le 13 février, le portefeuille consomme 1 974,96 MWh là où la température normale en prévoyait 1 728,62 : anomalie de volume de </w:t>
      </w:r>
      <w:r>
        <w:rPr>
          <w:b/>
        </w:rPr>
        <w:t xml:space="preserve">+14,3 %</w:t>
      </w:r>
      <w:r>
        <w:t xml:space="preserve">.</w:t>
      </w:r>
    </w:p>
    <w:p>
      <w:pPr/>
      <w:r>
        <w:t xml:space="preserve">Côté prix, la normalisation mensuelle n'est pas un raffinement. La moyenne spot passe de 49,01 €/MWh en février à 274,67 € en décembre 2021 — un facteur 5,6 qui est celui de la crise gazière, pas de la météo.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Jour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Prix brut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Moyenne de son mois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Anomalie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 février</w:t>
            </w:r>
          </w:p>
        </w:tc>
        <w:tc>
          <w:tcPr>
            <w:tcW w:w="2340" w:type="dxa"/>
          </w:tcPr>
          <w:p>
            <w:pPr/>
            <w:r>
              <w:t xml:space="preserve">79,01 €/MWh</w:t>
            </w:r>
          </w:p>
        </w:tc>
        <w:tc>
          <w:tcPr>
            <w:tcW w:w="2340" w:type="dxa"/>
          </w:tcPr>
          <w:p>
            <w:pPr/>
            <w:r>
              <w:t xml:space="preserve">49,01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+61 %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30 décembre</w:t>
            </w:r>
          </w:p>
        </w:tc>
        <w:tc>
          <w:tcPr>
            <w:tcW w:w="2340" w:type="dxa"/>
          </w:tcPr>
          <w:p>
            <w:pPr/>
            <w:r>
              <w:t xml:space="preserve">105,74 €/MWh</w:t>
            </w:r>
          </w:p>
        </w:tc>
        <w:tc>
          <w:tcPr>
            <w:tcW w:w="2340" w:type="dxa"/>
          </w:tcPr>
          <w:p>
            <w:pPr/>
            <w:r>
              <w:t xml:space="preserve">274,67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−61 %</w:t>
            </w:r>
          </w:p>
        </w:tc>
      </w:tr>
    </w:tbl>
    <w:p>
      <w:pPr/>
      <w:r>
        <w:t xml:space="preserve">Le 30 décembre coûte </w:t>
      </w:r>
      <w:r>
        <w:rPr>
          <w:b/>
        </w:rPr>
        <w:t xml:space="preserve">plus cher en valeur absolue</w:t>
      </w:r>
      <w:r>
        <w:t xml:space="preserve"> et reste pourtant un jour bon marché. Sans retirer la moyenne de son mois, on conclurait exactement l'inverse.</w:t>
      </w:r>
    </w:p>
    <w:p>
      <w:pPr/>
      <w:r>
        <w:t xml:space="preserve">Quant à la restriction à l'hiver, ce n'est pas une précaution mais une nécessité arithmétique : d'avril à octobre </w:t>
      </w:r>
      <w:r>
        <w:rPr>
          <w:rStyle w:val="CodeChar"/>
        </w:rPr>
        <w:t xml:space="preserve">g = 0</w:t>
      </w:r>
      <w:r>
        <w:t xml:space="preserve">, donc le volume réel égale </w:t>
      </w:r>
      <w:r>
        <w:rPr>
          <w:b/>
        </w:rPr>
        <w:t xml:space="preserve">exactement</w:t>
      </w:r>
      <w:r>
        <w:t xml:space="preserve"> le volume normal et l'anomalie vaut 0,000 tous les jours. </w:t>
      </w:r>
      <w:r>
        <w:rPr>
          <w:rStyle w:val="CodeChar"/>
        </w:rPr>
        <w:t xml:space="preserve">np.var(x)</w:t>
      </w:r>
      <w:r>
        <w:t xml:space="preserve"> serait nul, et </w:t>
      </w:r>
      <w:r>
        <w:rPr>
          <w:rStyle w:val="CodeChar"/>
        </w:rPr>
        <w:t xml:space="preserve">b = Cov / Var</w:t>
      </w:r>
      <w:r>
        <w:t xml:space="preserve"> </w:t>
      </w:r>
      <w:r>
        <w:rPr>
          <w:b/>
        </w:rPr>
        <w:t xml:space="preserve">diviserait par zéro</w:t>
      </w:r>
      <w:r>
        <w:t xml:space="preserve">.</w:t>
      </w:r>
    </w:p>
    <w:p>
      <w:pPr/>
      <w:r>
        <w:t xml:space="preserve">Enfin, le lien est loin d'être parfait, et il faut savoir le dire : les 1er, 2 et 3 janvier 2021 affichent un volume en hausse (+3 à +5 %) et un prix en baisse (−15 à −21 %). Ce sont les fériés du Nouvel An — l'industrie est à l'arrêt et la demande nationale s'effondre, pendant que nos clients résidentiels chauffent toujours.</w:t>
      </w:r>
    </w:p>
    <w:p>
      <w:pPr>
        <w:pStyle w:val="Code"/>
      </w:pPr>
      <w:bookmarkStart w:id="18" w:name="bongo_lang_python_18"/>
      <w:bookmarkEnd w:id="18"/>
      <w:r>
        <w:t xml:space="preserve">prix_jour = prix_horaire.groupby(prix_horaire.index.date).mean()</w:t>
        <w:br/>
        <w:t xml:space="preserve">moyenne_mois = prix_jour.groupby(prix_jour.index.month).transform("mean")</w:t>
        <w:br/>
        <w:t xml:space="preserve">tab["anomalie_prix"] = (prix_jour - moyenne_mois) / moyenne_mois</w:t>
        <w:br/>
        <w:t xml:space="preserve">tab["anomalie_volume"] = (tab["volume_reel"] - tab["volume_normal"]) / tab["volume_normal"]</w:t>
      </w:r>
    </w:p>
    <w:p/>
    <w:p>
      <w:pPr>
        <w:pStyle w:val="Code"/>
      </w:pPr>
      <w:bookmarkStart w:id="19" w:name="bongo_lang_python_19"/>
      <w:bookmarkEnd w:id="19"/>
      <w:r>
        <w:t xml:space="preserve">def pente_prix_volume(tab):</w:t>
        <w:br/>
        <w:t xml:space="preserve">    x = tab["anomalie_volume"].to_numpy()</w:t>
        <w:br/>
        <w:t xml:space="preserve">    y = tab["anomalie_prix"].to_numpy()</w:t>
        <w:br/>
        <w:t xml:space="preserve">    b = np.cov(x, y, ddof=0)[0, 1] / np.var(x)</w:t>
        <w:br/>
        <w:t xml:space="preserve">    r = np.corrcoef(x, y)[0, 1]</w:t>
        <w:br/>
        <w:t xml:space="preserve">    residus = y - (y.mean() + b * (x - x.mean()))</w:t>
        <w:br/>
        <w:t xml:space="preserve">    se = np.sqrt((residus ** 2).sum() / (n - 2) / ((x - x.mean()) ** 2).sum())</w:t>
        <w:br/>
        <w:t xml:space="preserve">    return {"b": b, "r": r, "r2": r ** 2, "n": n, "se": se, "t": b / se}</w:t>
      </w:r>
    </w:p>
    <w:p>
      <w:pPr/>
      <w:r>
        <w:rPr>
          <w:rStyle w:val="CodeChar"/>
        </w:rPr>
        <w:t xml:space="preserve">b = Cov(x, y) / Var(x)</w:t>
      </w:r>
      <w:r>
        <w:t xml:space="preserve"> est la pente des moindres carrés, écrite directement. Les trois sorties suivantes répondent à l'exigence du §3.2 (</w:t>
      </w:r>
      <w:r>
        <w:rPr>
          <w:i/>
        </w:rPr>
        <w:t xml:space="preserve">check the quality of the regression</w:t>
      </w:r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Scénario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r²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 jours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2021</w:t>
            </w:r>
          </w:p>
        </w:tc>
        <w:tc>
          <w:tcPr>
            <w:tcW w:w="1560" w:type="dxa"/>
          </w:tcPr>
          <w:p>
            <w:pPr/>
            <w:r>
              <w:t xml:space="preserve">+1,930</w:t>
            </w:r>
          </w:p>
        </w:tc>
        <w:tc>
          <w:tcPr>
            <w:tcW w:w="1560" w:type="dxa"/>
          </w:tcPr>
          <w:p>
            <w:pPr/>
            <w:r>
              <w:t xml:space="preserve">+0,499</w:t>
            </w:r>
          </w:p>
        </w:tc>
        <w:tc>
          <w:tcPr>
            <w:tcW w:w="1560" w:type="dxa"/>
          </w:tcPr>
          <w:p>
            <w:pPr/>
            <w:r>
              <w:t xml:space="preserve">0,249</w:t>
            </w:r>
          </w:p>
        </w:tc>
        <w:tc>
          <w:tcPr>
            <w:tcW w:w="1560" w:type="dxa"/>
          </w:tcPr>
          <w:p>
            <w:pPr/>
            <w:r>
              <w:t xml:space="preserve">+7,0</w:t>
            </w:r>
          </w:p>
        </w:tc>
        <w:tc>
          <w:tcPr>
            <w:tcW w:w="1560" w:type="dxa"/>
          </w:tcPr>
          <w:p>
            <w:pPr/>
            <w:r>
              <w:t xml:space="preserve">151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2023</w:t>
            </w:r>
          </w:p>
        </w:tc>
        <w:tc>
          <w:tcPr>
            <w:tcW w:w="1560" w:type="dxa"/>
          </w:tcPr>
          <w:p>
            <w:pPr/>
            <w:r>
              <w:t xml:space="preserve">+3,620</w:t>
            </w:r>
          </w:p>
        </w:tc>
        <w:tc>
          <w:tcPr>
            <w:tcW w:w="1560" w:type="dxa"/>
          </w:tcPr>
          <w:p>
            <w:pPr/>
            <w:r>
              <w:t xml:space="preserve">+0,623</w:t>
            </w:r>
          </w:p>
        </w:tc>
        <w:tc>
          <w:tcPr>
            <w:tcW w:w="1560" w:type="dxa"/>
          </w:tcPr>
          <w:p>
            <w:pPr/>
            <w:r>
              <w:t xml:space="preserve">0,388</w:t>
            </w:r>
          </w:p>
        </w:tc>
        <w:tc>
          <w:tcPr>
            <w:tcW w:w="1560" w:type="dxa"/>
          </w:tcPr>
          <w:p>
            <w:pPr/>
            <w:r>
              <w:t xml:space="preserve">+9,7</w:t>
            </w:r>
          </w:p>
        </w:tc>
        <w:tc>
          <w:tcPr>
            <w:tcW w:w="1560" w:type="dxa"/>
          </w:tcPr>
          <w:p>
            <w:pPr/>
            <w:r>
              <w:t xml:space="preserve">151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2024</w:t>
            </w:r>
          </w:p>
        </w:tc>
        <w:tc>
          <w:tcPr>
            <w:tcW w:w="1560" w:type="dxa"/>
          </w:tcPr>
          <w:p>
            <w:pPr/>
            <w:r>
              <w:t xml:space="preserve">+2,023</w:t>
            </w:r>
          </w:p>
        </w:tc>
        <w:tc>
          <w:tcPr>
            <w:tcW w:w="1560" w:type="dxa"/>
          </w:tcPr>
          <w:p>
            <w:pPr/>
            <w:r>
              <w:t xml:space="preserve">+0,371</w:t>
            </w:r>
          </w:p>
        </w:tc>
        <w:tc>
          <w:tcPr>
            <w:tcW w:w="1560" w:type="dxa"/>
          </w:tcPr>
          <w:p>
            <w:pPr/>
            <w:r>
              <w:t xml:space="preserve">0,138</w:t>
            </w:r>
          </w:p>
        </w:tc>
        <w:tc>
          <w:tcPr>
            <w:tcW w:w="1560" w:type="dxa"/>
          </w:tcPr>
          <w:p>
            <w:pPr/>
            <w:r>
              <w:t xml:space="preserve">+4,9</w:t>
            </w:r>
          </w:p>
        </w:tc>
        <w:tc>
          <w:tcPr>
            <w:tcW w:w="1560" w:type="dxa"/>
          </w:tcPr>
          <w:p>
            <w:pPr/>
            <w:r>
              <w:t xml:space="preserve">152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b/>
              </w:rPr>
              <w:t xml:space="preserve">Mutualisée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+2,451</w:t>
            </w:r>
          </w:p>
        </w:tc>
        <w:tc>
          <w:tcPr>
            <w:tcW w:w="1560" w:type="dxa"/>
          </w:tcPr>
          <w:p>
            <w:pPr/>
            <w:r>
              <w:t xml:space="preserve">+0,493</w:t>
            </w:r>
          </w:p>
        </w:tc>
        <w:tc>
          <w:tcPr>
            <w:tcW w:w="1560" w:type="dxa"/>
          </w:tcPr>
          <w:p>
            <w:pPr/>
            <w:r>
              <w:t xml:space="preserve">0,243</w:t>
            </w:r>
          </w:p>
        </w:tc>
        <w:tc>
          <w:tcPr>
            <w:tcW w:w="1560" w:type="dxa"/>
          </w:tcPr>
          <w:p>
            <w:pPr/>
            <w:r>
              <w:t xml:space="preserve">+12,1</w:t>
            </w:r>
          </w:p>
        </w:tc>
        <w:tc>
          <w:tcPr>
            <w:tcW w:w="1560" w:type="dxa"/>
          </w:tcPr>
          <w:p>
            <w:pPr/>
            <w:r>
              <w:t xml:space="preserve">454</w:t>
            </w:r>
          </w:p>
        </w:tc>
      </w:tr>
    </w:tbl>
    <w:p>
      <w:pPr/>
      <w:r>
        <w:rPr>
          <w:b/>
        </w:rPr>
        <w:t xml:space="preserve">Comment lire b = +2,451</w:t>
      </w:r>
      <w:r>
        <w:t xml:space="preserve"> : un jour où notre volume est 1 % au-dessus de la normale, le spot est en moyenne 2,45 % au-dessus de la moyenne de son mois.</w:t>
      </w:r>
    </w:p>
    <w:p>
      <w:pPr/>
      <w:r>
        <w:rPr>
          <w:b/>
        </w:rPr>
        <w:t xml:space="preserve">Comment lire le reste</w:t>
      </w:r>
      <w:r>
        <w:t xml:space="preserve"> : le t de +12,1 dit que la pente n'est pas un hasard. Mais le r² de 0,243 dit que </w:t>
      </w:r>
      <w:r>
        <w:rPr>
          <w:b/>
        </w:rPr>
        <w:t xml:space="preserve">le volume n'explique qu'un quart de la variance du prix</w:t>
      </w:r>
      <w:r>
        <w:t xml:space="preserve"> — les trois autres quarts viennent du gaz, du nucléaire, du vent. C'est précisément pour ça que le code teste ensuite la sensibilité de la décision à b, et c'est l'honnêteté qui est valorisée ici.</w:t>
      </w:r>
    </w:p>
    <w:p>
      <w:pPr/>
      <w:r>
        <w:rPr>
          <w:b/>
        </w:rPr>
        <w:t xml:space="preserve">Pourquoi mutualiser</w:t>
      </w:r>
      <w:r>
        <w:t xml:space="preserve"> : les b annuels vont de 1,93 à 3,62, presque du simple au double. Une pente estimée sur 454 jours est plus stable que n'importe laquelle des trois.</w:t>
      </w:r>
    </w:p>
    <w:p>
      <w:pPr>
        <w:pStyle w:val="Heading3"/>
      </w:pPr>
      <w:r>
        <w:t xml:space="preserve">Étape 9 — Level × Shape</w:t>
      </w:r>
    </w:p>
    <w:p>
      <w:pPr/>
      <w:r>
        <w:t xml:space="preserve">La règle du cours : </w:t>
      </w:r>
      <w:r>
        <w:rPr>
          <w:b/>
        </w:rPr>
        <w:t xml:space="preserve">on ne réutilise jamais le niveau de prix historique</w:t>
      </w:r>
      <w:r>
        <w:t xml:space="preserve">. 2021 moyennait 109 €/MWh, 2024 seulement 58 €/MWh ; ces niveaux appartiennent à leur année et ne disent rien de 2027. Ce qu'on garde d'une année passée, c'est sa </w:t>
      </w:r>
      <w:r>
        <w:rPr>
          <w:b/>
        </w:rPr>
        <w:t xml:space="preserve">forme</w:t>
      </w:r>
      <w:r>
        <w:t xml:space="preserve"> : la façon dont le prix se répartit entre les heures et les jours.</w:t>
      </w:r>
    </w:p>
    <w:p>
      <w:pPr/>
      <w:r>
        <w:rPr>
          <w:b/>
        </w:rPr>
        <w:t xml:space="preserve">Trois mots à poser avant d'aller plus loin.</w:t>
      </w:r>
    </w:p>
    <w:p>
      <w:pPr/>
      <w:r>
        <w:t xml:space="preserve">Un </w:t>
      </w:r>
      <w:r>
        <w:rPr>
          <w:b/>
        </w:rPr>
        <w:t xml:space="preserve">forward</w:t>
      </w:r>
      <w:r>
        <w:t xml:space="preserve"> est un contrat qui fixe aujourd'hui le prix d'une livraison future. Acheter le Cal-27 Base à 83,31 €/MWh le 22 septembre 2026, c'est s'engager à payer ce prix pour de l'électricité livrée tout au long de 2027, quel que soit le prix </w:t>
      </w:r>
      <w:r>
        <w:rPr>
          <w:b/>
        </w:rPr>
        <w:t xml:space="preserve">spot</w:t>
      </w:r>
      <w:r>
        <w:t xml:space="preserve"> — le prix du marché au jour le jour — une fois l'échéance venue. C'est l'instrument même de la couverture : il supprime l'incertitude sur le prix, en échange de quoi on renonce à profiter d'une baisse.</w:t>
      </w:r>
    </w:p>
    <w:p>
      <w:pPr/>
      <w:r>
        <w:t xml:space="preserve">La </w:t>
      </w:r>
      <w:r>
        <w:rPr>
          <w:b/>
        </w:rPr>
        <w:t xml:space="preserve">prime de risque</w:t>
      </w:r>
      <w:r>
        <w:t xml:space="preserve"> </w:t>
      </w:r>
      <w:r>
        <w:rPr>
          <w:rStyle w:val="CodeChar"/>
        </w:rPr>
        <w:t xml:space="preserve">π</w:t>
      </w:r>
      <w:r>
        <w:t xml:space="preserve"> est l'écart entre ce prix et ce que le marché anticipe réellement. Celui qui vous vend un forward porte le risque à votre place, et il se fait payer pour ça : le forward se situe donc systématiquement </w:t>
      </w:r>
      <w:r>
        <w:rPr>
          <w:b/>
        </w:rPr>
        <w:t xml:space="preserve">un peu au-dessus de l'espérance du spot</w:t>
      </w:r>
      <w:r>
        <w:t xml:space="preserve">. Le cours fixe cette prime à 3 %, et le code la nomme </w:t>
      </w:r>
      <w:r>
        <w:rPr>
          <w:rStyle w:val="CodeChar"/>
        </w:rPr>
        <w:t xml:space="preserve">PRIME_DE_RISQUE</w:t>
      </w:r>
      <w:r>
        <w:t xml:space="preserve">.</w:t>
      </w:r>
    </w:p>
    <w:p>
      <w:pPr/>
      <w:r>
        <w:t xml:space="preserve">Le </w:t>
      </w:r>
      <w:r>
        <w:rPr>
          <w:b/>
        </w:rPr>
        <w:t xml:space="preserve">Level</w:t>
      </w:r>
      <w:r>
        <w:t xml:space="preserve"> est le prix spot </w:t>
      </w:r>
      <w:r>
        <w:rPr>
          <w:b/>
        </w:rPr>
        <w:t xml:space="preserve">moyen</w:t>
      </w:r>
      <w:r>
        <w:t xml:space="preserve"> retenu pour toute l'année 2027 dans un scénario donné. Un seul nombre par scénario — 80,72 pour 2021, 78,00 pour 2023, 77,46 pour 2024 — autour duquel la </w:t>
      </w:r>
      <w:r>
        <w:rPr>
          <w:b/>
        </w:rPr>
        <w:t xml:space="preserve">Shape</w:t>
      </w:r>
      <w:r>
        <w:t xml:space="preserve"> fera ensuite osciller le prix heure par heure.</w:t>
      </w:r>
    </w:p>
    <w:p>
      <w:pPr>
        <w:pStyle w:val="Code"/>
      </w:pPr>
      <w:bookmarkStart w:id="20" w:name="bongo_lang_latex_20"/>
      <w:bookmarkEnd w:id="20"/>
      <w:r>
        <w:t xml:space="preserve">\text{Level} = F_{T1} \times (1 - \pi) \times (1 + b \times 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Terme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Valeur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qu'il apporte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F_T1</w:t>
            </w:r>
          </w:p>
        </w:tc>
        <w:tc>
          <w:tcPr>
            <w:tcW w:w="3120" w:type="dxa"/>
          </w:tcPr>
          <w:p>
            <w:pPr/>
            <w:r>
              <w:t xml:space="preserve">83,31 €/MWh</w:t>
            </w:r>
          </w:p>
        </w:tc>
        <w:tc>
          <w:tcPr>
            <w:tcW w:w="3120" w:type="dxa"/>
          </w:tcPr>
          <w:p>
            <w:pPr/>
            <w:r>
              <w:t xml:space="preserve">le niveau que le marché price au 22/09/2026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(1 − π)</w:t>
            </w:r>
          </w:p>
        </w:tc>
        <w:tc>
          <w:tcPr>
            <w:tcW w:w="3120" w:type="dxa"/>
          </w:tcPr>
          <w:p>
            <w:pPr/>
            <w:r>
              <w:t xml:space="preserve">π = 3 %</w:t>
            </w:r>
          </w:p>
        </w:tc>
        <w:tc>
          <w:tcPr>
            <w:tcW w:w="3120" w:type="dxa"/>
          </w:tcPr>
          <w:p>
            <w:pPr/>
            <w:r>
              <w:t xml:space="preserve">un forward n'est pas une prévision : c'est un prix payé pour que quelqu'un porte le risque. L'espérance du spot est en dessous.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(1 + b × a)</w:t>
            </w:r>
          </w:p>
        </w:tc>
        <w:tc>
          <w:tcPr>
            <w:tcW w:w="3120" w:type="dxa"/>
          </w:tcPr>
          <w:p>
            <w:pPr/>
            <w:r>
              <w:t xml:space="preserve">b = 2,451</w:t>
            </w:r>
          </w:p>
        </w:tc>
        <w:tc>
          <w:tcPr>
            <w:tcW w:w="3120" w:type="dxa"/>
          </w:tcPr>
          <w:p>
            <w:pPr/>
            <w:r>
              <w:t xml:space="preserve">corrige du lien prix-volume : un scénario froid a une anomalie </w:t>
            </w:r>
            <w:r>
              <w:rPr>
                <w:rStyle w:val="CodeChar"/>
              </w:rPr>
              <w:t xml:space="preserve">a</w:t>
            </w:r>
            <w:r>
              <w:t xml:space="preserve"> positive, donc un Level plus haut</w:t>
            </w:r>
          </w:p>
        </w:tc>
      </w:tr>
    </w:tbl>
    <w:p>
      <w:pPr>
        <w:pStyle w:val="Code"/>
      </w:pPr>
      <w:bookmarkStart w:id="21" w:name="bongo_lang_python_21"/>
      <w:bookmarkEnd w:id="21"/>
      <w:r>
        <w:t xml:space="preserve">def scenario_spot(prix_hist, niveau, index_cible):</w:t>
        <w:br/>
        <w:t xml:space="preserve">    forme = prix_hist / prix_hist.mean()</w:t>
        <w:br/>
        <w:t xml:space="preserve">    valeurs = _reindexer_par_calendrier(forme, index_cible).fillna(1.0)</w:t>
        <w:br/>
        <w:t xml:space="preserve">    return pd.Series(niveau * valeurs.to_numpy(), index=index_cible, name="spot")</w:t>
      </w:r>
    </w:p>
    <w:p>
      <w:pPr/>
      <w:r>
        <w:rPr>
          <w:rStyle w:val="CodeChar"/>
        </w:rPr>
        <w:t xml:space="preserve">forme</w:t>
      </w:r>
      <w:r>
        <w:t xml:space="preserve"> a une moyenne de 1 </w:t>
      </w:r>
      <w:r>
        <w:rPr>
          <w:b/>
        </w:rPr>
        <w:t xml:space="preserve">par construction</w:t>
      </w:r>
      <w:r>
        <w:t xml:space="preserve">. Multipliée par le Level, elle donne une courbe 2027 dont la moyenne vaut exactement le Level. C'est tout le mécanisme.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Scénario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 moyenne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Anomalie volume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Prix pondéré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Surcoût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2021</w:t>
            </w:r>
          </w:p>
        </w:tc>
        <w:tc>
          <w:tcPr>
            <w:tcW w:w="1560" w:type="dxa"/>
          </w:tcPr>
          <w:p>
            <w:pPr/>
            <w:r>
              <w:t xml:space="preserve">12,68 °C</w:t>
            </w:r>
          </w:p>
        </w:tc>
        <w:tc>
          <w:tcPr>
            <w:tcW w:w="1560" w:type="dxa"/>
          </w:tcPr>
          <w:p>
            <w:pPr/>
            <w:r>
              <w:t xml:space="preserve">−0,05 %</w:t>
            </w:r>
          </w:p>
        </w:tc>
        <w:tc>
          <w:tcPr>
            <w:tcW w:w="1560" w:type="dxa"/>
          </w:tcPr>
          <w:p>
            <w:pPr/>
            <w:r>
              <w:t xml:space="preserve">80,72</w:t>
            </w:r>
          </w:p>
        </w:tc>
        <w:tc>
          <w:tcPr>
            <w:tcW w:w="1560" w:type="dxa"/>
          </w:tcPr>
          <w:p>
            <w:pPr/>
            <w:r>
              <w:t xml:space="preserve">87,37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+6,65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2023</w:t>
            </w:r>
          </w:p>
        </w:tc>
        <w:tc>
          <w:tcPr>
            <w:tcW w:w="1560" w:type="dxa"/>
          </w:tcPr>
          <w:p>
            <w:pPr/>
            <w:r>
              <w:t xml:space="preserve">14,17 °C</w:t>
            </w:r>
          </w:p>
        </w:tc>
        <w:tc>
          <w:tcPr>
            <w:tcW w:w="1560" w:type="dxa"/>
          </w:tcPr>
          <w:p>
            <w:pPr/>
            <w:r>
              <w:t xml:space="preserve">−1,42 %</w:t>
            </w:r>
          </w:p>
        </w:tc>
        <w:tc>
          <w:tcPr>
            <w:tcW w:w="1560" w:type="dxa"/>
          </w:tcPr>
          <w:p>
            <w:pPr/>
            <w:r>
              <w:t xml:space="preserve">78,00</w:t>
            </w:r>
          </w:p>
        </w:tc>
        <w:tc>
          <w:tcPr>
            <w:tcW w:w="1560" w:type="dxa"/>
          </w:tcPr>
          <w:p>
            <w:pPr/>
            <w:r>
              <w:t xml:space="preserve">82,17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+4,18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2024</w:t>
            </w:r>
          </w:p>
        </w:tc>
        <w:tc>
          <w:tcPr>
            <w:tcW w:w="1560" w:type="dxa"/>
          </w:tcPr>
          <w:p>
            <w:pPr/>
            <w:r>
              <w:t xml:space="preserve">12,92 °C</w:t>
            </w:r>
          </w:p>
        </w:tc>
        <w:tc>
          <w:tcPr>
            <w:tcW w:w="1560" w:type="dxa"/>
          </w:tcPr>
          <w:p>
            <w:pPr/>
            <w:r>
              <w:t xml:space="preserve">−1,69 %</w:t>
            </w:r>
          </w:p>
        </w:tc>
        <w:tc>
          <w:tcPr>
            <w:tcW w:w="1560" w:type="dxa"/>
          </w:tcPr>
          <w:p>
            <w:pPr/>
            <w:r>
              <w:t xml:space="preserve">77,46</w:t>
            </w:r>
          </w:p>
        </w:tc>
        <w:tc>
          <w:tcPr>
            <w:tcW w:w="1560" w:type="dxa"/>
          </w:tcPr>
          <w:p>
            <w:pPr/>
            <w:r>
              <w:t xml:space="preserve">83,42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+5,98</w:t>
            </w:r>
          </w:p>
        </w:tc>
      </w:tr>
    </w:tbl>
    <w:p>
      <w:pPr>
        <w:pStyle w:val="Heading3"/>
      </w:pPr>
      <w:r>
        <w:t xml:space="preserve">Le chiffre à retenir</w:t>
      </w:r>
    </w:p>
    <w:p>
      <w:pPr/>
      <w:r>
        <w:t xml:space="preserve">Le </w:t>
      </w:r>
      <w:r>
        <w:rPr>
          <w:b/>
        </w:rPr>
        <w:t xml:space="preserve">prix pondéré</w:t>
      </w:r>
      <w:r>
        <w:t xml:space="preserve"> est le vrai coût moyen d'approvisionnement : </w:t>
      </w:r>
      <w:r>
        <w:rPr>
          <w:rStyle w:val="CodeChar"/>
        </w:rPr>
        <w:t xml:space="preserve">Σ(charge × prix) / Σcharge</w:t>
      </w:r>
      <w:r>
        <w:t xml:space="preserve">. Il est systématiquement au-dessus du prix moyen simple, parce qu'on consomme davantage aux heures où le prix est haut. L'écart entre les deux, </w:t>
      </w:r>
      <w:r>
        <w:rPr>
          <w:b/>
        </w:rPr>
        <w:t xml:space="preserve">+4,18 à +6,65 €/MWh selon le scénario, est le coût du risque prix-volume</w:t>
      </w:r>
      <w:r>
        <w:t xml:space="preserve">. C'est le chiffre qui justifie à lui seul qu'on se couvre.</w:t>
      </w:r>
    </w:p>
    <w:p>
      <w:pPr>
        <w:pStyle w:val="Heading3"/>
      </w:pPr>
      <w:r>
        <w:t xml:space="preserve">Ce qu'il faut savoir dire</w:t>
      </w:r>
    </w:p>
    <w:p>
      <w:pPr>
        <w:pStyle w:val="ListParagraph"/>
        <w:numPr>
          <w:ilvl w:val="0"/>
          <w:numId w:val="10"/>
        </w:numPr>
      </w:pPr>
      <w:r>
        <w:t xml:space="preserve">Pourquoi la forme est </w:t>
      </w:r>
      <w:r>
        <w:rPr>
          <w:b/>
        </w:rPr>
        <w:t xml:space="preserve">normalisée à 1</w:t>
      </w:r>
      <w:r>
        <w:t xml:space="preserve"> et pourquoi on jette le niveau historique.</w:t>
      </w:r>
    </w:p>
    <w:p>
      <w:pPr>
        <w:pStyle w:val="ListParagraph"/>
        <w:numPr>
          <w:ilvl w:val="0"/>
          <w:numId w:val="10"/>
        </w:numPr>
      </w:pPr>
      <w:r>
        <w:t xml:space="preserve">Ce que vaut le r² et ce qu'il impose (tester la sensibilité à b, ne pas sur-vendre la régression).</w:t>
      </w:r>
    </w:p>
    <w:p>
      <w:pPr>
        <w:pStyle w:val="ListParagraph"/>
        <w:numPr>
          <w:ilvl w:val="0"/>
          <w:numId w:val="10"/>
        </w:numPr>
      </w:pPr>
      <w:r>
        <w:t xml:space="preserve">La différence entre prix moyen et prix pondéré : c'est la question piège classique.</w:t>
      </w:r>
    </w:p>
    <w:p>
      <w:pPr>
        <w:pStyle w:val="Heading2"/>
      </w:pPr>
      <w:r>
        <w:t xml:space="preserve">Étape 10 — La méthode alpha</w:t>
      </w:r>
    </w:p>
    <w:p>
      <w:pPr/>
      <w:r>
        <w:t xml:space="preserve">Au T1 on décide ce qu'on laisse pour le T2, sans connaître le prix du T2 : il faut donc en faire une </w:t>
      </w:r>
      <w:r>
        <w:rPr>
          <w:b/>
        </w:rPr>
        <w:t xml:space="preserve">hypothèse assumée</w:t>
      </w:r>
      <w:r>
        <w:t xml:space="preserve">, identique pour tous les scénarios.</w:t>
      </w:r>
    </w:p>
    <w:p>
      <w:pPr>
        <w:pStyle w:val="Heading3"/>
      </w:pPr>
      <w:r>
        <w:t xml:space="preserve">La formule</w:t>
      </w:r>
    </w:p>
    <w:p>
      <w:pPr>
        <w:pStyle w:val="Code"/>
      </w:pPr>
      <w:bookmarkStart w:id="22" w:name="bongo_lang_latex_22"/>
      <w:bookmarkEnd w:id="22"/>
      <w:r>
        <w:t xml:space="preserve">F_{T2} = F_{T1} + \alpha \times (\text{Level} - F_{T1})</w:t>
      </w:r>
    </w:p>
    <w:p>
      <w:pPr/>
      <w:r>
        <w:rPr>
          <w:rStyle w:val="CodeChar"/>
        </w:rPr>
        <w:t xml:space="preserve">α</w:t>
      </w:r>
      <w:r>
        <w:t xml:space="preserve"> est le </w:t>
      </w:r>
      <w:r>
        <w:rPr>
          <w:b/>
        </w:rPr>
        <w:t xml:space="preserve">degré d'apprentissage du marché</w:t>
      </w:r>
      <w:r>
        <w:t xml:space="preserve"> entre le 22 septembre et le 1er décembre :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α = 0</w:t>
      </w:r>
      <w:r>
        <w:t xml:space="preserve"> : au 1er décembre, le marché n'a rien appris sur 2027, le forward n'a pas bougé.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α = 1</w:t>
      </w:r>
      <w:r>
        <w:t xml:space="preserve"> : au 1er décembre, le marché connaît déjà toute l'année 2027. Impossible.</w:t>
      </w:r>
    </w:p>
    <w:p>
      <w:pPr>
        <w:pStyle w:val="ListParagraph"/>
        <w:numPr>
          <w:ilvl w:val="0"/>
          <w:numId w:val="11"/>
        </w:numPr>
      </w:pPr>
      <w:r>
        <w:t xml:space="preserve">Entre les deux : une partie du scénario (perspectives d'hiver, stocks de gaz, premières prévisions de janvier) est déjà dans les prix.</w:t>
      </w:r>
    </w:p>
    <w:p>
      <w:pPr>
        <w:pStyle w:val="Code"/>
      </w:pPr>
      <w:bookmarkStart w:id="23" w:name="bongo_lang_python_23"/>
      <w:bookmarkEnd w:id="23"/>
      <w:r>
        <w:t xml:space="preserve">def forward_t2_anticipe(niveau, alpha, forward_t1=FORWARD_CAL27_T1):</w:t>
        <w:br/>
        <w:t xml:space="preserve">    return forward_t1 + alpha * (niveau - forward_t1)</w:t>
      </w:r>
    </w:p>
    <w:p>
      <w:pPr/>
      <w:r>
        <w:t xml:space="preserve">La constante vit en tête de </w:t>
      </w:r>
      <w:r>
        <w:rPr>
          <w:rStyle w:val="CodeChar"/>
        </w:rPr>
        <w:t xml:space="preserve">comparaison_scenarios.py</w:t>
      </w:r>
      <w:r>
        <w:t xml:space="preserve"> et sert à tous les scénarios — le §3.3 exige qu'elle soit la même partout :</w:t>
      </w:r>
    </w:p>
    <w:p>
      <w:pPr>
        <w:pStyle w:val="Code"/>
      </w:pPr>
      <w:bookmarkStart w:id="24" w:name="bongo_lang_python_24"/>
      <w:bookmarkEnd w:id="24"/>
      <w:r>
        <w:t xml:space="preserve">ALPHA_T2 = 0.50    # part du scenario deja dans les prix au 01/12/2026</w:t>
      </w:r>
    </w:p>
    <w:p>
      <w:pPr>
        <w:pStyle w:val="Heading3"/>
      </w:pPr>
      <w:r>
        <w:t xml:space="preserve">Le contrôle de plausibilité</w:t>
      </w:r>
    </w:p>
    <w:p>
      <w:pPr/>
      <w:r>
        <w:t xml:space="preserve">On vient de fabriquer un prix de T2 à partir d'une hypothèse. Rien ne garantit encore qu'il soit crédible, d'où la question à se poser : </w:t>
      </w:r>
      <w:r>
        <w:rPr>
          <w:b/>
        </w:rPr>
        <w:t xml:space="preserve">le marché peut-il réellement bouger d'un tel montant en 70 jours ?</w:t>
      </w:r>
    </w:p>
    <w:p>
      <w:pPr/>
      <w:r>
        <w:t xml:space="preserve">La CRE donne de quoi répondre, avec une </w:t>
      </w:r>
      <w:r>
        <w:rPr>
          <w:b/>
        </w:rPr>
        <w:t xml:space="preserve">volatilité annuelle de 20 %</w:t>
      </w:r>
      <w:r>
        <w:t xml:space="preserve">. Comprendre : sur un an, le prix du Cal-27 s'écarte typiquement de 20 % de son point de départ, dans un sens </w:t>
      </w:r>
      <w:r>
        <w:rPr>
          <w:b/>
        </w:rPr>
        <w:t xml:space="preserve">ou</w:t>
      </w:r>
      <w:r>
        <w:t xml:space="preserve"> dans l'autre. Ce n'est pas une prévision de direction, c'est une amplitude de vagabondage.</w:t>
      </w:r>
    </w:p>
    <w:p>
      <w:pPr/>
      <w:r>
        <w:t xml:space="preserve">Sauf qu'il ne reste pas un an entre le T1 et le T2, mais 70 jours — </w:t>
      </w:r>
      <w:r>
        <w:rPr>
          <w:b/>
        </w:rPr>
        <w:t xml:space="preserve">19 % d'une année</w:t>
      </w:r>
      <w:r>
        <w:t xml:space="preserve">. Et un prix ne vagabonde pas proportionnellement au temps : il avance par pas aléatoires indépendants, si bien que c'est sa </w:t>
      </w:r>
      <w:r>
        <w:rPr>
          <w:b/>
        </w:rPr>
        <w:t xml:space="preserve">variance</w:t>
      </w:r>
      <w:r>
        <w:t xml:space="preserve"> qui croît avec le temps, et donc son écart-type avec la </w:t>
      </w:r>
      <w:r>
        <w:rPr>
          <w:b/>
        </w:rPr>
        <w:t xml:space="preserve">racine</w:t>
      </w:r>
      <w:r>
        <w:t xml:space="preserve"> du temps. Sur 70 jours, l'amplitude typique vaut </w:t>
      </w:r>
      <w:r>
        <w:rPr>
          <w:rStyle w:val="CodeChar"/>
        </w:rPr>
        <w:t xml:space="preserve">√(70/365) = 0,44</w:t>
      </w:r>
      <w:r>
        <w:t xml:space="preserve"> fois celle d'une année entière.</w:t>
      </w:r>
    </w:p>
    <w:p>
      <w:pPr>
        <w:pStyle w:val="Code"/>
      </w:pPr>
      <w:bookmarkStart w:id="25" w:name="bongo_lang_python_25"/>
      <w:bookmarkEnd w:id="25"/>
      <w:r>
        <w:t xml:space="preserve">def sigma_t2(forward_t1=FORWARD_CAL27_T1):</w:t>
        <w:br/>
        <w:t xml:space="preserve">    return forward_t1 * VOLATILITE_CRE * np.sqrt(JOURS_T1_T2 / 365.0)</w:t>
      </w:r>
    </w:p>
    <w:p>
      <w:pPr/>
      <w:r>
        <w:rPr>
          <w:rStyle w:val="CodeChar"/>
        </w:rPr>
        <w:t xml:space="preserve">83,31 × 0,20 × 0,438 = 7,30 €/MWh</w:t>
      </w:r>
      <w:r>
        <w:t xml:space="preserve">. À un écart-type, le forward du 1er décembre avait donc toutes les chances de tomber dans </w:t>
      </w:r>
      <w:r>
        <w:rPr>
          <w:b/>
        </w:rPr>
        <w:t xml:space="preserve">[76,01 ; 90,61]</w:t>
      </w:r>
      <w:r>
        <w:t xml:space="preserve">. Tout ce qui sort largement de cette fourchette doit être justifié par autre chose que le hasard de marché.</w:t>
      </w:r>
    </w:p>
    <w:p>
      <w:pPr/>
      <w:r>
        <w:t xml:space="preserve">Ce calcul n'est pas de notre invention : le prof le pose à l'identique en session 4 et cite ses deux sources — Hull, </w:t>
      </w:r>
      <w:r>
        <w:rPr>
          <w:i/>
        </w:rPr>
        <w:t xml:space="preserve">Options, Futures and Other Derivatives</w:t>
      </w:r>
      <w:r>
        <w:t xml:space="preserve">, pour la mise à l'échelle en racine du temps, et la délibération CRE n° 2026-06 pour les 20 %. Il annonce lui-même « environ ±7 €/MWh sur 70 jours à 20 % de volatilité ».</w:t>
      </w:r>
    </w:p>
    <w:p>
      <w:pPr>
        <w:pStyle w:val="Heading3"/>
      </w:pPr>
      <w:r>
        <w:t xml:space="preserve">Ce que ça a donné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Scénario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α = 0,2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α = 0,5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α = 0,6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α qu'il aurait fallu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2021</w:t>
            </w:r>
          </w:p>
        </w:tc>
        <w:tc>
          <w:tcPr>
            <w:tcW w:w="1560" w:type="dxa"/>
          </w:tcPr>
          <w:p>
            <w:pPr/>
            <w:r>
              <w:t xml:space="preserve">80,72</w:t>
            </w:r>
          </w:p>
        </w:tc>
        <w:tc>
          <w:tcPr>
            <w:tcW w:w="1560" w:type="dxa"/>
          </w:tcPr>
          <w:p>
            <w:pPr/>
            <w:r>
              <w:t xml:space="preserve">82,79</w:t>
            </w:r>
          </w:p>
        </w:tc>
        <w:tc>
          <w:tcPr>
            <w:tcW w:w="1560" w:type="dxa"/>
          </w:tcPr>
          <w:p>
            <w:pPr/>
            <w:r>
              <w:t xml:space="preserve">82,02</w:t>
            </w:r>
          </w:p>
        </w:tc>
        <w:tc>
          <w:tcPr>
            <w:tcW w:w="1560" w:type="dxa"/>
          </w:tcPr>
          <w:p>
            <w:pPr/>
            <w:r>
              <w:t xml:space="preserve">81,76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3,71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2023</w:t>
            </w:r>
          </w:p>
        </w:tc>
        <w:tc>
          <w:tcPr>
            <w:tcW w:w="1560" w:type="dxa"/>
          </w:tcPr>
          <w:p>
            <w:pPr/>
            <w:r>
              <w:t xml:space="preserve">78,00</w:t>
            </w:r>
          </w:p>
        </w:tc>
        <w:tc>
          <w:tcPr>
            <w:tcW w:w="1560" w:type="dxa"/>
          </w:tcPr>
          <w:p>
            <w:pPr/>
            <w:r>
              <w:t xml:space="preserve">82,25</w:t>
            </w:r>
          </w:p>
        </w:tc>
        <w:tc>
          <w:tcPr>
            <w:tcW w:w="1560" w:type="dxa"/>
          </w:tcPr>
          <w:p>
            <w:pPr/>
            <w:r>
              <w:t xml:space="preserve">80,66</w:t>
            </w:r>
          </w:p>
        </w:tc>
        <w:tc>
          <w:tcPr>
            <w:tcW w:w="1560" w:type="dxa"/>
          </w:tcPr>
          <w:p>
            <w:pPr/>
            <w:r>
              <w:t xml:space="preserve">80,12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1,81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2024</w:t>
            </w:r>
          </w:p>
        </w:tc>
        <w:tc>
          <w:tcPr>
            <w:tcW w:w="1560" w:type="dxa"/>
          </w:tcPr>
          <w:p>
            <w:pPr/>
            <w:r>
              <w:t xml:space="preserve">77,46</w:t>
            </w:r>
          </w:p>
        </w:tc>
        <w:tc>
          <w:tcPr>
            <w:tcW w:w="1560" w:type="dxa"/>
          </w:tcPr>
          <w:p>
            <w:pPr/>
            <w:r>
              <w:t xml:space="preserve">82,14</w:t>
            </w:r>
          </w:p>
        </w:tc>
        <w:tc>
          <w:tcPr>
            <w:tcW w:w="1560" w:type="dxa"/>
          </w:tcPr>
          <w:p>
            <w:pPr/>
            <w:r>
              <w:t xml:space="preserve">80,39</w:t>
            </w:r>
          </w:p>
        </w:tc>
        <w:tc>
          <w:tcPr>
            <w:tcW w:w="1560" w:type="dxa"/>
          </w:tcPr>
          <w:p>
            <w:pPr/>
            <w:r>
              <w:t xml:space="preserve">79,80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1,64</w:t>
            </w:r>
          </w:p>
        </w:tc>
      </w:tr>
    </w:tbl>
    <w:p>
      <w:pPr/>
      <w:r>
        <w:t xml:space="preserve">Prix réel observé au T2 : </w:t>
      </w:r>
      <w:r>
        <w:rPr>
          <w:b/>
        </w:rPr>
        <w:t xml:space="preserve">73,70 €/MWh</w:t>
      </w:r>
      <w:r>
        <w:t xml:space="preserve">.</w:t>
      </w:r>
    </w:p>
    <w:p>
      <w:pPr>
        <w:pStyle w:val="Heading3"/>
      </w:pPr>
      <w:r>
        <w:t xml:space="preserve">La leçon, et c'est la plus intéressante du dossier</w:t>
      </w:r>
    </w:p>
    <w:p>
      <w:pPr/>
      <w:r>
        <w:rPr>
          <w:b/>
        </w:rPr>
        <w:t xml:space="preserve">Aucune valeur de α entre 0 et 1 ne pouvait atteindre 73,70</w:t>
      </w:r>
      <w:r>
        <w:t xml:space="preserve"> : il aurait fallu 1,64 à 3,71. Ce n'est donc pas un mauvais choix de α, c'est un problème de nature : la baisse n'était pas d'origine météo.</w:t>
      </w:r>
    </w:p>
    <w:p>
      <w:pPr/>
      <w:r>
        <w:t xml:space="preserve">Le contrôle CRE le confirme : 73,70 se situe à −1,3 sigma de 83,31, donc </w:t>
      </w:r>
      <w:r>
        <w:rPr>
          <w:b/>
        </w:rPr>
        <w:t xml:space="preserve">parfaitement plausible comme mouvement de marché</w:t>
      </w:r>
      <w:r>
        <w:t xml:space="preserve">, mais aucun scénario de température ne le décrit. C'est littéralement ce que le §3.3 attend d'un travail Outstanding : </w:t>
      </w:r>
      <w:r>
        <w:rPr>
          <w:i/>
        </w:rPr>
        <w:t xml:space="preserve">naming the limit of the assumption — the forward moves on gas, CO₂ and nuclear availability, which no weather scenario describes</w:t>
      </w:r>
      <w:r>
        <w:t xml:space="preserve">.</w:t>
      </w:r>
    </w:p>
    <w:p>
      <w:pPr/>
      <w:r>
        <w:t xml:space="preserve">Autre façon de le dire, plus parlante : notre couloir d'anticipations allait de 80,39 à 82,02, soit </w:t>
      </w:r>
      <w:r>
        <w:rPr>
          <w:b/>
        </w:rPr>
        <w:t xml:space="preserve">2 % de large</w:t>
      </w:r>
      <w:r>
        <w:t xml:space="preserve">, face à une volatilité de 20 % annualisés. Il était beaucoup trop étroit. Dites-le avant qu'on vous le dise.</w:t>
      </w:r>
    </w:p>
    <w:p>
      <w:pPr>
        <w:pStyle w:val="Heading3"/>
      </w:pPr>
      <w:r>
        <w:t xml:space="preserve">Ce qu'il faut savoir dire</w:t>
      </w:r>
    </w:p>
    <w:p>
      <w:pPr>
        <w:pStyle w:val="ListParagraph"/>
        <w:numPr>
          <w:ilvl w:val="0"/>
          <w:numId w:val="12"/>
        </w:numPr>
      </w:pPr>
      <w:r>
        <w:t xml:space="preserve">α est une </w:t>
      </w:r>
      <w:r>
        <w:rPr>
          <w:b/>
        </w:rPr>
        <w:t xml:space="preserve">hypothèse</w:t>
      </w:r>
      <w:r>
        <w:t xml:space="preserve">, pas une prévision, et elle doit être la même pour tous les scénarios.</w:t>
      </w:r>
    </w:p>
    <w:p>
      <w:pPr>
        <w:pStyle w:val="ListParagraph"/>
        <w:numPr>
          <w:ilvl w:val="0"/>
          <w:numId w:val="12"/>
        </w:numPr>
      </w:pPr>
      <w:r>
        <w:t xml:space="preserve">D'où vient le √t dans sigma.</w:t>
      </w:r>
    </w:p>
    <w:p>
      <w:pPr>
        <w:pStyle w:val="ListParagraph"/>
        <w:numPr>
          <w:ilvl w:val="0"/>
          <w:numId w:val="12"/>
        </w:numPr>
      </w:pPr>
      <w:r>
        <w:t xml:space="preserve">Que l'erreur d'anticipation a une cause </w:t>
      </w:r>
      <w:r>
        <w:rPr>
          <w:b/>
        </w:rPr>
        <w:t xml:space="preserve">nommable</w:t>
      </w:r>
      <w:r>
        <w:t xml:space="preserve"> (gaz, CO₂, nucléaire, demande), et qu'un modèle météo ne pouvait structurellement pas la voir.</w:t>
      </w:r>
    </w:p>
    <w:p>
      <w:pPr>
        <w:pStyle w:val="Heading2"/>
      </w:pPr>
      <w:r>
        <w:t xml:space="preserve">Étape 11 — Le mix de produits EEX</w:t>
      </w:r>
    </w:p>
    <w:p>
      <w:pPr/>
      <w:r>
        <w:t xml:space="preserve">« On couvre 70 % » ne veut rien dire pour un trader : ce qui s'achète, ce sont des </w:t>
      </w:r>
      <w:r>
        <w:rPr>
          <w:b/>
        </w:rPr>
        <w:t xml:space="preserve">MW constants livrés sur une période définie</w:t>
      </w:r>
      <w:r>
        <w:t xml:space="preserve">. Le §3.4 exige la conversion.</w:t>
      </w:r>
    </w:p>
    <w:p>
      <w:pPr>
        <w:pStyle w:val="Heading3"/>
      </w:pPr>
      <w:r>
        <w:t xml:space="preserve">Les produits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Famille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Période de livraison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Heures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Cal-27</w:t>
            </w:r>
          </w:p>
        </w:tc>
        <w:tc>
          <w:tcPr>
            <w:tcW w:w="3120" w:type="dxa"/>
          </w:tcPr>
          <w:p>
            <w:pPr/>
            <w:r>
              <w:t xml:space="preserve">01/01 au 31/12/2027</w:t>
            </w:r>
          </w:p>
        </w:tc>
        <w:tc>
          <w:tcPr>
            <w:tcW w:w="3120" w:type="dxa"/>
          </w:tcPr>
          <w:p>
            <w:pPr/>
            <w:r>
              <w:t xml:space="preserve">8 760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Q1-27 à Q4-27</w:t>
            </w:r>
          </w:p>
        </w:tc>
        <w:tc>
          <w:tcPr>
            <w:tcW w:w="3120" w:type="dxa"/>
          </w:tcPr>
          <w:p>
            <w:pPr/>
            <w:r>
              <w:t xml:space="preserve">le trimestre</w:t>
            </w:r>
          </w:p>
        </w:tc>
        <w:tc>
          <w:tcPr>
            <w:tcW w:w="3120" w:type="dxa"/>
          </w:tcPr>
          <w:p>
            <w:pPr/>
            <w:r>
              <w:t xml:space="preserve">2 159 à 2 209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Jan-27 à Jun-27</w:t>
            </w:r>
          </w:p>
        </w:tc>
        <w:tc>
          <w:tcPr>
            <w:tcW w:w="3120" w:type="dxa"/>
          </w:tcPr>
          <w:p>
            <w:pPr/>
            <w:r>
              <w:t xml:space="preserve">le mois</w:t>
            </w:r>
          </w:p>
        </w:tc>
        <w:tc>
          <w:tcPr>
            <w:tcW w:w="3120" w:type="dxa"/>
          </w:tcPr>
          <w:p>
            <w:pPr/>
            <w:r>
              <w:t xml:space="preserve">variable</w:t>
            </w:r>
          </w:p>
        </w:tc>
      </w:tr>
    </w:tbl>
    <w:p>
      <w:pPr/>
      <w:r>
        <w:t xml:space="preserve">Chacun existe en </w:t>
      </w:r>
      <w:r>
        <w:rPr>
          <w:b/>
        </w:rPr>
        <w:t xml:space="preserve">Base</w:t>
      </w:r>
      <w:r>
        <w:t xml:space="preserve"> (toutes les heures) et en </w:t>
      </w:r>
      <w:r>
        <w:rPr>
          <w:b/>
        </w:rPr>
        <w:t xml:space="preserve">Peak</w:t>
      </w:r>
      <w:r>
        <w:t xml:space="preserve"> (lundi-vendredi 8h-20h, </w:t>
      </w:r>
      <w:r>
        <w:rPr>
          <w:b/>
        </w:rPr>
        <w:t xml:space="preserve">jours fériés inclus</w:t>
      </w:r>
      <w:r>
        <w:t xml:space="preserve"> — retenez-le, ça ressort à l'étape 14).</w:t>
      </w:r>
    </w:p>
    <w:p>
      <w:pPr>
        <w:pStyle w:val="Heading3"/>
      </w:pPr>
      <w:r>
        <w:t xml:space="preserve">La brique centrale</w:t>
      </w:r>
    </w:p>
    <w:p>
      <w:pPr/>
      <w:r>
        <w:t xml:space="preserve">Une seule fonction dit, pour chaque pas de temps, si un produit livre ou non. Tout le reste en découle.</w:t>
      </w:r>
    </w:p>
    <w:p>
      <w:pPr>
        <w:pStyle w:val="Code"/>
      </w:pPr>
      <w:bookmarkStart w:id="26" w:name="bongo_lang_python_26"/>
      <w:bookmarkEnd w:id="26"/>
      <w:r>
        <w:t xml:space="preserve">def fenetre(produit, nature, index):</w:t>
        <w:br/>
        <w:t xml:space="preserve">    nom = produit.split("-")[0]</w:t>
        <w:br/>
        <w:t xml:space="preserve">    if nom == "Cal":</w:t>
        <w:br/>
        <w:t xml:space="preserve">        m = np.ones(len(index), dtype=bool)</w:t>
        <w:br/>
        <w:t xml:space="preserve">    elif nom[0] == "Q":</w:t>
        <w:br/>
        <w:t xml:space="preserve">        m = np.asarray(index.quarter) == int(nom[1:])</w:t>
        <w:br/>
        <w:t xml:space="preserve">    else:</w:t>
        <w:br/>
        <w:t xml:space="preserve">        m = np.asarray(index.month) == MOIS_EEX[nom]</w:t>
        <w:br/>
        <w:t xml:space="preserve">    if nature == "Peak":                   # lun-ven 08h-20h, jours feries inclus</w:t>
        <w:br/>
        <w:t xml:space="preserve">        m = m &amp; np.asarray(masque_peak(index))</w:t>
        <w:br/>
        <w:t xml:space="preserve">    return pd.Series(m, index=index)</w:t>
      </w:r>
    </w:p>
    <w:p/>
    <w:p>
      <w:pPr>
        <w:pStyle w:val="Code"/>
      </w:pPr>
      <w:bookmarkStart w:id="27" w:name="bongo_lang_python_27"/>
      <w:bookmarkEnd w:id="27"/>
      <w:r>
        <w:t xml:space="preserve">def livraison(mix, index):</w:t>
        <w:br/>
        <w:t xml:space="preserve">    out = pd.Series(0.0, index=index)</w:t>
        <w:br/>
        <w:t xml:space="preserve">    for (produit, nature), mw in mix.items():</w:t>
        <w:br/>
        <w:t xml:space="preserve">        out += mw * fenetre(produit, nature, index)</w:t>
        <w:br/>
        <w:t xml:space="preserve">    return out</w:t>
        <w:br/>
        <w:br/>
        <w:t xml:space="preserve">def cout_mix(mix, index, jalon="T1"):</w:t>
        <w:br/>
        <w:t xml:space="preserve">    return sum(mw * sc.prix_eex(p, n, jalon) * heures_livrees(p, n, index)</w:t>
        <w:br/>
        <w:t xml:space="preserve">               for (p, n), mw in mix.items())</w:t>
      </w:r>
    </w:p>
    <w:p>
      <w:pPr/>
      <w:r>
        <w:t xml:space="preserve">Un mix est un simple dictionnaire </w:t>
      </w:r>
      <w:r>
        <w:rPr>
          <w:rStyle w:val="CodeChar"/>
        </w:rPr>
        <w:t xml:space="preserve">{(produit, nature): MW}</w:t>
      </w:r>
      <w:r>
        <w:t xml:space="preserve">. </w:t>
      </w:r>
      <w:r>
        <w:rPr>
          <w:rStyle w:val="CodeChar"/>
        </w:rPr>
        <w:t xml:space="preserve">livraison()</w:t>
      </w:r>
      <w:r>
        <w:t xml:space="preserve"> donne la puissance couverte heure par heure, </w:t>
      </w:r>
      <w:r>
        <w:rPr>
          <w:rStyle w:val="CodeChar"/>
        </w:rPr>
        <w:t xml:space="preserve">cout_mix()</w:t>
      </w:r>
      <w:r>
        <w:t xml:space="preserve"> le coût fixe. </w:t>
      </w:r>
      <w:r>
        <w:rPr>
          <w:b/>
        </w:rPr>
        <w:t xml:space="preserve">Ces deux fonctions servent jusqu'à la fin du modèle</w:t>
      </w:r>
      <w:r>
        <w:t xml:space="preserve">, y compris pour le tableau 24 h du 1er janvier.</w:t>
      </w:r>
    </w:p>
    <w:p>
      <w:pPr>
        <w:pStyle w:val="Heading3"/>
      </w:pPr>
      <w:r>
        <w:t xml:space="preserve">Passer d'une part à des MW</w:t>
      </w:r>
    </w:p>
    <w:p>
      <w:pPr>
        <w:pStyle w:val="Code"/>
      </w:pPr>
      <w:bookmarkStart w:id="28" w:name="bongo_lang_python_28"/>
      <w:bookmarkEnd w:id="28"/>
      <w:r>
        <w:t xml:space="preserve">def construire_mix(part, volumes_q, index, forme=None, ratio_peak=1.32):</w:t>
        <w:br/>
        <w:t xml:space="preserve">    if forme == "cal":</w:t>
        <w:br/>
        <w:t xml:space="preserve">        return {("Cal-27", "Base"): part * sum(volumes_q.values())</w:t>
        <w:br/>
        <w:t xml:space="preserve">                                    / heures_livrees("Cal-27", "Base", index)}</w:t>
        <w:br/>
        <w:t xml:space="preserve">    mix = {}</w:t>
        <w:br/>
        <w:t xml:space="preserve">    for q, v in volumes_q.items():</w:t>
        <w:br/>
        <w:t xml:space="preserve">        produit = f"Q{q}-27"</w:t>
        <w:br/>
        <w:t xml:space="preserve">        h_base = heures_livrees(produit, "Base", index)</w:t>
        <w:br/>
        <w:t xml:space="preserve">        if forme == "trimestres+peak":</w:t>
        <w:br/>
        <w:t xml:space="preserve">            h_peak = heures_livrees(produit, "Peak", index)</w:t>
        <w:br/>
        <w:t xml:space="preserve">            b = part * v / (h_base + (ratio_peak - 1) * h_peak)</w:t>
        <w:br/>
        <w:t xml:space="preserve">            mix[(produit, "Base")] = b</w:t>
        <w:br/>
        <w:t xml:space="preserve">            mix[(produit, "Peak")] = b * (ratio_peak - 1)</w:t>
        <w:br/>
        <w:t xml:space="preserve">        else:</w:t>
        <w:br/>
        <w:t xml:space="preserve">            mix[(produit, "Base")] = part * v / h_base</w:t>
        <w:br/>
        <w:t xml:space="preserve">    return mix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cal</w:t>
      </w:r>
      <w:r>
        <w:t xml:space="preserve"> — un seul ruban : </w:t>
      </w:r>
      <w:r>
        <w:rPr>
          <w:rStyle w:val="CodeChar"/>
        </w:rPr>
        <w:t xml:space="preserve">MW = part × volume annuel / 8760</w:t>
      </w:r>
      <w:r>
        <w:t xml:space="preserve">. La puissance livrée est la même en janvier et en août, alors que la consommation ne l'est pas.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trimestres</w:t>
      </w:r>
      <w:r>
        <w:t xml:space="preserve"> — un ruban par trimestre, dimensionné sur le volume </w:t>
      </w:r>
      <w:r>
        <w:rPr>
          <w:b/>
        </w:rPr>
        <w:t xml:space="preserve">de ce trimestre</w:t>
      </w:r>
      <w:r>
        <w:t xml:space="preserve">. La couverture suit la saisonnalité.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trimestres+peak</w:t>
      </w:r>
      <w:r>
        <w:t xml:space="preserve"> — on ajoute un bloc Peak tel que </w:t>
      </w:r>
      <w:r>
        <w:rPr>
          <w:rStyle w:val="CodeChar"/>
        </w:rPr>
        <w:t xml:space="preserve">(Base + Peak) / Base</w:t>
      </w:r>
      <w:r>
        <w:t xml:space="preserve"> égale le ratio de forme peak/off-peak de notre charge (1,32). La couverture suit alors aussi la forme intra-journalière.</w:t>
      </w:r>
    </w:p>
    <w:p>
      <w:pPr/>
      <w:r>
        <w:t xml:space="preserve">Pour ce dernier cas, le système à résoudre est : </w:t>
      </w:r>
      <w:r>
        <w:rPr>
          <w:rStyle w:val="CodeChar"/>
        </w:rPr>
        <w:t xml:space="preserve">B·H_total + P·H_peak = part × V</w:t>
      </w:r>
      <w:r>
        <w:t xml:space="preserve"> et </w:t>
      </w:r>
      <w:r>
        <w:rPr>
          <w:rStyle w:val="CodeChar"/>
        </w:rPr>
        <w:t xml:space="preserve">(B+P)/B = ratio</w:t>
      </w:r>
      <w:r>
        <w:t xml:space="preserve">, d'où </w:t>
      </w:r>
      <w:r>
        <w:rPr>
          <w:rStyle w:val="CodeChar"/>
        </w:rPr>
        <w:t xml:space="preserve">P = B(ratio−1)</w:t>
      </w:r>
      <w:r>
        <w:t xml:space="preserve"> puis </w:t>
      </w:r>
      <w:r>
        <w:rPr>
          <w:rStyle w:val="CodeChar"/>
        </w:rPr>
        <w:t xml:space="preserve">B = part·V / (H_total + (ratio−1)·H_peak)</w:t>
      </w:r>
      <w:r>
        <w:t xml:space="preserve">. C'est exactement la ligne du code.</w:t>
      </w:r>
    </w:p>
    <w:p>
      <w:pPr>
        <w:pStyle w:val="Heading3"/>
      </w:pPr>
      <w:r>
        <w:t xml:space="preserve">Le résultat, à couverture identique (70 %, soit 375 639 MWh)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Mix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Produits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Coût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€/MWh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cal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31,29 M€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83,31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trimestres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32,89 M€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87,55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trimestres + peak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33,47 M€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89,11</w:t>
            </w:r>
          </w:p>
        </w:tc>
      </w:tr>
    </w:tbl>
    <w:p>
      <w:pPr/>
      <w:r>
        <w:t xml:space="preserve">Le détail du strip trimestriel aux prix du T1 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Produit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MW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Heures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MWh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Prix T1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Coût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Q1-27 Base</w:t>
            </w:r>
          </w:p>
        </w:tc>
        <w:tc>
          <w:tcPr>
            <w:tcW w:w="1560" w:type="dxa"/>
          </w:tcPr>
          <w:p>
            <w:pPr/>
            <w:r>
              <w:t xml:space="preserve">49,58</w:t>
            </w:r>
          </w:p>
        </w:tc>
        <w:tc>
          <w:tcPr>
            <w:tcW w:w="1560" w:type="dxa"/>
          </w:tcPr>
          <w:p>
            <w:pPr/>
            <w:r>
              <w:t xml:space="preserve">2 159</w:t>
            </w:r>
          </w:p>
        </w:tc>
        <w:tc>
          <w:tcPr>
            <w:tcW w:w="1560" w:type="dxa"/>
          </w:tcPr>
          <w:p>
            <w:pPr/>
            <w:r>
              <w:t xml:space="preserve">107 054</w:t>
            </w:r>
          </w:p>
        </w:tc>
        <w:tc>
          <w:tcPr>
            <w:tcW w:w="1560" w:type="dxa"/>
          </w:tcPr>
          <w:p>
            <w:pPr/>
            <w:r>
              <w:t xml:space="preserve">139,00</w:t>
            </w:r>
          </w:p>
        </w:tc>
        <w:tc>
          <w:tcPr>
            <w:tcW w:w="1560" w:type="dxa"/>
          </w:tcPr>
          <w:p>
            <w:pPr/>
            <w:r>
              <w:t xml:space="preserve">14,88 M€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Q2-27 Base</w:t>
            </w:r>
          </w:p>
        </w:tc>
        <w:tc>
          <w:tcPr>
            <w:tcW w:w="1560" w:type="dxa"/>
          </w:tcPr>
          <w:p>
            <w:pPr/>
            <w:r>
              <w:t xml:space="preserve">37,91</w:t>
            </w:r>
          </w:p>
        </w:tc>
        <w:tc>
          <w:tcPr>
            <w:tcW w:w="1560" w:type="dxa"/>
          </w:tcPr>
          <w:p>
            <w:pPr/>
            <w:r>
              <w:t xml:space="preserve">2 184</w:t>
            </w:r>
          </w:p>
        </w:tc>
        <w:tc>
          <w:tcPr>
            <w:tcW w:w="1560" w:type="dxa"/>
          </w:tcPr>
          <w:p>
            <w:pPr/>
            <w:r>
              <w:t xml:space="preserve">82 805</w:t>
            </w:r>
          </w:p>
        </w:tc>
        <w:tc>
          <w:tcPr>
            <w:tcW w:w="1560" w:type="dxa"/>
          </w:tcPr>
          <w:p>
            <w:pPr/>
            <w:r>
              <w:t xml:space="preserve">45,18</w:t>
            </w:r>
          </w:p>
        </w:tc>
        <w:tc>
          <w:tcPr>
            <w:tcW w:w="1560" w:type="dxa"/>
          </w:tcPr>
          <w:p>
            <w:pPr/>
            <w:r>
              <w:t xml:space="preserve">3,74 M€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Q3-27 Base</w:t>
            </w:r>
          </w:p>
        </w:tc>
        <w:tc>
          <w:tcPr>
            <w:tcW w:w="1560" w:type="dxa"/>
          </w:tcPr>
          <w:p>
            <w:pPr/>
            <w:r>
              <w:t xml:space="preserve">36,47</w:t>
            </w:r>
          </w:p>
        </w:tc>
        <w:tc>
          <w:tcPr>
            <w:tcW w:w="1560" w:type="dxa"/>
          </w:tcPr>
          <w:p>
            <w:pPr/>
            <w:r>
              <w:t xml:space="preserve">2 208</w:t>
            </w:r>
          </w:p>
        </w:tc>
        <w:tc>
          <w:tcPr>
            <w:tcW w:w="1560" w:type="dxa"/>
          </w:tcPr>
          <w:p>
            <w:pPr/>
            <w:r>
              <w:t xml:space="preserve">80 517</w:t>
            </w:r>
          </w:p>
        </w:tc>
        <w:tc>
          <w:tcPr>
            <w:tcW w:w="1560" w:type="dxa"/>
          </w:tcPr>
          <w:p>
            <w:pPr/>
            <w:r>
              <w:t xml:space="preserve">61,09</w:t>
            </w:r>
          </w:p>
        </w:tc>
        <w:tc>
          <w:tcPr>
            <w:tcW w:w="1560" w:type="dxa"/>
          </w:tcPr>
          <w:p>
            <w:pPr/>
            <w:r>
              <w:t xml:space="preserve">4,92 M€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Q4-27 Base</w:t>
            </w:r>
          </w:p>
        </w:tc>
        <w:tc>
          <w:tcPr>
            <w:tcW w:w="1560" w:type="dxa"/>
          </w:tcPr>
          <w:p>
            <w:pPr/>
            <w:r>
              <w:t xml:space="preserve">47,65</w:t>
            </w:r>
          </w:p>
        </w:tc>
        <w:tc>
          <w:tcPr>
            <w:tcW w:w="1560" w:type="dxa"/>
          </w:tcPr>
          <w:p>
            <w:pPr/>
            <w:r>
              <w:t xml:space="preserve">2 209</w:t>
            </w:r>
          </w:p>
        </w:tc>
        <w:tc>
          <w:tcPr>
            <w:tcW w:w="1560" w:type="dxa"/>
          </w:tcPr>
          <w:p>
            <w:pPr/>
            <w:r>
              <w:t xml:space="preserve">105 263</w:t>
            </w:r>
          </w:p>
        </w:tc>
        <w:tc>
          <w:tcPr>
            <w:tcW w:w="1560" w:type="dxa"/>
          </w:tcPr>
          <w:p>
            <w:pPr/>
            <w:r>
              <w:t xml:space="preserve">88,78</w:t>
            </w:r>
          </w:p>
        </w:tc>
        <w:tc>
          <w:tcPr>
            <w:tcW w:w="1560" w:type="dxa"/>
          </w:tcPr>
          <w:p>
            <w:pPr/>
            <w:r>
              <w:t xml:space="preserve">9,35 M€</w:t>
            </w:r>
          </w:p>
        </w:tc>
      </w:tr>
    </w:tbl>
    <w:p>
      <w:pPr>
        <w:pStyle w:val="Heading3"/>
      </w:pPr>
      <w:r>
        <w:t xml:space="preserve">Deux lectures à ne pas rater</w:t>
      </w:r>
    </w:p>
    <w:p>
      <w:pPr/>
      <w:r>
        <w:rPr>
          <w:b/>
        </w:rPr>
        <w:t xml:space="preserve">Suivre la forme coûte 4,24 €/MWh.</w:t>
      </w:r>
      <w:r>
        <w:t xml:space="preserve"> Le ruban plat est le moins cher parce que le marché price une forte prime d'hiver (Q1-27 à 139 € contre 83,31 pour le Cal). Mais avec un ruban plat on est sous-couvert en janvier et sur-couvert en juillet : on reste exposé au spot exactement quand il est cher. C'est l'arbitrage, et le §3.4 demande qu'il soit </w:t>
      </w:r>
      <w:r>
        <w:rPr>
          <w:b/>
        </w:rPr>
        <w:t xml:space="preserve">argumenté</w:t>
      </w:r>
      <w:r>
        <w:t xml:space="preserve">, pas tranché par défaut.</w:t>
      </w:r>
    </w:p>
    <w:p>
      <w:pPr/>
      <w:r>
        <w:rPr>
          <w:b/>
        </w:rPr>
        <w:t xml:space="preserve">En Q2 et Q3, le Peak est moins cher que le Base</w:t>
      </w:r>
      <w:r>
        <w:t xml:space="preserve"> (35,04 contre 42,47 ; 48,52 contre 56,20). C'est la cannibalisation solaire : le photovoltaïque écrase les prix de milieu de journée. Comme nos profils pointent le soir (RES1 à 19h30), le Peak nous sert mal </w:t>
      </w:r>
      <w:r>
        <w:rPr>
          <w:b/>
        </w:rPr>
        <w:t xml:space="preserve">même bon marché</w:t>
      </w:r>
      <w:r>
        <w:t xml:space="preserve">. Rester en Base devient un choix justifié au lieu d'un choix par défaut.</w:t>
      </w:r>
    </w:p>
    <w:p>
      <w:pPr>
        <w:pStyle w:val="Heading3"/>
      </w:pPr>
      <w:r>
        <w:t xml:space="preserve">Ce qu'il faut savoir dire</w:t>
      </w:r>
    </w:p>
    <w:p>
      <w:pPr>
        <w:pStyle w:val="ListParagraph"/>
        <w:numPr>
          <w:ilvl w:val="0"/>
          <w:numId w:val="14"/>
        </w:numPr>
      </w:pPr>
      <w:r>
        <w:t xml:space="preserve">Qu'un pourcentage sans MW par produit ne répond pas à la question posée.</w:t>
      </w:r>
    </w:p>
    <w:p>
      <w:pPr>
        <w:pStyle w:val="ListParagraph"/>
        <w:numPr>
          <w:ilvl w:val="0"/>
          <w:numId w:val="14"/>
        </w:numPr>
      </w:pPr>
      <w:r>
        <w:t xml:space="preserve">Que la couverture totale ne doit </w:t>
      </w:r>
      <w:r>
        <w:rPr>
          <w:b/>
        </w:rPr>
        <w:t xml:space="preserve">jamais dépasser 100 %</w:t>
      </w:r>
      <w:r>
        <w:t xml:space="preserve"> du volume prévisionnel — le code affiche les deux ratios, sur la prévision et sur le réalisé.</w:t>
      </w:r>
    </w:p>
    <w:p>
      <w:pPr>
        <w:pStyle w:val="ListParagraph"/>
        <w:numPr>
          <w:ilvl w:val="0"/>
          <w:numId w:val="14"/>
        </w:numPr>
      </w:pPr>
      <w:r>
        <w:t xml:space="preserve">Pourquoi acheter du Peak d'été serait une erreur malgré son prix.</w:t>
      </w:r>
    </w:p>
    <w:p>
      <w:pPr>
        <w:pStyle w:val="Heading2"/>
      </w:pPr>
      <w:r>
        <w:t xml:space="preserve">Étape 12 — Les marges et le choix de stratégie</w:t>
      </w:r>
    </w:p>
    <w:p>
      <w:pPr/>
      <w:r>
        <w:t xml:space="preserve">La règle de décision n'est pas « la meilleure espérance », c'est </w:t>
      </w:r>
      <w:r>
        <w:rPr>
          <w:b/>
        </w:rPr>
        <w:t xml:space="preserve">la meilleure espérance parmi celles dont le pire cas tient le plancher</w:t>
      </w:r>
      <w:r>
        <w:t xml:space="preserve">. Une maximisation sous contrainte, pas une optimisation libre.</w:t>
      </w:r>
    </w:p>
    <w:p>
      <w:pPr>
        <w:pStyle w:val="Heading3"/>
      </w:pPr>
      <w:r>
        <w:t xml:space="preserve">Les paramètres, imposés à toutes les équipes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Paramètre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Valeur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Dans le code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Prix de vente, composante énergie</w:t>
            </w:r>
          </w:p>
        </w:tc>
        <w:tc>
          <w:tcPr>
            <w:tcW w:w="3120" w:type="dxa"/>
          </w:tcPr>
          <w:p>
            <w:pPr/>
            <w:r>
              <w:t xml:space="preserve">95 €/MWh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PRIX_VENTE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Marge cible</w:t>
            </w:r>
          </w:p>
        </w:tc>
        <w:tc>
          <w:tcPr>
            <w:tcW w:w="3120" w:type="dxa"/>
          </w:tcPr>
          <w:p>
            <w:pPr/>
            <w:r>
              <w:t xml:space="preserve">10 €/MWh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MARGE_CIBLE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Plancher de risque (pire cas minimum)</w:t>
            </w:r>
          </w:p>
        </w:tc>
        <w:tc>
          <w:tcPr>
            <w:tcW w:w="3120" w:type="dxa"/>
          </w:tcPr>
          <w:p>
            <w:pPr/>
            <w:r>
              <w:t xml:space="preserve">5 €/MWh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PLANCHER_RISQUE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Prime de risque forward</w:t>
            </w:r>
          </w:p>
        </w:tc>
        <w:tc>
          <w:tcPr>
            <w:tcW w:w="3120" w:type="dxa"/>
          </w:tcPr>
          <w:p>
            <w:pPr/>
            <w:r>
              <w:t xml:space="preserve">3 %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PRIME_DE_RISQUE</w:t>
            </w:r>
          </w:p>
        </w:tc>
      </w:tr>
    </w:tbl>
    <w:p>
      <w:pPr/>
      <w:r>
        <w:t xml:space="preserve">Aucun des quatre n'est une décision d'équipe : ils viennent du §2.2.</w:t>
      </w:r>
    </w:p>
    <w:p>
      <w:pPr>
        <w:pStyle w:val="Heading3"/>
      </w:pPr>
      <w:r>
        <w:t xml:space="preserve">Le calcul de la marge</w:t>
      </w:r>
    </w:p>
    <w:p>
      <w:pPr/>
      <w:r>
        <w:t xml:space="preserve">Le cours la pose en mots, session 4 page 24 :</w:t>
      </w:r>
    </w:p>
    <w:p>
      <w:pPr>
        <w:pStyle w:val="Quote"/>
      </w:pPr>
      <w:r>
        <w:rPr>
          <w:rStyle w:val="CodeChar"/>
        </w:rPr>
        <w:t xml:space="preserve">Margin = Sales revenue − Cost of hedges − Cost of the residual volume at spot prices</w:t>
      </w:r>
    </w:p>
    <w:p>
      <w:pPr/>
      <w:r>
        <w:t xml:space="preserve">avec, sous le dernier terme, l'annotation </w:t>
      </w:r>
      <w:r>
        <w:rPr>
          <w:i/>
        </w:rPr>
        <w:t xml:space="preserve">bought </w:t>
      </w:r>
      <w:r>
        <w:rPr>
          <w:b/>
          <w:i/>
        </w:rPr>
        <w:t xml:space="preserve">or sold back</w:t>
      </w:r>
      <w:r>
        <w:t xml:space="preserve">. L'exercice corrigé de la session 3 en donne une seconde écriture, algébriquement identique : </w:t>
      </w:r>
      <w:r>
        <w:rPr>
          <w:rStyle w:val="CodeChar"/>
        </w:rPr>
        <w:t xml:space="preserve">marge = (prix de vente − coût moyen de l'énergie) × volume</w:t>
      </w:r>
      <w:r>
        <w:t xml:space="preserve">. Développée terme à terme, elle devient :</w:t>
      </w:r>
    </w:p>
    <w:p>
      <w:pPr>
        <w:pStyle w:val="Code"/>
      </w:pPr>
      <w:bookmarkStart w:id="29" w:name="bongo_lang_latex_29"/>
      <w:bookmarkEnd w:id="29"/>
      <w:r>
        <w:t xml:space="preserve">\text{marge} = P_{\text{vente}} \times V - C_{T1} - C_{T2} - \sum_h (\text{charge}_h - \text{livré}_h) \times \text{spot}_h</w:t>
      </w:r>
    </w:p>
    <w:p/>
    <w:p>
      <w:pPr>
        <w:pStyle w:val="Code"/>
      </w:pPr>
      <w:bookmarkStart w:id="30" w:name="bongo_lang_python_30"/>
      <w:bookmarkEnd w:id="30"/>
      <w:r>
        <w:t xml:space="preserve">def marge(scenario, h1, h2, volumes_q, alpha=None, forme=None, prix_vente=PRIX_VENTE):</w:t>
        <w:br/>
        <w:t xml:space="preserve">    v_ref = scenario["energie_normale"]          # le 100 % des ratios</w:t>
        <w:br/>
        <w:t xml:space="preserve">    forward_t2 = sc.forward_t2_anticipe(scenario["niveau"], alpha)</w:t>
        <w:br/>
        <w:br/>
        <w:t xml:space="preserve">    mix_t1 = construire_mix(h1, volumes_q, index, forme)</w:t>
        <w:br/>
        <w:t xml:space="preserve">    livre_t1 = livraison(mix_t1, index)</w:t>
        <w:br/>
        <w:t xml:space="preserve">    mw_t2 = h2 * v_ref / len(index)              # tranche T2 : ruban, prix encore inconnu</w:t>
        <w:br/>
        <w:t xml:space="preserve">    residuel = courbe["charge_MW"] - livre_t1 - mw_t2</w:t>
        <w:br/>
        <w:br/>
        <w:t xml:space="preserve">    cout = (cout_mix(mix_t1, index, "T1") + h2 * v_ref * forward_t2</w:t>
        <w:br/>
        <w:t xml:space="preserve">            + float((residuel * courbe["spot_EUR_MWh"]).sum()))</w:t>
        <w:br/>
        <w:t xml:space="preserve">    marge_eur = prix_vente * scenario["energie_scenario"] - cout</w:t>
      </w:r>
    </w:p>
    <w:p>
      <w:pPr/>
      <w:r>
        <w:t xml:space="preserve">Trois choses s'y jouent :</w:t>
      </w:r>
    </w:p>
    <w:p>
      <w:pPr>
        <w:pStyle w:val="ListParagraph"/>
        <w:numPr>
          <w:ilvl w:val="0"/>
          <w:numId w:val="15"/>
        </w:numPr>
      </w:pPr>
      <w:r>
        <w:t xml:space="preserve">la </w:t>
      </w:r>
      <w:r>
        <w:rPr>
          <w:b/>
        </w:rPr>
        <w:t xml:space="preserve">tranche T1</w:t>
      </w:r>
      <w:r>
        <w:t xml:space="preserve"> est un vrai mix de produits, aux vrais prix EEX du 22/09 ;</w:t>
      </w:r>
    </w:p>
    <w:p>
      <w:pPr>
        <w:pStyle w:val="ListParagraph"/>
        <w:numPr>
          <w:ilvl w:val="0"/>
          <w:numId w:val="15"/>
        </w:numPr>
      </w:pPr>
      <w:r>
        <w:t xml:space="preserve">la </w:t>
      </w:r>
      <w:r>
        <w:rPr>
          <w:b/>
        </w:rPr>
        <w:t xml:space="preserve">tranche T2</w:t>
      </w:r>
      <w:r>
        <w:t xml:space="preserve"> est un ruban plat valorisé au forward </w:t>
      </w:r>
      <w:r>
        <w:rPr>
          <w:i/>
        </w:rPr>
        <w:t xml:space="preserve">anticipé</w:t>
      </w:r>
      <w:r>
        <w:t xml:space="preserve"> : au T1 on ne connaît ni le prix, ni les produits qu'on achètera ;</w:t>
      </w:r>
    </w:p>
    <w:p>
      <w:pPr>
        <w:pStyle w:val="ListParagraph"/>
        <w:numPr>
          <w:ilvl w:val="0"/>
          <w:numId w:val="15"/>
        </w:numPr>
      </w:pPr>
      <w:r>
        <w:t xml:space="preserve">le </w:t>
      </w:r>
      <w:r>
        <w:rPr>
          <w:b/>
        </w:rPr>
        <w:t xml:space="preserve">résiduel</w:t>
      </w:r>
      <w:r>
        <w:t xml:space="preserve"> passe au spot heure par heure, et il peut être négatif : s'il l'est, on </w:t>
      </w:r>
      <w:r>
        <w:rPr>
          <w:b/>
        </w:rPr>
        <w:t xml:space="preserve">revend</w:t>
      </w:r>
      <w:r>
        <w:t xml:space="preserve">. Le §3.5 l'exige nommément (</w:t>
      </w:r>
      <w:r>
        <w:rPr>
          <w:i/>
        </w:rPr>
        <w:t xml:space="preserve">bought or sold back at the scenario's spot prices</w:t>
      </w:r>
      <w:r>
        <w:t xml:space="preserve">).</w:t>
      </w:r>
    </w:p>
    <w:p>
      <w:pPr>
        <w:pStyle w:val="Heading3"/>
      </w:pPr>
      <w:r>
        <w:t xml:space="preserve">Pourquoi la somme est à l'intérieur, et ce que coûterait l'inverse</w:t>
      </w:r>
    </w:p>
    <w:p>
      <w:pPr/>
      <w:r>
        <w:t xml:space="preserve">L'exercice de la session 3 simplifie délibérément : </w:t>
      </w:r>
      <w:r>
        <w:rPr>
          <w:i/>
        </w:rPr>
        <w:t xml:space="preserve">any volume left uncovered is bought at the </w:t>
      </w:r>
      <w:r>
        <w:rPr>
          <w:b/>
          <w:i/>
        </w:rPr>
        <w:t xml:space="preserve">average spot price of the year</w:t>
      </w:r>
      <w:r>
        <w:t xml:space="preserve">. Un seul prix pour toute l'année, pour que l'arithmétique reste faisable à la main. Appliquée à notre portefeuille, cette simplification donnerait 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Scénario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Marge horaire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Marge au spot moyen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Écart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2021</w:t>
            </w:r>
          </w:p>
        </w:tc>
        <w:tc>
          <w:tcPr>
            <w:tcW w:w="2340" w:type="dxa"/>
          </w:tcPr>
          <w:p>
            <w:pPr/>
            <w:r>
              <w:t xml:space="preserve">4,02</w:t>
            </w:r>
          </w:p>
        </w:tc>
        <w:tc>
          <w:tcPr>
            <w:tcW w:w="2340" w:type="dxa"/>
          </w:tcPr>
          <w:p>
            <w:pPr/>
            <w:r>
              <w:t xml:space="preserve">9,24</w:t>
            </w:r>
          </w:p>
        </w:tc>
        <w:tc>
          <w:tcPr>
            <w:tcW w:w="2340" w:type="dxa"/>
          </w:tcPr>
          <w:p>
            <w:pPr/>
            <w:r>
              <w:t xml:space="preserve">+5,22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2023</w:t>
            </w:r>
          </w:p>
        </w:tc>
        <w:tc>
          <w:tcPr>
            <w:tcW w:w="2340" w:type="dxa"/>
          </w:tcPr>
          <w:p>
            <w:pPr/>
            <w:r>
              <w:t xml:space="preserve">6,30</w:t>
            </w:r>
          </w:p>
        </w:tc>
        <w:tc>
          <w:tcPr>
            <w:tcW w:w="2340" w:type="dxa"/>
          </w:tcPr>
          <w:p>
            <w:pPr/>
            <w:r>
              <w:t xml:space="preserve">9,68</w:t>
            </w:r>
          </w:p>
        </w:tc>
        <w:tc>
          <w:tcPr>
            <w:tcW w:w="2340" w:type="dxa"/>
          </w:tcPr>
          <w:p>
            <w:pPr/>
            <w:r>
              <w:t xml:space="preserve">+3,38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2024</w:t>
            </w:r>
          </w:p>
        </w:tc>
        <w:tc>
          <w:tcPr>
            <w:tcW w:w="2340" w:type="dxa"/>
          </w:tcPr>
          <w:p>
            <w:pPr/>
            <w:r>
              <w:t xml:space="preserve">5,72</w:t>
            </w:r>
          </w:p>
        </w:tc>
        <w:tc>
          <w:tcPr>
            <w:tcW w:w="2340" w:type="dxa"/>
          </w:tcPr>
          <w:p>
            <w:pPr/>
            <w:r>
              <w:t xml:space="preserve">9,77</w:t>
            </w:r>
          </w:p>
        </w:tc>
        <w:tc>
          <w:tcPr>
            <w:tcW w:w="2340" w:type="dxa"/>
          </w:tcPr>
          <w:p>
            <w:pPr/>
            <w:r>
              <w:t xml:space="preserve">+4,04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choc +20 %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−0,24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6,02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+6,26</w:t>
            </w:r>
          </w:p>
        </w:tc>
      </w:tr>
    </w:tbl>
    <w:p>
      <w:pPr/>
      <w:r>
        <w:t xml:space="preserve">La marge serait surestimée de 3,4 à 6,3 €/MWh, et surtout </w:t>
      </w:r>
      <w:r>
        <w:rPr>
          <w:b/>
        </w:rPr>
        <w:t xml:space="preserve">les quatre scénarios franchiraient le plancher de 5 €/MWh</w:t>
      </w:r>
      <w:r>
        <w:t xml:space="preserve">. Le modèle conclurait que tout va bien.</w:t>
      </w:r>
    </w:p>
    <w:p>
      <w:pPr/>
      <w:r>
        <w:t xml:space="preserve">La raison tient en une phrase : on achète le manque </w:t>
      </w:r>
      <w:r>
        <w:rPr>
          <w:b/>
        </w:rPr>
        <w:t xml:space="preserve">quand le prix est haut</w:t>
      </w:r>
      <w:r>
        <w:t xml:space="preserve"> (janvier, 19 h) et on revend l'excédent </w:t>
      </w:r>
      <w:r>
        <w:rPr>
          <w:b/>
        </w:rPr>
        <w:t xml:space="preserve">quand il est bas</w:t>
      </w:r>
      <w:r>
        <w:t xml:space="preserve"> (août, 4 h du matin). Prendre un prix moyen annuel revient à supposer qu'on achète indifféremment à n'importe quelle heure.</w:t>
      </w:r>
    </w:p>
    <w:p>
      <w:pPr/>
      <w:r>
        <w:t xml:space="preserve">C'est exactement ce que démontre la Part 3 de ce même exercice : risque de volume seul 75 k€, risque de prix seul 0, les deux ensemble 165 k€ — </w:t>
      </w:r>
      <w:r>
        <w:rPr>
          <w:i/>
        </w:rPr>
        <w:t xml:space="preserve">the 90 of difference cannot be attributed to either one: it comes from their correlation</w:t>
      </w:r>
      <w:r>
        <w:t xml:space="preserve">. D'où l'exigence du §3.5 : </w:t>
      </w:r>
      <w:r>
        <w:rPr>
          <w:b/>
        </w:rPr>
        <w:t xml:space="preserve">hour by hour or day by day</w:t>
      </w:r>
      <w:r>
        <w:t xml:space="preserve">.</w:t>
      </w:r>
    </w:p>
    <w:p>
      <w:pPr>
        <w:pStyle w:val="Heading3"/>
      </w:pPr>
      <w:r>
        <w:t xml:space="preserve">Pourquoi un quatrième scénario de choc</w:t>
      </w:r>
    </w:p>
    <w:p>
      <w:pPr/>
      <w:r>
        <w:t xml:space="preserve">Il faut l'assumer franchement : par construction </w:t>
      </w:r>
      <w:r>
        <w:rPr>
          <w:rStyle w:val="CodeChar"/>
        </w:rPr>
        <w:t xml:space="preserve">Level = forward × (1 − 3 %)</w:t>
      </w:r>
      <w:r>
        <w:t xml:space="preserve">, donc </w:t>
      </w:r>
      <w:r>
        <w:rPr>
          <w:b/>
        </w:rPr>
        <w:t xml:space="preserve">l'espérance du spot est toujours sous le forward</w:t>
      </w:r>
      <w:r>
        <w:t xml:space="preserve">. Un modèle qui ne contient que des scénarios météo conclut mécaniquement « ne jamais se couvrir ». Ce n'est pas un résultat, c'est un artéfact de la méthode.</w:t>
      </w:r>
    </w:p>
    <w:p>
      <w:pPr/>
      <w:r>
        <w:t xml:space="preserve">Le §3.2 prévoit exactement le remède : </w:t>
      </w:r>
      <w:r>
        <w:rPr>
          <w:i/>
        </w:rPr>
        <w:t xml:space="preserve">a documented sensitivity such as a price-level shock justified by fundamentals rather than by weather</w:t>
      </w:r>
      <w:r>
        <w:t xml:space="preserve">.</w:t>
      </w:r>
    </w:p>
    <w:p>
      <w:pPr>
        <w:pStyle w:val="Code"/>
      </w:pPr>
      <w:bookmarkStart w:id="31" w:name="bongo_lang_python_31"/>
      <w:bookmarkEnd w:id="31"/>
      <w:r>
        <w:t xml:space="preserve">CHOC_FONDAMENTAL = 0.20    # 0.0 pour desactiver le scenario de choc</w:t>
        <w:br/>
        <w:t xml:space="preserve">PROBA_CHOC = 0.15          # probabilite du choc (queue haute a 1 sigma)</w:t>
      </w:r>
    </w:p>
    <w:p>
      <w:pPr/>
      <w:r>
        <w:t xml:space="preserve">Le choc reprend la météo de l'année la plus froide et ancre son Level sur </w:t>
      </w:r>
      <w:r>
        <w:rPr>
          <w:rStyle w:val="CodeChar"/>
        </w:rPr>
        <w:t xml:space="preserve">forward × 1,20</w:t>
      </w:r>
      <w:r>
        <w:t xml:space="preserve">. Le +20 % est la volatilité annuelle CRE, le 15 % correspond à la queue haute à 1 sigma. </w:t>
      </w:r>
      <w:r>
        <w:rPr>
          <w:b/>
        </w:rPr>
        <w:t xml:space="preserve">Ces deux valeurs sont des choix à défendre</w:t>
      </w:r>
      <w:r>
        <w:t xml:space="preserve">, pas des données : c'est le seul endroit du modèle où vous mettez une opinion.</w:t>
      </w:r>
    </w:p>
    <w:p>
      <w:pPr>
        <w:pStyle w:val="Heading3"/>
      </w:pPr>
      <w:r>
        <w:t xml:space="preserve">Les résultats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Stratégie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2021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2023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2024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choc +20 %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Espérance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Pire cas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b/>
              </w:rPr>
              <w:t xml:space="preserve">Notre 70/20/10</w:t>
            </w:r>
          </w:p>
        </w:tc>
        <w:tc>
          <w:tcPr>
            <w:tcW w:w="1337" w:type="dxa"/>
          </w:tcPr>
          <w:p>
            <w:pPr/>
            <w:r>
              <w:t xml:space="preserve">4,02</w:t>
            </w:r>
          </w:p>
        </w:tc>
        <w:tc>
          <w:tcPr>
            <w:tcW w:w="1337" w:type="dxa"/>
          </w:tcPr>
          <w:p>
            <w:pPr/>
            <w:r>
              <w:t xml:space="preserve">6,30</w:t>
            </w:r>
          </w:p>
        </w:tc>
        <w:tc>
          <w:tcPr>
            <w:tcW w:w="1337" w:type="dxa"/>
          </w:tcPr>
          <w:p>
            <w:pPr/>
            <w:r>
              <w:t xml:space="preserve">5,72</w:t>
            </w:r>
          </w:p>
        </w:tc>
        <w:tc>
          <w:tcPr>
            <w:tcW w:w="1337" w:type="dxa"/>
          </w:tcPr>
          <w:p>
            <w:pPr/>
            <w:r>
              <w:t xml:space="preserve">−0,24</w:t>
            </w:r>
          </w:p>
        </w:tc>
        <w:tc>
          <w:tcPr>
            <w:tcW w:w="1337" w:type="dxa"/>
          </w:tcPr>
          <w:p>
            <w:pPr/>
            <w:r>
              <w:t xml:space="preserve">4,51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−0,24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Variante 50/25/25</w:t>
            </w:r>
          </w:p>
        </w:tc>
        <w:tc>
          <w:tcPr>
            <w:tcW w:w="1337" w:type="dxa"/>
          </w:tcPr>
          <w:p>
            <w:pPr/>
            <w:r>
              <w:t xml:space="preserve">4,91</w:t>
            </w:r>
          </w:p>
        </w:tc>
        <w:tc>
          <w:tcPr>
            <w:tcW w:w="1337" w:type="dxa"/>
          </w:tcPr>
          <w:p>
            <w:pPr/>
            <w:r>
              <w:t xml:space="preserve">7,88</w:t>
            </w:r>
          </w:p>
        </w:tc>
        <w:tc>
          <w:tcPr>
            <w:tcW w:w="1337" w:type="dxa"/>
          </w:tcPr>
          <w:p>
            <w:pPr/>
            <w:r>
              <w:t xml:space="preserve">7,07</w:t>
            </w:r>
          </w:p>
        </w:tc>
        <w:tc>
          <w:tcPr>
            <w:tcW w:w="1337" w:type="dxa"/>
          </w:tcPr>
          <w:p>
            <w:pPr/>
            <w:r>
              <w:t xml:space="preserve">−2,26</w:t>
            </w:r>
          </w:p>
        </w:tc>
        <w:tc>
          <w:tcPr>
            <w:tcW w:w="1337" w:type="dxa"/>
          </w:tcPr>
          <w:p>
            <w:pPr/>
            <w:r>
              <w:t xml:space="preserve">5,29</w:t>
            </w:r>
          </w:p>
        </w:tc>
        <w:tc>
          <w:tcPr>
            <w:tcW w:w="1337" w:type="dxa"/>
          </w:tcPr>
          <w:p>
            <w:pPr/>
            <w:r>
              <w:t xml:space="preserve">−2,26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B – peu couverte</w:t>
            </w:r>
          </w:p>
        </w:tc>
        <w:tc>
          <w:tcPr>
            <w:tcW w:w="1337" w:type="dxa"/>
          </w:tcPr>
          <w:p>
            <w:pPr/>
            <w:r>
              <w:t xml:space="preserve">5,20</w:t>
            </w:r>
          </w:p>
        </w:tc>
        <w:tc>
          <w:tcPr>
            <w:tcW w:w="1337" w:type="dxa"/>
          </w:tcPr>
          <w:p>
            <w:pPr/>
            <w:r>
              <w:t xml:space="preserve">8,33</w:t>
            </w:r>
          </w:p>
        </w:tc>
        <w:tc>
          <w:tcPr>
            <w:tcW w:w="1337" w:type="dxa"/>
          </w:tcPr>
          <w:p>
            <w:pPr/>
            <w:r>
              <w:t xml:space="preserve">7,38</w:t>
            </w:r>
          </w:p>
        </w:tc>
        <w:tc>
          <w:tcPr>
            <w:tcW w:w="1337" w:type="dxa"/>
          </w:tcPr>
          <w:p>
            <w:pPr/>
            <w:r>
              <w:t xml:space="preserve">−2,42</w:t>
            </w:r>
          </w:p>
        </w:tc>
        <w:tc>
          <w:tcPr>
            <w:tcW w:w="1337" w:type="dxa"/>
          </w:tcPr>
          <w:p>
            <w:pPr/>
            <w:r>
              <w:t xml:space="preserve">5,56</w:t>
            </w:r>
          </w:p>
        </w:tc>
        <w:tc>
          <w:tcPr>
            <w:tcW w:w="1337" w:type="dxa"/>
          </w:tcPr>
          <w:p>
            <w:pPr/>
            <w:r>
              <w:t xml:space="preserve">−2,42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 – totalement couverte</w:t>
            </w:r>
          </w:p>
        </w:tc>
        <w:tc>
          <w:tcPr>
            <w:tcW w:w="1337" w:type="dxa"/>
          </w:tcPr>
          <w:p>
            <w:pPr/>
            <w:r>
              <w:t xml:space="preserve">4,94</w:t>
            </w:r>
          </w:p>
        </w:tc>
        <w:tc>
          <w:tcPr>
            <w:tcW w:w="1337" w:type="dxa"/>
          </w:tcPr>
          <w:p>
            <w:pPr/>
            <w:r>
              <w:t xml:space="preserve">7,79</w:t>
            </w:r>
          </w:p>
        </w:tc>
        <w:tc>
          <w:tcPr>
            <w:tcW w:w="1337" w:type="dxa"/>
          </w:tcPr>
          <w:p>
            <w:pPr/>
            <w:r>
              <w:t xml:space="preserve">6,78</w:t>
            </w:r>
          </w:p>
        </w:tc>
        <w:tc>
          <w:tcPr>
            <w:tcW w:w="1337" w:type="dxa"/>
          </w:tcPr>
          <w:p>
            <w:pPr/>
            <w:r>
              <w:t xml:space="preserve">−1,07</w:t>
            </w:r>
          </w:p>
        </w:tc>
        <w:tc>
          <w:tcPr>
            <w:tcW w:w="1337" w:type="dxa"/>
          </w:tcPr>
          <w:p>
            <w:pPr/>
            <w:r>
              <w:t xml:space="preserve">5,37</w:t>
            </w:r>
          </w:p>
        </w:tc>
        <w:tc>
          <w:tcPr>
            <w:tcW w:w="1337" w:type="dxa"/>
          </w:tcPr>
          <w:p>
            <w:pPr/>
            <w:r>
              <w:t xml:space="preserve">−1,07</w:t>
            </w:r>
          </w:p>
        </w:tc>
      </w:tr>
    </w:tbl>
    <w:p>
      <w:pPr/>
      <w:r>
        <w:t xml:space="preserve">La relation est </w:t>
      </w:r>
      <w:r>
        <w:rPr>
          <w:b/>
        </w:rPr>
        <w:t xml:space="preserve">monotone</w:t>
      </w:r>
      <w:r>
        <w:t xml:space="preserve"> : plus on couvre, meilleur est le pire cas et plus faible est l'espérance. Trente et une combinaisons ont été balayées ; </w:t>
      </w:r>
      <w:r>
        <w:rPr>
          <w:b/>
        </w:rPr>
        <w:t xml:space="preserve">aucune ne tient le plancher de 5 €/MWh</w:t>
      </w:r>
      <w:r>
        <w:t xml:space="preserve">. Notre 70/20/10 est celle qui protège le mieux.</w:t>
      </w:r>
    </w:p>
    <w:p>
      <w:pPr>
        <w:pStyle w:val="Heading3"/>
      </w:pPr>
      <w:r>
        <w:t xml:space="preserve">Le coût de la protection</w:t>
      </w:r>
    </w:p>
    <w:p>
      <w:pPr/>
      <w:r>
        <w:t xml:space="preserve">Le §3.5 demande de chiffrer ce qu'on paie pour se protéger. Par rapport à la stratégie la moins couverte 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Espérance cédée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Pire cas gagné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Prix de la protection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Notre 70/20/10</w:t>
            </w:r>
          </w:p>
        </w:tc>
        <w:tc>
          <w:tcPr>
            <w:tcW w:w="2340" w:type="dxa"/>
          </w:tcPr>
          <w:p>
            <w:pPr/>
            <w:r>
              <w:t xml:space="preserve">0,78</w:t>
            </w:r>
          </w:p>
        </w:tc>
        <w:tc>
          <w:tcPr>
            <w:tcW w:w="2340" w:type="dxa"/>
          </w:tcPr>
          <w:p>
            <w:pPr/>
            <w:r>
              <w:t xml:space="preserve">2,02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0,39</w:t>
            </w:r>
          </w:p>
        </w:tc>
      </w:tr>
    </w:tbl>
    <w:p>
      <w:pPr/>
      <w:r>
        <w:t xml:space="preserve">On cède 0,39 €/MWh d'espérance pour chaque €/MWh de pire cas gagné. C'est la phrase qui fait passer l'étape 5 en Outstanding.</w:t>
      </w:r>
    </w:p>
    <w:p>
      <w:pPr>
        <w:pStyle w:val="Heading3"/>
      </w:pPr>
      <w:r>
        <w:t xml:space="preserve">La sensibilité, balayée automatiquement</w:t>
      </w:r>
    </w:p>
    <w:p>
      <w:pPr/>
      <w:r>
        <w:t xml:space="preserve">Le code teste quatre axes à chaque exécution : le plancher (0 à 10), la pente b (minimum annuel, mutualisée, maximum annuel), α (0,2 / 0,5 / 0,6) et le mix (cal / trimestres / +peak). </w:t>
      </w:r>
      <w:r>
        <w:rPr>
          <w:b/>
        </w:rPr>
        <w:t xml:space="preserve">Le classement des stratégies ne change sur aucun des quatre.</w:t>
      </w:r>
      <w:r>
        <w:t xml:space="preserve"> Une décision robuste est un résultat en soi — annoncez-le.</w:t>
      </w:r>
    </w:p>
    <w:p>
      <w:pPr>
        <w:pStyle w:val="Heading3"/>
      </w:pPr>
      <w:r>
        <w:t xml:space="preserve">La conclusion, et elle est honnête</w:t>
      </w:r>
    </w:p>
    <w:p>
      <w:pPr/>
      <w:r>
        <w:t xml:space="preserve">À 95 €/MWh imposés, le portefeuille </w:t>
      </w:r>
      <w:r>
        <w:rPr>
          <w:b/>
        </w:rPr>
        <w:t xml:space="preserve">ne finance pas</w:t>
      </w:r>
      <w:r>
        <w:t xml:space="preserve"> une marge protégée de 5 €/MWh. Il faudrait vendre à 98,07 €/MWh avec une couverture totale, ou 100,24 avec notre 70/20/10. Ce n'est pas un bug du modèle : c'est la réponse à la question que pose le §3.5, </w:t>
      </w:r>
      <w:r>
        <w:rPr>
          <w:i/>
        </w:rPr>
        <w:t xml:space="preserve">what would change your answer if the floor were higher or lower?</w:t>
      </w:r>
    </w:p>
    <w:p>
      <w:pPr>
        <w:pStyle w:val="Heading3"/>
      </w:pPr>
      <w:r>
        <w:t xml:space="preserve">Ce qu'il faut savoir dire</w:t>
      </w:r>
    </w:p>
    <w:p>
      <w:pPr>
        <w:pStyle w:val="ListParagraph"/>
        <w:numPr>
          <w:ilvl w:val="0"/>
          <w:numId w:val="16"/>
        </w:numPr>
      </w:pPr>
      <w:r>
        <w:t xml:space="preserve">La règle est </w:t>
      </w:r>
      <w:r>
        <w:rPr>
          <w:b/>
        </w:rPr>
        <w:t xml:space="preserve">max espérance sous contrainte de pire cas</w:t>
      </w:r>
      <w:r>
        <w:t xml:space="preserve">, et dans cet ordre.</w:t>
      </w:r>
    </w:p>
    <w:p>
      <w:pPr>
        <w:pStyle w:val="ListParagraph"/>
        <w:numPr>
          <w:ilvl w:val="0"/>
          <w:numId w:val="16"/>
        </w:numPr>
      </w:pPr>
      <w:r>
        <w:t xml:space="preserve">Pourquoi le scénario de choc est indispensable, et que ses deux paramètres sont vos choix.</w:t>
      </w:r>
    </w:p>
    <w:p>
      <w:pPr>
        <w:pStyle w:val="ListParagraph"/>
        <w:numPr>
          <w:ilvl w:val="0"/>
          <w:numId w:val="16"/>
        </w:numPr>
      </w:pPr>
      <w:r>
        <w:t xml:space="preserve">Que le plancher n'est pas atteint, </w:t>
      </w:r>
      <w:r>
        <w:rPr>
          <w:b/>
        </w:rPr>
        <w:t xml:space="preserve">pourquoi</w:t>
      </w:r>
      <w:r>
        <w:t xml:space="preserve">, et à quel prix de vente il le serait.</w:t>
      </w:r>
    </w:p>
    <w:p>
      <w:pPr>
        <w:pStyle w:val="Heading2"/>
      </w:pPr>
      <w:r>
        <w:t xml:space="preserve">Étape 13 — Le travail au T2</w:t>
      </w:r>
    </w:p>
    <w:p>
      <w:pPr/>
      <w:r>
        <w:t xml:space="preserve">La règle d'or du §4 : </w:t>
      </w:r>
      <w:r>
        <w:rPr>
          <w:b/>
        </w:rPr>
        <w:t xml:space="preserve">les achats du T1 sont un fait, pas une décision</w:t>
      </w:r>
      <w:r>
        <w:t xml:space="preserve">. Le doc prévient même que re-optimiser le T1 avec le recul fait perdre le crédit des deux dates.</w:t>
      </w:r>
    </w:p>
    <w:p>
      <w:pPr>
        <w:pStyle w:val="Code"/>
      </w:pPr>
      <w:bookmarkStart w:id="32" w:name="bongo_lang_python_32"/>
      <w:bookmarkEnd w:id="32"/>
      <w:r>
        <w:t xml:space="preserve">STRATEGIE_T1 = "Notre strategie 70/20/10"</w:t>
        <w:br/>
        <w:t xml:space="preserve">mix_t1 = cp.construire_mix(cp.STRATEGIES[STRATEGIE_T1][0], volumes_q_t1, index)</w:t>
      </w:r>
    </w:p>
    <w:p>
      <w:pPr/>
      <w:r>
        <w:t xml:space="preserve">Le mix T1 entre en dur dans tous les calculs qui suivent et n'est jamais rediscuté.</w:t>
      </w:r>
    </w:p>
    <w:p>
      <w:pPr>
        <w:pStyle w:val="Heading3"/>
      </w:pPr>
      <w:r>
        <w:t xml:space="preserve">4.1 — Anticipation contre réalité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Scénario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Forward T2 anticipé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Réel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Erreur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Erreur / sigma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2021</w:t>
            </w:r>
          </w:p>
        </w:tc>
        <w:tc>
          <w:tcPr>
            <w:tcW w:w="1872" w:type="dxa"/>
          </w:tcPr>
          <w:p>
            <w:pPr/>
            <w:r>
              <w:t xml:space="preserve">82,02</w:t>
            </w:r>
          </w:p>
        </w:tc>
        <w:tc>
          <w:tcPr>
            <w:tcW w:w="1872" w:type="dxa"/>
          </w:tcPr>
          <w:p>
            <w:pPr/>
            <w:r>
              <w:t xml:space="preserve">73,70</w:t>
            </w:r>
          </w:p>
        </w:tc>
        <w:tc>
          <w:tcPr>
            <w:tcW w:w="1872" w:type="dxa"/>
          </w:tcPr>
          <w:p>
            <w:pPr/>
            <w:r>
              <w:t xml:space="preserve">−8,32</w:t>
            </w:r>
          </w:p>
        </w:tc>
        <w:tc>
          <w:tcPr>
            <w:tcW w:w="1872" w:type="dxa"/>
          </w:tcPr>
          <w:p>
            <w:pPr/>
            <w:r>
              <w:t xml:space="preserve">−1,14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2023</w:t>
            </w:r>
          </w:p>
        </w:tc>
        <w:tc>
          <w:tcPr>
            <w:tcW w:w="1872" w:type="dxa"/>
          </w:tcPr>
          <w:p>
            <w:pPr/>
            <w:r>
              <w:t xml:space="preserve">80,66</w:t>
            </w:r>
          </w:p>
        </w:tc>
        <w:tc>
          <w:tcPr>
            <w:tcW w:w="1872" w:type="dxa"/>
          </w:tcPr>
          <w:p>
            <w:pPr/>
            <w:r>
              <w:t xml:space="preserve">73,70</w:t>
            </w:r>
          </w:p>
        </w:tc>
        <w:tc>
          <w:tcPr>
            <w:tcW w:w="1872" w:type="dxa"/>
          </w:tcPr>
          <w:p>
            <w:pPr/>
            <w:r>
              <w:t xml:space="preserve">−6,96</w:t>
            </w:r>
          </w:p>
        </w:tc>
        <w:tc>
          <w:tcPr>
            <w:tcW w:w="1872" w:type="dxa"/>
          </w:tcPr>
          <w:p>
            <w:pPr/>
            <w:r>
              <w:t xml:space="preserve">−0,95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2024</w:t>
            </w:r>
          </w:p>
        </w:tc>
        <w:tc>
          <w:tcPr>
            <w:tcW w:w="1872" w:type="dxa"/>
          </w:tcPr>
          <w:p>
            <w:pPr/>
            <w:r>
              <w:t xml:space="preserve">80,39</w:t>
            </w:r>
          </w:p>
        </w:tc>
        <w:tc>
          <w:tcPr>
            <w:tcW w:w="1872" w:type="dxa"/>
          </w:tcPr>
          <w:p>
            <w:pPr/>
            <w:r>
              <w:t xml:space="preserve">73,70</w:t>
            </w:r>
          </w:p>
        </w:tc>
        <w:tc>
          <w:tcPr>
            <w:tcW w:w="1872" w:type="dxa"/>
          </w:tcPr>
          <w:p>
            <w:pPr/>
            <w:r>
              <w:t xml:space="preserve">−6,69</w:t>
            </w:r>
          </w:p>
        </w:tc>
        <w:tc>
          <w:tcPr>
            <w:tcW w:w="1872" w:type="dxa"/>
          </w:tcPr>
          <w:p>
            <w:pPr/>
            <w:r>
              <w:t xml:space="preserve">−0,92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choc +20 %</w:t>
            </w:r>
          </w:p>
        </w:tc>
        <w:tc>
          <w:tcPr>
            <w:tcW w:w="1872" w:type="dxa"/>
          </w:tcPr>
          <w:p>
            <w:pPr/>
            <w:r>
              <w:t xml:space="preserve">90,09</w:t>
            </w:r>
          </w:p>
        </w:tc>
        <w:tc>
          <w:tcPr>
            <w:tcW w:w="1872" w:type="dxa"/>
          </w:tcPr>
          <w:p>
            <w:pPr/>
            <w:r>
              <w:t xml:space="preserve">73,70</w:t>
            </w:r>
          </w:p>
        </w:tc>
        <w:tc>
          <w:tcPr>
            <w:tcW w:w="1872" w:type="dxa"/>
          </w:tcPr>
          <w:p>
            <w:pPr/>
            <w:r>
              <w:t xml:space="preserve">−16,39</w:t>
            </w:r>
          </w:p>
        </w:tc>
        <w:tc>
          <w:tcPr>
            <w:tcW w:w="1872" w:type="dxa"/>
          </w:tcPr>
          <w:p>
            <w:pPr/>
            <w:r>
              <w:t xml:space="preserve">−2,25</w:t>
            </w:r>
          </w:p>
        </w:tc>
      </w:tr>
    </w:tbl>
    <w:p>
      <w:pPr/>
      <w:r>
        <w:t xml:space="preserve">Le prix observé tombe </w:t>
      </w:r>
      <w:r>
        <w:rPr>
          <w:b/>
        </w:rPr>
        <w:t xml:space="preserve">hors</w:t>
      </w:r>
      <w:r>
        <w:t xml:space="preserve"> de la fourchette anticipée [80,39 ; 82,02]. Les erreurs restent sous 1,2 sigma pour les scénarios météo : le mouvement était banal pour un marché, inatteignable pour un modèle de température.</w:t>
      </w:r>
    </w:p>
    <w:p>
      <w:pPr>
        <w:pStyle w:val="Heading3"/>
      </w:pPr>
      <w:r>
        <w:t xml:space="preserve">4.2 — Réviser les probabilités</w:t>
      </w:r>
    </w:p>
    <w:p>
      <w:pPr/>
      <w:r>
        <w:t xml:space="preserve">Le §4.2 est explicite : garder 50/50 est accepté si c'est justifié, mais </w:t>
      </w:r>
      <w:r>
        <w:rPr>
          <w:i/>
        </w:rPr>
        <w:t xml:space="preserve">what is not accepted is changing the probabilities without a reason, or choosing them so that the strategy you prefer wins</w:t>
      </w:r>
      <w:r>
        <w:t xml:space="preserve">. Il faut donc une </w:t>
      </w:r>
      <w:r>
        <w:rPr>
          <w:b/>
        </w:rPr>
        <w:t xml:space="preserve">règle mécanique, posée avant de regarder le résultat</w:t>
      </w:r>
      <w:r>
        <w:t xml:space="preserve">.</w:t>
      </w:r>
    </w:p>
    <w:p>
      <w:pPr/>
      <w:r>
        <w:t xml:space="preserve">Celle du code est une mise à jour bayésienne : postérieure ∝ antérieure × vraisemblance du prix observé.</w:t>
      </w:r>
    </w:p>
    <w:p>
      <w:pPr>
        <w:pStyle w:val="Code"/>
      </w:pPr>
      <w:bookmarkStart w:id="33" w:name="bongo_lang_python_33"/>
      <w:bookmarkEnd w:id="33"/>
      <w:r>
        <w:t xml:space="preserve">def probabilites_revisees(scenarios, priors, alpha=None, forward_observe=None):</w:t>
        <w:br/>
        <w:t xml:space="preserve">    sigma = sc.sigma_t2()</w:t>
        <w:br/>
        <w:t xml:space="preserve">    poids = {an: priors[an] * float(np.exp(</w:t>
        <w:br/>
        <w:t xml:space="preserve">        -0.5 * ((sc.forward_t2_anticipe(s["niveau"], alpha) - observe) / sigma) ** 2))</w:t>
        <w:br/>
        <w:t xml:space="preserve">        for an, s in scenarios.items()}</w:t>
        <w:br/>
        <w:t xml:space="preserve">    total = sum(poids.values())</w:t>
        <w:br/>
        <w:t xml:space="preserve">    return {an: p / total for an, p in poids.items()}</w:t>
      </w:r>
    </w:p>
    <w:p>
      <w:pPr/>
      <w:r>
        <w:t xml:space="preserve">La vraisemblance est gaussienne, d'écart-type celui de la CRE. Un scénario dont le forward anticipé tombe loin du prix observé devient moins crédible, mécaniquement.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Scénario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Au T1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Au T2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2021</w:t>
            </w:r>
          </w:p>
        </w:tc>
        <w:tc>
          <w:tcPr>
            <w:tcW w:w="3120" w:type="dxa"/>
          </w:tcPr>
          <w:p>
            <w:pPr/>
            <w:r>
              <w:t xml:space="preserve">28,3 %</w:t>
            </w:r>
          </w:p>
        </w:tc>
        <w:tc>
          <w:tcPr>
            <w:tcW w:w="3120" w:type="dxa"/>
          </w:tcPr>
          <w:p>
            <w:pPr/>
            <w:r>
              <w:t xml:space="preserve">28,1 %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2023</w:t>
            </w:r>
          </w:p>
        </w:tc>
        <w:tc>
          <w:tcPr>
            <w:tcW w:w="3120" w:type="dxa"/>
          </w:tcPr>
          <w:p>
            <w:pPr/>
            <w:r>
              <w:t xml:space="preserve">28,3 %</w:t>
            </w:r>
          </w:p>
        </w:tc>
        <w:tc>
          <w:tcPr>
            <w:tcW w:w="3120" w:type="dxa"/>
          </w:tcPr>
          <w:p>
            <w:pPr/>
            <w:r>
              <w:t xml:space="preserve">34,2 %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2024</w:t>
            </w:r>
          </w:p>
        </w:tc>
        <w:tc>
          <w:tcPr>
            <w:tcW w:w="3120" w:type="dxa"/>
          </w:tcPr>
          <w:p>
            <w:pPr/>
            <w:r>
              <w:t xml:space="preserve">28,3 %</w:t>
            </w:r>
          </w:p>
        </w:tc>
        <w:tc>
          <w:tcPr>
            <w:tcW w:w="3120" w:type="dxa"/>
          </w:tcPr>
          <w:p>
            <w:pPr/>
            <w:r>
              <w:t xml:space="preserve">35,4 %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choc +20 %</w:t>
            </w:r>
          </w:p>
        </w:tc>
        <w:tc>
          <w:tcPr>
            <w:tcW w:w="3120" w:type="dxa"/>
          </w:tcPr>
          <w:p>
            <w:pPr/>
            <w:r>
              <w:t xml:space="preserve">15,0 %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2,3 %</w:t>
            </w:r>
          </w:p>
        </w:tc>
      </w:tr>
    </w:tbl>
    <w:p>
      <w:pPr/>
      <w:r>
        <w:t xml:space="preserve">Le choc s'effondre : le marché a baissé de 11,5 %, un choc à la hausse devient peu crédible. La révision est motivée par </w:t>
      </w:r>
      <w:r>
        <w:rPr>
          <w:b/>
        </w:rPr>
        <w:t xml:space="preserve">une information nouvelle</w:t>
      </w:r>
      <w:r>
        <w:t xml:space="preserve">, le prix — pas par la stratégie qu'on préfère.</w:t>
      </w:r>
    </w:p>
    <w:p>
      <w:pPr>
        <w:pStyle w:val="Heading3"/>
      </w:pPr>
      <w:r>
        <w:t xml:space="preserve">4.3 — Volume et ratio réellement atteint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t xml:space="preserve">Prévision au T1</w:t>
            </w:r>
          </w:p>
        </w:tc>
        <w:tc>
          <w:tcPr>
            <w:tcW w:w="4680" w:type="dxa"/>
          </w:tcPr>
          <w:p>
            <w:pPr/>
            <w:r>
              <w:t xml:space="preserve">536 627 MWh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Prévision au T2</w:t>
            </w:r>
          </w:p>
        </w:tc>
        <w:tc>
          <w:tcPr>
            <w:tcW w:w="4680" w:type="dxa"/>
          </w:tcPr>
          <w:p>
            <w:pPr/>
            <w:r>
              <w:t xml:space="preserve">501 962 MWh (−6,46 %)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Acheté au T1</w:t>
            </w:r>
          </w:p>
        </w:tc>
        <w:tc>
          <w:tcPr>
            <w:tcW w:w="4680" w:type="dxa"/>
          </w:tcPr>
          <w:p>
            <w:pPr/>
            <w:r>
              <w:t xml:space="preserve">375 639 MWh, soit 70,0 % de l'ancienne prévision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Ratio réellement atteint</w:t>
            </w:r>
          </w:p>
        </w:tc>
        <w:tc>
          <w:tcPr>
            <w:tcW w:w="4680" w:type="dxa"/>
          </w:tcPr>
          <w:p>
            <w:pPr/>
            <w:r>
              <w:rPr>
                <w:b/>
              </w:rPr>
              <w:t xml:space="preserve">74,8 % de la nouvelle</w:t>
            </w:r>
          </w:p>
        </w:tc>
      </w:tr>
    </w:tbl>
    <w:p>
      <w:pPr/>
      <w:r>
        <w:t xml:space="preserve">Le portefeuille a rétréci, donc on est </w:t>
      </w:r>
      <w:r>
        <w:rPr>
          <w:b/>
        </w:rPr>
        <w:t xml:space="preserve">sur-couvert de 4,8 points</w:t>
      </w:r>
      <w:r>
        <w:t xml:space="preserve"> par rapport au plan, sans avoir rien fait. La marge de manœuvre jusqu'à 100 % tombe de 30 % à 25,2 %. C'est le risque de volume du cours, en une ligne.</w:t>
      </w:r>
    </w:p>
    <w:p>
      <w:pPr>
        <w:pStyle w:val="Heading3"/>
      </w:pPr>
      <w:r>
        <w:t xml:space="preserve">Le mark-to-market de la position T1</w:t>
      </w:r>
    </w:p>
    <w:p>
      <w:pPr>
        <w:pStyle w:val="Code"/>
      </w:pPr>
      <w:bookmarkStart w:id="34" w:name="bongo_lang_python_34"/>
      <w:bookmarkEnd w:id="34"/>
      <w:r>
        <w:t xml:space="preserve">for (p, n), mw in sorted(mix.items()):</w:t>
        <w:br/>
        <w:t xml:space="preserve">    h = cp.heures_livrees(p, n, index)</w:t>
        <w:br/>
        <w:t xml:space="preserve">    t1, t2 = sc.prix_eex(p, n, "T1"), sc.prix_eex(p, n, "T2")</w:t>
        <w:br/>
        <w:t xml:space="preserve">    lignes.append({... "MtM MEUR": mw * h * (t2 - t1) / 1e6})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Produit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MWh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Prix T1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Prix T2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Écart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MtM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Q1-27 Base</w:t>
            </w:r>
          </w:p>
        </w:tc>
        <w:tc>
          <w:tcPr>
            <w:tcW w:w="1560" w:type="dxa"/>
          </w:tcPr>
          <w:p>
            <w:pPr/>
            <w:r>
              <w:t xml:space="preserve">107 054</w:t>
            </w:r>
          </w:p>
        </w:tc>
        <w:tc>
          <w:tcPr>
            <w:tcW w:w="1560" w:type="dxa"/>
          </w:tcPr>
          <w:p>
            <w:pPr/>
            <w:r>
              <w:t xml:space="preserve">139,00</w:t>
            </w:r>
          </w:p>
        </w:tc>
        <w:tc>
          <w:tcPr>
            <w:tcW w:w="1560" w:type="dxa"/>
          </w:tcPr>
          <w:p>
            <w:pPr/>
            <w:r>
              <w:t xml:space="preserve">119,54</w:t>
            </w:r>
          </w:p>
        </w:tc>
        <w:tc>
          <w:tcPr>
            <w:tcW w:w="1560" w:type="dxa"/>
          </w:tcPr>
          <w:p>
            <w:pPr/>
            <w:r>
              <w:t xml:space="preserve">−19,46</w:t>
            </w:r>
          </w:p>
        </w:tc>
        <w:tc>
          <w:tcPr>
            <w:tcW w:w="1560" w:type="dxa"/>
          </w:tcPr>
          <w:p>
            <w:pPr/>
            <w:r>
              <w:t xml:space="preserve">−2,08 M€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Q2-27 Base</w:t>
            </w:r>
          </w:p>
        </w:tc>
        <w:tc>
          <w:tcPr>
            <w:tcW w:w="1560" w:type="dxa"/>
          </w:tcPr>
          <w:p>
            <w:pPr/>
            <w:r>
              <w:t xml:space="preserve">82 805</w:t>
            </w:r>
          </w:p>
        </w:tc>
        <w:tc>
          <w:tcPr>
            <w:tcW w:w="1560" w:type="dxa"/>
          </w:tcPr>
          <w:p>
            <w:pPr/>
            <w:r>
              <w:t xml:space="preserve">45,18</w:t>
            </w:r>
          </w:p>
        </w:tc>
        <w:tc>
          <w:tcPr>
            <w:tcW w:w="1560" w:type="dxa"/>
          </w:tcPr>
          <w:p>
            <w:pPr/>
            <w:r>
              <w:t xml:space="preserve">42,47</w:t>
            </w:r>
          </w:p>
        </w:tc>
        <w:tc>
          <w:tcPr>
            <w:tcW w:w="1560" w:type="dxa"/>
          </w:tcPr>
          <w:p>
            <w:pPr/>
            <w:r>
              <w:t xml:space="preserve">−2,71</w:t>
            </w:r>
          </w:p>
        </w:tc>
        <w:tc>
          <w:tcPr>
            <w:tcW w:w="1560" w:type="dxa"/>
          </w:tcPr>
          <w:p>
            <w:pPr/>
            <w:r>
              <w:t xml:space="preserve">−0,22 M€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Q3-27 Base</w:t>
            </w:r>
          </w:p>
        </w:tc>
        <w:tc>
          <w:tcPr>
            <w:tcW w:w="1560" w:type="dxa"/>
          </w:tcPr>
          <w:p>
            <w:pPr/>
            <w:r>
              <w:t xml:space="preserve">80 517</w:t>
            </w:r>
          </w:p>
        </w:tc>
        <w:tc>
          <w:tcPr>
            <w:tcW w:w="1560" w:type="dxa"/>
          </w:tcPr>
          <w:p>
            <w:pPr/>
            <w:r>
              <w:t xml:space="preserve">61,09</w:t>
            </w:r>
          </w:p>
        </w:tc>
        <w:tc>
          <w:tcPr>
            <w:tcW w:w="1560" w:type="dxa"/>
          </w:tcPr>
          <w:p>
            <w:pPr/>
            <w:r>
              <w:t xml:space="preserve">56,20</w:t>
            </w:r>
          </w:p>
        </w:tc>
        <w:tc>
          <w:tcPr>
            <w:tcW w:w="1560" w:type="dxa"/>
          </w:tcPr>
          <w:p>
            <w:pPr/>
            <w:r>
              <w:t xml:space="preserve">−4,89</w:t>
            </w:r>
          </w:p>
        </w:tc>
        <w:tc>
          <w:tcPr>
            <w:tcW w:w="1560" w:type="dxa"/>
          </w:tcPr>
          <w:p>
            <w:pPr/>
            <w:r>
              <w:t xml:space="preserve">−0,39 M€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Q4-27 Base</w:t>
            </w:r>
          </w:p>
        </w:tc>
        <w:tc>
          <w:tcPr>
            <w:tcW w:w="1560" w:type="dxa"/>
          </w:tcPr>
          <w:p>
            <w:pPr/>
            <w:r>
              <w:t xml:space="preserve">105 263</w:t>
            </w:r>
          </w:p>
        </w:tc>
        <w:tc>
          <w:tcPr>
            <w:tcW w:w="1560" w:type="dxa"/>
          </w:tcPr>
          <w:p>
            <w:pPr/>
            <w:r>
              <w:t xml:space="preserve">88,78</w:t>
            </w:r>
          </w:p>
        </w:tc>
        <w:tc>
          <w:tcPr>
            <w:tcW w:w="1560" w:type="dxa"/>
          </w:tcPr>
          <w:p>
            <w:pPr/>
            <w:r>
              <w:t xml:space="preserve">77,24</w:t>
            </w:r>
          </w:p>
        </w:tc>
        <w:tc>
          <w:tcPr>
            <w:tcW w:w="1560" w:type="dxa"/>
          </w:tcPr>
          <w:p>
            <w:pPr/>
            <w:r>
              <w:t xml:space="preserve">−11,54</w:t>
            </w:r>
          </w:p>
        </w:tc>
        <w:tc>
          <w:tcPr>
            <w:tcW w:w="1560" w:type="dxa"/>
          </w:tcPr>
          <w:p>
            <w:pPr/>
            <w:r>
              <w:t xml:space="preserve">−1,21 M€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1560" w:type="dxa"/>
          </w:tcPr>
          <w:p>
            <w:pPr/>
            <w:r>
              <w:t xml:space="preserve">375 639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−3,92 M€</w:t>
            </w:r>
          </w:p>
        </w:tc>
      </w:tr>
    </w:tbl>
    <w:p>
      <w:pPr/>
      <w:r>
        <w:t xml:space="preserve">Soit </w:t>
      </w:r>
      <w:r>
        <w:rPr>
          <w:b/>
        </w:rPr>
        <w:t xml:space="preserve">−10,43 €/MWh couvert</w:t>
      </w:r>
      <w:r>
        <w:t xml:space="preserve">. Ce n'est pas une erreur : on a acheté une assurance qui ne s'est pas déclenchée. La formuler ainsi est plus solide que de la passer sous silence.</w:t>
      </w:r>
    </w:p>
    <w:p>
      <w:pPr>
        <w:pStyle w:val="Heading3"/>
      </w:pPr>
      <w:r>
        <w:t xml:space="preserve">4.4 — Décider la part restante</w:t>
      </w:r>
    </w:p>
    <w:p>
      <w:pPr/>
      <w:r>
        <w:t xml:space="preserve">Sept options testées (quatre cibles × deux formes), T1 figé, Levels réancrés sur 73,70, nouvelles probabilités, nouveau volume.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Achat T2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Couverture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Espérance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Pire cas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Admissible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Ne rien acheter de plus</w:t>
            </w:r>
          </w:p>
        </w:tc>
        <w:tc>
          <w:tcPr>
            <w:tcW w:w="1560" w:type="dxa"/>
          </w:tcPr>
          <w:p>
            <w:pPr/>
            <w:r>
              <w:t xml:space="preserve">0 %</w:t>
            </w:r>
          </w:p>
        </w:tc>
        <w:tc>
          <w:tcPr>
            <w:tcW w:w="1560" w:type="dxa"/>
          </w:tcPr>
          <w:p>
            <w:pPr/>
            <w:r>
              <w:t xml:space="preserve">74,8 %</w:t>
            </w:r>
          </w:p>
        </w:tc>
        <w:tc>
          <w:tcPr>
            <w:tcW w:w="1560" w:type="dxa"/>
          </w:tcPr>
          <w:p>
            <w:pPr/>
            <w:r>
              <w:t xml:space="preserve">8,24</w:t>
            </w:r>
          </w:p>
        </w:tc>
        <w:tc>
          <w:tcPr>
            <w:tcW w:w="1560" w:type="dxa"/>
          </w:tcPr>
          <w:p>
            <w:pPr/>
            <w:r>
              <w:t xml:space="preserve">2,49</w:t>
            </w:r>
          </w:p>
        </w:tc>
        <w:tc>
          <w:tcPr>
            <w:tcW w:w="1560" w:type="dxa"/>
          </w:tcPr>
          <w:p>
            <w:pPr/>
            <w:r>
              <w:t xml:space="preserve">non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Compléter à 85 % – cal</w:t>
            </w:r>
          </w:p>
        </w:tc>
        <w:tc>
          <w:tcPr>
            <w:tcW w:w="1560" w:type="dxa"/>
          </w:tcPr>
          <w:p>
            <w:pPr/>
            <w:r>
              <w:t xml:space="preserve">10,2 %</w:t>
            </w:r>
          </w:p>
        </w:tc>
        <w:tc>
          <w:tcPr>
            <w:tcW w:w="1560" w:type="dxa"/>
          </w:tcPr>
          <w:p>
            <w:pPr/>
            <w:r>
              <w:t xml:space="preserve">85 %</w:t>
            </w:r>
          </w:p>
        </w:tc>
        <w:tc>
          <w:tcPr>
            <w:tcW w:w="1560" w:type="dxa"/>
          </w:tcPr>
          <w:p>
            <w:pPr/>
            <w:r>
              <w:t xml:space="preserve">7,81</w:t>
            </w:r>
          </w:p>
        </w:tc>
        <w:tc>
          <w:tcPr>
            <w:tcW w:w="1560" w:type="dxa"/>
          </w:tcPr>
          <w:p>
            <w:pPr/>
            <w:r>
              <w:t xml:space="preserve">3,71</w:t>
            </w:r>
          </w:p>
        </w:tc>
        <w:tc>
          <w:tcPr>
            <w:tcW w:w="1560" w:type="dxa"/>
          </w:tcPr>
          <w:p>
            <w:pPr/>
            <w:r>
              <w:t xml:space="preserve">non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Compléter à 90 % – cal</w:t>
            </w:r>
          </w:p>
        </w:tc>
        <w:tc>
          <w:tcPr>
            <w:tcW w:w="1560" w:type="dxa"/>
          </w:tcPr>
          <w:p>
            <w:pPr/>
            <w:r>
              <w:t xml:space="preserve">15,2 %</w:t>
            </w:r>
          </w:p>
        </w:tc>
        <w:tc>
          <w:tcPr>
            <w:tcW w:w="1560" w:type="dxa"/>
          </w:tcPr>
          <w:p>
            <w:pPr/>
            <w:r>
              <w:t xml:space="preserve">90 %</w:t>
            </w:r>
          </w:p>
        </w:tc>
        <w:tc>
          <w:tcPr>
            <w:tcW w:w="1560" w:type="dxa"/>
          </w:tcPr>
          <w:p>
            <w:pPr/>
            <w:r>
              <w:t xml:space="preserve">7,60</w:t>
            </w:r>
          </w:p>
        </w:tc>
        <w:tc>
          <w:tcPr>
            <w:tcW w:w="1560" w:type="dxa"/>
          </w:tcPr>
          <w:p>
            <w:pPr/>
            <w:r>
              <w:t xml:space="preserve">4,31</w:t>
            </w:r>
          </w:p>
        </w:tc>
        <w:tc>
          <w:tcPr>
            <w:tcW w:w="1560" w:type="dxa"/>
          </w:tcPr>
          <w:p>
            <w:pPr/>
            <w:r>
              <w:t xml:space="preserve">non</w:t>
            </w:r>
          </w:p>
        </w:tc>
      </w:tr>
      <w:tr>
        <w:tc>
          <w:tcPr>
            <w:tcW w:w="1560" w:type="dxa"/>
          </w:tcPr>
          <w:p>
            <w:pPr/>
            <w:r>
              <w:rPr>
                <w:b/>
              </w:rPr>
              <w:t xml:space="preserve">Compléter à 100 % – cal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25,2 %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100 %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7,14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5,51</w:t>
            </w:r>
          </w:p>
        </w:tc>
        <w:tc>
          <w:tcPr>
            <w:tcW w:w="1560" w:type="dxa"/>
          </w:tcPr>
          <w:p>
            <w:pPr/>
            <w:r>
              <w:rPr>
                <w:b/>
              </w:rPr>
              <w:t xml:space="preserve">oui</w:t>
            </w:r>
          </w:p>
        </w:tc>
      </w:tr>
    </w:tbl>
    <w:p>
      <w:pPr/>
      <w:r>
        <w:rPr>
          <w:b/>
        </w:rPr>
        <w:t xml:space="preserve">Décision : acheter 14,42 MW de Cal-27 Base à 73,70 €/MWh</w:t>
      </w:r>
      <w:r>
        <w:t xml:space="preserve">, soit 126 323 MWh pour 9,31 M€. C'est la seule option dont le pire cas tient le plancher.</w:t>
      </w:r>
    </w:p>
    <w:p>
      <w:pPr/>
      <w:r>
        <w:t xml:space="preserve">Notez l'inversion par rapport au T1 : </w:t>
      </w:r>
      <w:r>
        <w:rPr>
          <w:b/>
        </w:rPr>
        <w:t xml:space="preserve">au T2, le plancher devient atteignable</w:t>
      </w:r>
      <w:r>
        <w:t xml:space="preserve">, parce que le marché a baissé de 11,5 % et que la part non couverte s'achète beaucoup moins cher qu'au 22 septembre.</w:t>
      </w:r>
    </w:p>
    <w:p>
      <w:pPr>
        <w:pStyle w:val="Heading3"/>
      </w:pPr>
      <w:r>
        <w:t xml:space="preserve">Ce qu'il faut savoir dire</w:t>
      </w:r>
    </w:p>
    <w:p>
      <w:pPr>
        <w:pStyle w:val="ListParagraph"/>
        <w:numPr>
          <w:ilvl w:val="0"/>
          <w:numId w:val="17"/>
        </w:numPr>
      </w:pPr>
      <w:r>
        <w:t xml:space="preserve">Que le T1 est </w:t>
      </w:r>
      <w:r>
        <w:rPr>
          <w:b/>
        </w:rPr>
        <w:t xml:space="preserve">figé</w:t>
      </w:r>
      <w:r>
        <w:t xml:space="preserve">, et pourquoi le doc en fait une faute éliminatoire.</w:t>
      </w:r>
    </w:p>
    <w:p>
      <w:pPr>
        <w:pStyle w:val="ListParagraph"/>
        <w:numPr>
          <w:ilvl w:val="0"/>
          <w:numId w:val="17"/>
        </w:numPr>
      </w:pPr>
      <w:r>
        <w:t xml:space="preserve">Que la règle de révision des probabilités a été posée </w:t>
      </w:r>
      <w:r>
        <w:rPr>
          <w:b/>
        </w:rPr>
        <w:t xml:space="preserve">avant</w:t>
      </w:r>
      <w:r>
        <w:t xml:space="preserve"> d'en voir l'effet.</w:t>
      </w:r>
    </w:p>
    <w:p>
      <w:pPr>
        <w:pStyle w:val="ListParagraph"/>
        <w:numPr>
          <w:ilvl w:val="0"/>
          <w:numId w:val="17"/>
        </w:numPr>
      </w:pPr>
      <w:r>
        <w:t xml:space="preserve">Que le mark-to-market négatif est le prix d'une assurance, pas une erreur de jugement.</w:t>
      </w:r>
    </w:p>
    <w:p>
      <w:pPr>
        <w:pStyle w:val="Heading2"/>
      </w:pPr>
      <w:r>
        <w:t xml:space="preserve">Étape 14 — La position ouverte du 1er janvier 2027</w:t>
      </w:r>
    </w:p>
    <w:p>
      <w:pPr/>
      <w:r>
        <w:t xml:space="preserve">Une couverture est un </w:t>
      </w:r>
      <w:r>
        <w:rPr>
          <w:b/>
        </w:rPr>
        <w:t xml:space="preserve">engagement de livraison, pas un stock</w:t>
      </w:r>
      <w:r>
        <w:t xml:space="preserve"> : un Cal-27 Base de 14 MW livre 14 MW à chaque heure de l'année, y compris à 4 h du matin le 1er janvier quand on n'en consomme que 42. L'écart se solde au day-ahead.</w:t>
      </w:r>
    </w:p>
    <w:p>
      <w:pPr>
        <w:pStyle w:val="Code"/>
      </w:pPr>
      <w:bookmarkStart w:id="35" w:name="bongo_lang_latex_35"/>
      <w:bookmarkEnd w:id="35"/>
      <w:r>
        <w:t xml:space="preserve">\text{position ouverte}_h = \text{charge prévue}_h - \text{couverture livrée}_h</w:t>
      </w:r>
    </w:p>
    <w:p>
      <w:pPr/>
      <w:r>
        <w:t xml:space="preserve">Positive, on est </w:t>
      </w:r>
      <w:r>
        <w:rPr>
          <w:b/>
        </w:rPr>
        <w:t xml:space="preserve">short</w:t>
      </w:r>
      <w:r>
        <w:t xml:space="preserve"> : il faut acheter. Négative, on est </w:t>
      </w:r>
      <w:r>
        <w:rPr>
          <w:b/>
        </w:rPr>
        <w:t xml:space="preserve">long</w:t>
      </w:r>
      <w:r>
        <w:t xml:space="preserve"> : il faut revendre.</w:t>
      </w:r>
    </w:p>
    <w:p>
      <w:pPr>
        <w:pStyle w:val="Heading3"/>
      </w:pPr>
      <w:r>
        <w:t xml:space="preserve">Les trois pièges du 1er janvier 2027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C'est un vendredi.</w:t>
      </w:r>
      <w:r>
        <w:t xml:space="preserve"> Dans le calendrier EEX c'est donc un jour ouvré : les produits Peak livrent.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C'est un jour férié.</w:t>
      </w:r>
      <w:r>
        <w:t xml:space="preserve"> Les clients consomment comme un dimanche. Le §5.2 l'écrit noir sur blanc : </w:t>
      </w:r>
      <w:r>
        <w:rPr>
          <w:i/>
        </w:rPr>
        <w:t xml:space="preserve">using a holiday profile and not an ordinary Friday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 xml:space="preserve">Les deux à la fois.</w:t>
      </w:r>
      <w:r>
        <w:t xml:space="preserve"> Qui a acheté du Peak reçoit de la puissance de 8 h à 20 h un jour où ses clients sont chez eux : il se retrouve </w:t>
      </w:r>
      <w:r>
        <w:rPr>
          <w:b/>
        </w:rPr>
        <w:t xml:space="preserve">long en pleine journée</w:t>
      </w:r>
      <w:r>
        <w:t xml:space="preserve">, à revendre au pire moment.</w:t>
      </w:r>
    </w:p>
    <w:p>
      <w:pPr/>
      <w:r>
        <w:t xml:space="preserve">Notre portefeuille n'a que du Base, donc le troisième piège ne nous touche pas. </w:t>
      </w:r>
      <w:r>
        <w:rPr>
          <w:b/>
        </w:rPr>
        <w:t xml:space="preserve">Revendiquez-le comme un choix</w:t>
      </w:r>
      <w:r>
        <w:t xml:space="preserve">, pas comme une chance : il découle de l'analyse peak/off-peak de l'étape 11.</w:t>
      </w:r>
    </w:p>
    <w:p>
      <w:pPr>
        <w:pStyle w:val="Heading3"/>
      </w:pPr>
      <w:r>
        <w:t xml:space="preserve">Pourquoi le profil férié est déjà là</w:t>
      </w:r>
    </w:p>
    <w:p>
      <w:pPr/>
      <w:r>
        <w:t xml:space="preserve">Rien de spécial à coder : le travail a été fait à l'étape 6. </w:t>
      </w:r>
      <w:r>
        <w:rPr>
          <w:rStyle w:val="CodeChar"/>
        </w:rPr>
        <w:t xml:space="preserve">_type_jour()</w:t>
      </w:r>
      <w:r>
        <w:t xml:space="preserve"> renvoie 7 pour les fériés, donc </w:t>
      </w:r>
      <w:r>
        <w:rPr>
          <w:rStyle w:val="CodeChar"/>
        </w:rPr>
        <w:t xml:space="preserve">apparier_jours()</w:t>
      </w:r>
      <w:r>
        <w:t xml:space="preserve"> est allé chercher un </w:t>
      </w:r>
      <w:r>
        <w:rPr>
          <w:b/>
        </w:rPr>
        <w:t xml:space="preserve">jour férié de 2025</w:t>
      </w:r>
      <w:r>
        <w:t xml:space="preserve"> pour alimenter le 1er janvier 2027. La décision prise soixante lignes plus tôt dans </w:t>
      </w:r>
      <w:r>
        <w:rPr>
          <w:rStyle w:val="CodeChar"/>
        </w:rPr>
        <w:t xml:space="preserve">calendrier.py</w:t>
      </w:r>
      <w:r>
        <w:t xml:space="preserve"> paie ici.</w:t>
      </w:r>
    </w:p>
    <w:p>
      <w:pPr/>
      <w:r>
        <w:t xml:space="preserve">De même, la conversion des produits en MW livrés réutilise telle quelle la fonction de l'étape 11, simplement restreinte au jour :</w:t>
      </w:r>
    </w:p>
    <w:p>
      <w:pPr>
        <w:pStyle w:val="Code"/>
      </w:pPr>
      <w:bookmarkStart w:id="36" w:name="bongo_lang_python_36"/>
      <w:bookmarkEnd w:id="36"/>
      <w:r>
        <w:t xml:space="preserve">jour = index[np.asarray(index.date) == pd.Timestamp(JOUR_SPOT).date()]</w:t>
        <w:br/>
        <w:t xml:space="preserve">livre = cp.livraison(mix_final, jour)</w:t>
        <w:br/>
        <w:t xml:space="preserve">pos["position normale MW"] = pos["charge normale MW"] - pos["couverture MW"]</w:t>
        <w:br/>
        <w:t xml:space="preserve">pos["sens"] = np.where(pos["position normale MW"] &gt; 0, "SHORT (acheter)", "LONG (revendre)")</w:t>
      </w:r>
    </w:p>
    <w:p>
      <w:pPr/>
      <w:r>
        <w:rPr>
          <w:rStyle w:val="CodeChar"/>
        </w:rPr>
        <w:t xml:space="preserve">mix_final</w:t>
      </w:r>
      <w:r>
        <w:t xml:space="preserve"> est la fusion du mix T1 et du mix T2.</w:t>
      </w:r>
    </w:p>
    <w:p>
      <w:pPr>
        <w:pStyle w:val="Heading3"/>
      </w:pPr>
      <w:r>
        <w:t xml:space="preserve">Le tableau</w:t>
      </w:r>
    </w:p>
    <w:p>
      <w:pPr/>
      <w:r>
        <w:t xml:space="preserve">Couverture plate de </w:t>
      </w:r>
      <w:r>
        <w:rPr>
          <w:b/>
        </w:rPr>
        <w:t xml:space="preserve">64,01 MW</w:t>
      </w:r>
      <w:r>
        <w:t xml:space="preserve"> : 49,58 MW de Q1-27 achetés au T1, plus 14,42 MW de Cal-27 achetés au T2. La charge, elle, va de 42,21 à 98,71 MW.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Heure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Charge (MW)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Couverture (MW)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Position (MW)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00:00–01:00</w:t>
            </w:r>
          </w:p>
        </w:tc>
        <w:tc>
          <w:tcPr>
            <w:tcW w:w="1872" w:type="dxa"/>
          </w:tcPr>
          <w:p>
            <w:pPr/>
            <w:r>
              <w:t xml:space="preserve">54,26</w:t>
            </w:r>
          </w:p>
        </w:tc>
        <w:tc>
          <w:tcPr>
            <w:tcW w:w="1872" w:type="dxa"/>
          </w:tcPr>
          <w:p>
            <w:pPr/>
            <w:r>
              <w:t xml:space="preserve">64,01</w:t>
            </w:r>
          </w:p>
        </w:tc>
        <w:tc>
          <w:tcPr>
            <w:tcW w:w="1872" w:type="dxa"/>
          </w:tcPr>
          <w:p>
            <w:pPr/>
            <w:r>
              <w:t xml:space="preserve">−9,74</w:t>
            </w:r>
          </w:p>
        </w:tc>
        <w:tc>
          <w:tcPr>
            <w:tcW w:w="1872" w:type="dxa"/>
          </w:tcPr>
          <w:p>
            <w:pPr/>
            <w:r>
              <w:t xml:space="preserve">long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03:00–04:00</w:t>
            </w:r>
          </w:p>
        </w:tc>
        <w:tc>
          <w:tcPr>
            <w:tcW w:w="1872" w:type="dxa"/>
          </w:tcPr>
          <w:p>
            <w:pPr/>
            <w:r>
              <w:t xml:space="preserve">43,22</w:t>
            </w:r>
          </w:p>
        </w:tc>
        <w:tc>
          <w:tcPr>
            <w:tcW w:w="1872" w:type="dxa"/>
          </w:tcPr>
          <w:p>
            <w:pPr/>
            <w:r>
              <w:t xml:space="preserve">64,01</w:t>
            </w:r>
          </w:p>
        </w:tc>
        <w:tc>
          <w:tcPr>
            <w:tcW w:w="1872" w:type="dxa"/>
          </w:tcPr>
          <w:p>
            <w:pPr/>
            <w:r>
              <w:t xml:space="preserve">−20,78</w:t>
            </w:r>
          </w:p>
        </w:tc>
        <w:tc>
          <w:tcPr>
            <w:tcW w:w="1872" w:type="dxa"/>
          </w:tcPr>
          <w:p>
            <w:pPr/>
            <w:r>
              <w:t xml:space="preserve">long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05:00–06:00</w:t>
            </w:r>
          </w:p>
        </w:tc>
        <w:tc>
          <w:tcPr>
            <w:tcW w:w="1872" w:type="dxa"/>
          </w:tcPr>
          <w:p>
            <w:pPr/>
            <w:r>
              <w:t xml:space="preserve">42,21</w:t>
            </w:r>
          </w:p>
        </w:tc>
        <w:tc>
          <w:tcPr>
            <w:tcW w:w="1872" w:type="dxa"/>
          </w:tcPr>
          <w:p>
            <w:pPr/>
            <w:r>
              <w:t xml:space="preserve">64,01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−21,80</w:t>
            </w:r>
          </w:p>
        </w:tc>
        <w:tc>
          <w:tcPr>
            <w:tcW w:w="1872" w:type="dxa"/>
          </w:tcPr>
          <w:p>
            <w:pPr/>
            <w:r>
              <w:t xml:space="preserve">long (maximum)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08:00–09:00</w:t>
            </w:r>
          </w:p>
        </w:tc>
        <w:tc>
          <w:tcPr>
            <w:tcW w:w="1872" w:type="dxa"/>
          </w:tcPr>
          <w:p>
            <w:pPr/>
            <w:r>
              <w:t xml:space="preserve">62,40</w:t>
            </w:r>
          </w:p>
        </w:tc>
        <w:tc>
          <w:tcPr>
            <w:tcW w:w="1872" w:type="dxa"/>
          </w:tcPr>
          <w:p>
            <w:pPr/>
            <w:r>
              <w:t xml:space="preserve">64,01</w:t>
            </w:r>
          </w:p>
        </w:tc>
        <w:tc>
          <w:tcPr>
            <w:tcW w:w="1872" w:type="dxa"/>
          </w:tcPr>
          <w:p>
            <w:pPr/>
            <w:r>
              <w:t xml:space="preserve">−1,61</w:t>
            </w:r>
          </w:p>
        </w:tc>
        <w:tc>
          <w:tcPr>
            <w:tcW w:w="1872" w:type="dxa"/>
          </w:tcPr>
          <w:p>
            <w:pPr/>
            <w:r>
              <w:t xml:space="preserve">long (bascule)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09:00–10:00</w:t>
            </w:r>
          </w:p>
        </w:tc>
        <w:tc>
          <w:tcPr>
            <w:tcW w:w="1872" w:type="dxa"/>
          </w:tcPr>
          <w:p>
            <w:pPr/>
            <w:r>
              <w:t xml:space="preserve">72,71</w:t>
            </w:r>
          </w:p>
        </w:tc>
        <w:tc>
          <w:tcPr>
            <w:tcW w:w="1872" w:type="dxa"/>
          </w:tcPr>
          <w:p>
            <w:pPr/>
            <w:r>
              <w:t xml:space="preserve">64,01</w:t>
            </w:r>
          </w:p>
        </w:tc>
        <w:tc>
          <w:tcPr>
            <w:tcW w:w="1872" w:type="dxa"/>
          </w:tcPr>
          <w:p>
            <w:pPr/>
            <w:r>
              <w:t xml:space="preserve">+8,71</w:t>
            </w:r>
          </w:p>
        </w:tc>
        <w:tc>
          <w:tcPr>
            <w:tcW w:w="1872" w:type="dxa"/>
          </w:tcPr>
          <w:p>
            <w:pPr/>
            <w:r>
              <w:t xml:space="preserve">short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12:00–13:00</w:t>
            </w:r>
          </w:p>
        </w:tc>
        <w:tc>
          <w:tcPr>
            <w:tcW w:w="1872" w:type="dxa"/>
          </w:tcPr>
          <w:p>
            <w:pPr/>
            <w:r>
              <w:t xml:space="preserve">91,39</w:t>
            </w:r>
          </w:p>
        </w:tc>
        <w:tc>
          <w:tcPr>
            <w:tcW w:w="1872" w:type="dxa"/>
          </w:tcPr>
          <w:p>
            <w:pPr/>
            <w:r>
              <w:t xml:space="preserve">64,01</w:t>
            </w:r>
          </w:p>
        </w:tc>
        <w:tc>
          <w:tcPr>
            <w:tcW w:w="1872" w:type="dxa"/>
          </w:tcPr>
          <w:p>
            <w:pPr/>
            <w:r>
              <w:t xml:space="preserve">+27,39</w:t>
            </w:r>
          </w:p>
        </w:tc>
        <w:tc>
          <w:tcPr>
            <w:tcW w:w="1872" w:type="dxa"/>
          </w:tcPr>
          <w:p>
            <w:pPr/>
            <w:r>
              <w:t xml:space="preserve">short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15:00–16:00</w:t>
            </w:r>
          </w:p>
        </w:tc>
        <w:tc>
          <w:tcPr>
            <w:tcW w:w="1872" w:type="dxa"/>
          </w:tcPr>
          <w:p>
            <w:pPr/>
            <w:r>
              <w:t xml:space="preserve">72,32</w:t>
            </w:r>
          </w:p>
        </w:tc>
        <w:tc>
          <w:tcPr>
            <w:tcW w:w="1872" w:type="dxa"/>
          </w:tcPr>
          <w:p>
            <w:pPr/>
            <w:r>
              <w:t xml:space="preserve">64,01</w:t>
            </w:r>
          </w:p>
        </w:tc>
        <w:tc>
          <w:tcPr>
            <w:tcW w:w="1872" w:type="dxa"/>
          </w:tcPr>
          <w:p>
            <w:pPr/>
            <w:r>
              <w:t xml:space="preserve">+8,32</w:t>
            </w:r>
          </w:p>
        </w:tc>
        <w:tc>
          <w:tcPr>
            <w:tcW w:w="1872" w:type="dxa"/>
          </w:tcPr>
          <w:p>
            <w:pPr/>
            <w:r>
              <w:t xml:space="preserve">short (creux)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19:00–20:00</w:t>
            </w:r>
          </w:p>
        </w:tc>
        <w:tc>
          <w:tcPr>
            <w:tcW w:w="1872" w:type="dxa"/>
          </w:tcPr>
          <w:p>
            <w:pPr/>
            <w:r>
              <w:t xml:space="preserve">98,71</w:t>
            </w:r>
          </w:p>
        </w:tc>
        <w:tc>
          <w:tcPr>
            <w:tcW w:w="1872" w:type="dxa"/>
          </w:tcPr>
          <w:p>
            <w:pPr/>
            <w:r>
              <w:t xml:space="preserve">64,01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+34,70</w:t>
            </w:r>
          </w:p>
        </w:tc>
        <w:tc>
          <w:tcPr>
            <w:tcW w:w="1872" w:type="dxa"/>
          </w:tcPr>
          <w:p>
            <w:pPr/>
            <w:r>
              <w:t xml:space="preserve">short (maximum)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22:00–23:00</w:t>
            </w:r>
          </w:p>
        </w:tc>
        <w:tc>
          <w:tcPr>
            <w:tcW w:w="1872" w:type="dxa"/>
          </w:tcPr>
          <w:p>
            <w:pPr/>
            <w:r>
              <w:t xml:space="preserve">69,96</w:t>
            </w:r>
          </w:p>
        </w:tc>
        <w:tc>
          <w:tcPr>
            <w:tcW w:w="1872" w:type="dxa"/>
          </w:tcPr>
          <w:p>
            <w:pPr/>
            <w:r>
              <w:t xml:space="preserve">64,01</w:t>
            </w:r>
          </w:p>
        </w:tc>
        <w:tc>
          <w:tcPr>
            <w:tcW w:w="1872" w:type="dxa"/>
          </w:tcPr>
          <w:p>
            <w:pPr/>
            <w:r>
              <w:t xml:space="preserve">+5,95</w:t>
            </w:r>
          </w:p>
        </w:tc>
        <w:tc>
          <w:tcPr>
            <w:tcW w:w="1872" w:type="dxa"/>
          </w:tcPr>
          <w:p>
            <w:pPr/>
            <w:r>
              <w:t xml:space="preserve">short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23:00–00:00</w:t>
            </w:r>
          </w:p>
        </w:tc>
        <w:tc>
          <w:tcPr>
            <w:tcW w:w="1872" w:type="dxa"/>
          </w:tcPr>
          <w:p>
            <w:pPr/>
            <w:r>
              <w:t xml:space="preserve">56,39</w:t>
            </w:r>
          </w:p>
        </w:tc>
        <w:tc>
          <w:tcPr>
            <w:tcW w:w="1872" w:type="dxa"/>
          </w:tcPr>
          <w:p>
            <w:pPr/>
            <w:r>
              <w:t xml:space="preserve">64,01</w:t>
            </w:r>
          </w:p>
        </w:tc>
        <w:tc>
          <w:tcPr>
            <w:tcW w:w="1872" w:type="dxa"/>
          </w:tcPr>
          <w:p>
            <w:pPr/>
            <w:r>
              <w:t xml:space="preserve">−7,62</w:t>
            </w:r>
          </w:p>
        </w:tc>
        <w:tc>
          <w:tcPr>
            <w:tcW w:w="1872" w:type="dxa"/>
          </w:tcPr>
          <w:p>
            <w:pPr/>
            <w:r>
              <w:t xml:space="preserve">long</w:t>
            </w:r>
          </w:p>
        </w:tc>
      </w:tr>
    </w:tbl>
    <w:p>
      <w:pPr/>
      <w:r>
        <w:rPr>
          <w:b/>
        </w:rPr>
        <w:t xml:space="preserve">Au total : 261,6 MWh à acheter et 150,4 MWh à revendre</w:t>
      </w:r>
      <w:r>
        <w:t xml:space="preserve"> sur la journée.</w:t>
      </w:r>
    </w:p>
    <w:p>
      <w:pPr>
        <w:pStyle w:val="Heading3"/>
      </w:pPr>
      <w:r>
        <w:t xml:space="preserve">Comment lire cette courbe</w:t>
      </w:r>
    </w:p>
    <w:p>
      <w:pPr/>
      <w:r>
        <w:t xml:space="preserve">Le profil est typiquement férié : creux de nuit très bas, pas de pointe du matin, un double sommet à midi (91 MW) et surtout le soir (99 MW à 19 h). Face à lui, un ruban plat à 64 MW.</w:t>
      </w:r>
    </w:p>
    <w:p>
      <w:pPr/>
      <w:r>
        <w:t xml:space="preserve">Résultat : </w:t>
      </w:r>
      <w:r>
        <w:rPr>
          <w:b/>
        </w:rPr>
        <w:t xml:space="preserve">long de minuit à 9 h, short de 9 h à 23 h, long à nouveau en fin de soirée</w:t>
      </w:r>
      <w:r>
        <w:t xml:space="preserve">. C'est le défaut structurel du produit Base — il ne connaît pas les heures. Un ruban dimensionné sur une moyenne annuelle sur-couvre les creux et sous-couvre les pointes, et c'est exactement ce que la position ouverte rend visible.</w:t>
      </w:r>
    </w:p>
    <w:p>
      <w:pPr/>
      <w:r>
        <w:t xml:space="preserve">Le fichier </w:t>
      </w:r>
      <w:r>
        <w:rPr>
          <w:rStyle w:val="CodeChar"/>
        </w:rPr>
        <w:t xml:space="preserve">position_ouverte_20270101.csv</w:t>
      </w:r>
      <w:r>
        <w:t xml:space="preserve"> contient le tableau complet avec une colonne de position par scénario. C'est lui qu'il faut ouvrir dans Excel pour la session 5 ; </w:t>
      </w:r>
      <w:r>
        <w:rPr>
          <w:rStyle w:val="CodeChar"/>
        </w:rPr>
        <w:t xml:space="preserve">decision_t2.py</w:t>
      </w:r>
      <w:r>
        <w:t xml:space="preserve"> trace déjà le graphique en barres (rouge au-dessus de zéro pour les heures à acheter, bleu en dessous pour celles à revendre).</w:t>
      </w:r>
    </w:p>
    <w:p>
      <w:pPr>
        <w:pStyle w:val="Heading3"/>
      </w:pPr>
      <w:r>
        <w:t xml:space="preserve">Ce qu'il faut savoir dire</w:t>
      </w:r>
    </w:p>
    <w:p>
      <w:pPr>
        <w:pStyle w:val="ListParagraph"/>
        <w:numPr>
          <w:ilvl w:val="0"/>
          <w:numId w:val="19"/>
        </w:numPr>
      </w:pPr>
      <w:r>
        <w:t xml:space="preserve">Qu'une couverture </w:t>
      </w:r>
      <w:r>
        <w:rPr>
          <w:b/>
        </w:rPr>
        <w:t xml:space="preserve">livre</w:t>
      </w:r>
      <w:r>
        <w:t xml:space="preserve">, elle ne se stocke pas : c'est pour ça qu'on peut être long.</w:t>
      </w:r>
    </w:p>
    <w:p>
      <w:pPr>
        <w:pStyle w:val="ListParagraph"/>
        <w:numPr>
          <w:ilvl w:val="0"/>
          <w:numId w:val="19"/>
        </w:numPr>
      </w:pPr>
      <w:r>
        <w:t xml:space="preserve">Le piège vendredi férié du Peak, même si on n'en a pas acheté.</w:t>
      </w:r>
    </w:p>
    <w:p>
      <w:pPr>
        <w:pStyle w:val="ListParagraph"/>
        <w:numPr>
          <w:ilvl w:val="0"/>
          <w:numId w:val="19"/>
        </w:numPr>
      </w:pPr>
      <w:r>
        <w:t xml:space="preserve">Que la forme de la position ouverte est la conséquence directe du choix Base, pas un hasard.</w:t>
      </w:r>
    </w:p>
    <w:p>
      <w:pPr>
        <w:pStyle w:val="Heading2"/>
      </w:pPr>
      <w:r>
        <w:t xml:space="preserve">Étape 15 — Le T3 et l'ordre day-ahead</w:t>
      </w:r>
    </w:p>
    <w:p>
      <w:pPr/>
      <w:r>
        <w:t xml:space="preserve">Le 31 décembre, trois choses changent d'un coup : le marché a rebondi, le portefeuille s'est reconstitué, et </w:t>
      </w:r>
      <w:r>
        <w:rPr>
          <w:b/>
        </w:rPr>
        <w:t xml:space="preserve">une centrale solaire de 80 MWc apparaît</w:t>
      </w:r>
      <w:r>
        <w:t xml:space="preserve"> — elle n'existait dans aucun document précédent.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T1 (22/09)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T2 (01/12)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rPr>
                <w:b/>
              </w:rPr>
              <w:t xml:space="preserve">T3 (31/12)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Forward Cal-27 Base</w:t>
            </w:r>
          </w:p>
        </w:tc>
        <w:tc>
          <w:tcPr>
            <w:tcW w:w="2340" w:type="dxa"/>
          </w:tcPr>
          <w:p>
            <w:pPr/>
            <w:r>
              <w:t xml:space="preserve">83,31</w:t>
            </w:r>
          </w:p>
        </w:tc>
        <w:tc>
          <w:tcPr>
            <w:tcW w:w="2340" w:type="dxa"/>
          </w:tcPr>
          <w:p>
            <w:pPr/>
            <w:r>
              <w:t xml:space="preserve">73,70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78,37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Q1-27 Base</w:t>
            </w:r>
          </w:p>
        </w:tc>
        <w:tc>
          <w:tcPr>
            <w:tcW w:w="2340" w:type="dxa"/>
          </w:tcPr>
          <w:p>
            <w:pPr/>
            <w:r>
              <w:t xml:space="preserve">139,00</w:t>
            </w:r>
          </w:p>
        </w:tc>
        <w:tc>
          <w:tcPr>
            <w:tcW w:w="2340" w:type="dxa"/>
          </w:tcPr>
          <w:p>
            <w:pPr/>
            <w:r>
              <w:t xml:space="preserve">119,54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133,88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Clients RES1</w:t>
            </w:r>
          </w:p>
        </w:tc>
        <w:tc>
          <w:tcPr>
            <w:tcW w:w="2340" w:type="dxa"/>
          </w:tcPr>
          <w:p>
            <w:pPr/>
            <w:r>
              <w:t xml:space="preserve">200 000</w:t>
            </w:r>
          </w:p>
        </w:tc>
        <w:tc>
          <w:tcPr>
            <w:tcW w:w="2340" w:type="dxa"/>
          </w:tcPr>
          <w:p>
            <w:pPr/>
            <w:r>
              <w:t xml:space="preserve">188 200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191 531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Volume 2027</w:t>
            </w:r>
          </w:p>
        </w:tc>
        <w:tc>
          <w:tcPr>
            <w:tcW w:w="2340" w:type="dxa"/>
          </w:tcPr>
          <w:p>
            <w:pPr/>
            <w:r>
              <w:t xml:space="preserve">536 627</w:t>
            </w:r>
          </w:p>
        </w:tc>
        <w:tc>
          <w:tcPr>
            <w:tcW w:w="2340" w:type="dxa"/>
          </w:tcPr>
          <w:p>
            <w:pPr/>
            <w:r>
              <w:t xml:space="preserve">501 962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512 820 MWh</w:t>
            </w:r>
          </w:p>
        </w:tc>
      </w:tr>
    </w:tbl>
    <w:p>
      <w:pPr/>
      <w:r>
        <w:t xml:space="preserve">Le Q1-27 reprend 12 % en un mois : le marché anticipe un janvier froid, ce que la prévision de température confirmera.</w:t>
      </w:r>
    </w:p>
    <w:p>
      <w:pPr>
        <w:pStyle w:val="Heading3"/>
      </w:pPr>
      <w:r>
        <w:t xml:space="preserve">Objectif 1 — rééquilibrer la couverture</w:t>
      </w:r>
    </w:p>
    <w:p>
      <w:pPr/>
      <w:r>
        <w:t xml:space="preserve">Les achats du T1 et du T2 sont un </w:t>
      </w:r>
      <w:r>
        <w:rPr>
          <w:b/>
        </w:rPr>
        <w:t xml:space="preserve">fait</w:t>
      </w:r>
      <w:r>
        <w:t xml:space="preserve">, pas une décision : dans </w:t>
      </w:r>
      <w:r>
        <w:rPr>
          <w:rStyle w:val="CodeChar"/>
        </w:rPr>
        <w:t xml:space="preserve">spot_t3.py</w:t>
      </w:r>
      <w:r>
        <w:t xml:space="preserve"> ils sont une constante </w:t>
      </w:r>
      <w:r>
        <w:rPr>
          <w:rStyle w:val="CodeChar"/>
        </w:rPr>
        <w:t xml:space="preserve">POSITION</w:t>
      </w:r>
      <w:r>
        <w:t xml:space="preserve">, pas un calcul. Valorisés aux prix du 31/12 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Produit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MW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Acheté au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MWh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Prix payé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Prix T3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MtM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Q1-27 Base</w:t>
            </w:r>
          </w:p>
        </w:tc>
        <w:tc>
          <w:tcPr>
            <w:tcW w:w="1337" w:type="dxa"/>
          </w:tcPr>
          <w:p>
            <w:pPr/>
            <w:r>
              <w:t xml:space="preserve">49,58</w:t>
            </w:r>
          </w:p>
        </w:tc>
        <w:tc>
          <w:tcPr>
            <w:tcW w:w="1337" w:type="dxa"/>
          </w:tcPr>
          <w:p>
            <w:pPr/>
            <w:r>
              <w:t xml:space="preserve">T1</w:t>
            </w:r>
          </w:p>
        </w:tc>
        <w:tc>
          <w:tcPr>
            <w:tcW w:w="1337" w:type="dxa"/>
          </w:tcPr>
          <w:p>
            <w:pPr/>
            <w:r>
              <w:t xml:space="preserve">107 043</w:t>
            </w:r>
          </w:p>
        </w:tc>
        <w:tc>
          <w:tcPr>
            <w:tcW w:w="1337" w:type="dxa"/>
          </w:tcPr>
          <w:p>
            <w:pPr/>
            <w:r>
              <w:t xml:space="preserve">139,00</w:t>
            </w:r>
          </w:p>
        </w:tc>
        <w:tc>
          <w:tcPr>
            <w:tcW w:w="1337" w:type="dxa"/>
          </w:tcPr>
          <w:p>
            <w:pPr/>
            <w:r>
              <w:t xml:space="preserve">133,88</w:t>
            </w:r>
          </w:p>
        </w:tc>
        <w:tc>
          <w:tcPr>
            <w:tcW w:w="1337" w:type="dxa"/>
          </w:tcPr>
          <w:p>
            <w:pPr/>
            <w:r>
              <w:t xml:space="preserve">−548 k€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Q2-27 Base</w:t>
            </w:r>
          </w:p>
        </w:tc>
        <w:tc>
          <w:tcPr>
            <w:tcW w:w="1337" w:type="dxa"/>
          </w:tcPr>
          <w:p>
            <w:pPr/>
            <w:r>
              <w:t xml:space="preserve">37,91</w:t>
            </w:r>
          </w:p>
        </w:tc>
        <w:tc>
          <w:tcPr>
            <w:tcW w:w="1337" w:type="dxa"/>
          </w:tcPr>
          <w:p>
            <w:pPr/>
            <w:r>
              <w:t xml:space="preserve">T1</w:t>
            </w:r>
          </w:p>
        </w:tc>
        <w:tc>
          <w:tcPr>
            <w:tcW w:w="1337" w:type="dxa"/>
          </w:tcPr>
          <w:p>
            <w:pPr/>
            <w:r>
              <w:t xml:space="preserve">82 795</w:t>
            </w:r>
          </w:p>
        </w:tc>
        <w:tc>
          <w:tcPr>
            <w:tcW w:w="1337" w:type="dxa"/>
          </w:tcPr>
          <w:p>
            <w:pPr/>
            <w:r>
              <w:t xml:space="preserve">45,18</w:t>
            </w:r>
          </w:p>
        </w:tc>
        <w:tc>
          <w:tcPr>
            <w:tcW w:w="1337" w:type="dxa"/>
          </w:tcPr>
          <w:p>
            <w:pPr/>
            <w:r>
              <w:t xml:space="preserve">43,32</w:t>
            </w:r>
          </w:p>
        </w:tc>
        <w:tc>
          <w:tcPr>
            <w:tcW w:w="1337" w:type="dxa"/>
          </w:tcPr>
          <w:p>
            <w:pPr/>
            <w:r>
              <w:t xml:space="preserve">−154 k€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Q3-27 Base</w:t>
            </w:r>
          </w:p>
        </w:tc>
        <w:tc>
          <w:tcPr>
            <w:tcW w:w="1337" w:type="dxa"/>
          </w:tcPr>
          <w:p>
            <w:pPr/>
            <w:r>
              <w:t xml:space="preserve">36,47</w:t>
            </w:r>
          </w:p>
        </w:tc>
        <w:tc>
          <w:tcPr>
            <w:tcW w:w="1337" w:type="dxa"/>
          </w:tcPr>
          <w:p>
            <w:pPr/>
            <w:r>
              <w:t xml:space="preserve">T1</w:t>
            </w:r>
          </w:p>
        </w:tc>
        <w:tc>
          <w:tcPr>
            <w:tcW w:w="1337" w:type="dxa"/>
          </w:tcPr>
          <w:p>
            <w:pPr/>
            <w:r>
              <w:t xml:space="preserve">80 526</w:t>
            </w:r>
          </w:p>
        </w:tc>
        <w:tc>
          <w:tcPr>
            <w:tcW w:w="1337" w:type="dxa"/>
          </w:tcPr>
          <w:p>
            <w:pPr/>
            <w:r>
              <w:t xml:space="preserve">61,09</w:t>
            </w:r>
          </w:p>
        </w:tc>
        <w:tc>
          <w:tcPr>
            <w:tcW w:w="1337" w:type="dxa"/>
          </w:tcPr>
          <w:p>
            <w:pPr/>
            <w:r>
              <w:t xml:space="preserve">56,76</w:t>
            </w:r>
          </w:p>
        </w:tc>
        <w:tc>
          <w:tcPr>
            <w:tcW w:w="1337" w:type="dxa"/>
          </w:tcPr>
          <w:p>
            <w:pPr/>
            <w:r>
              <w:t xml:space="preserve">−349 k€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Q4-27 Base</w:t>
            </w:r>
          </w:p>
        </w:tc>
        <w:tc>
          <w:tcPr>
            <w:tcW w:w="1337" w:type="dxa"/>
          </w:tcPr>
          <w:p>
            <w:pPr/>
            <w:r>
              <w:t xml:space="preserve">47,65</w:t>
            </w:r>
          </w:p>
        </w:tc>
        <w:tc>
          <w:tcPr>
            <w:tcW w:w="1337" w:type="dxa"/>
          </w:tcPr>
          <w:p>
            <w:pPr/>
            <w:r>
              <w:t xml:space="preserve">T1</w:t>
            </w:r>
          </w:p>
        </w:tc>
        <w:tc>
          <w:tcPr>
            <w:tcW w:w="1337" w:type="dxa"/>
          </w:tcPr>
          <w:p>
            <w:pPr/>
            <w:r>
              <w:t xml:space="preserve">105 259</w:t>
            </w:r>
          </w:p>
        </w:tc>
        <w:tc>
          <w:tcPr>
            <w:tcW w:w="1337" w:type="dxa"/>
          </w:tcPr>
          <w:p>
            <w:pPr/>
            <w:r>
              <w:t xml:space="preserve">88,78</w:t>
            </w:r>
          </w:p>
        </w:tc>
        <w:tc>
          <w:tcPr>
            <w:tcW w:w="1337" w:type="dxa"/>
          </w:tcPr>
          <w:p>
            <w:pPr/>
            <w:r>
              <w:t xml:space="preserve">80,33</w:t>
            </w:r>
          </w:p>
        </w:tc>
        <w:tc>
          <w:tcPr>
            <w:tcW w:w="1337" w:type="dxa"/>
          </w:tcPr>
          <w:p>
            <w:pPr/>
            <w:r>
              <w:t xml:space="preserve">−889 k€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Cal-27 Base</w:t>
            </w:r>
          </w:p>
        </w:tc>
        <w:tc>
          <w:tcPr>
            <w:tcW w:w="1337" w:type="dxa"/>
          </w:tcPr>
          <w:p>
            <w:pPr/>
            <w:r>
              <w:t xml:space="preserve">14,42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T2</w:t>
            </w:r>
          </w:p>
        </w:tc>
        <w:tc>
          <w:tcPr>
            <w:tcW w:w="1337" w:type="dxa"/>
          </w:tcPr>
          <w:p>
            <w:pPr/>
            <w:r>
              <w:t xml:space="preserve">126 319</w:t>
            </w:r>
          </w:p>
        </w:tc>
        <w:tc>
          <w:tcPr>
            <w:tcW w:w="1337" w:type="dxa"/>
          </w:tcPr>
          <w:p>
            <w:pPr/>
            <w:r>
              <w:t xml:space="preserve">73,70</w:t>
            </w:r>
          </w:p>
        </w:tc>
        <w:tc>
          <w:tcPr>
            <w:tcW w:w="1337" w:type="dxa"/>
          </w:tcPr>
          <w:p>
            <w:pPr/>
            <w:r>
              <w:t xml:space="preserve">78,37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+590 k€</w:t>
            </w:r>
          </w:p>
        </w:tc>
      </w:tr>
      <w:tr>
        <w:tc>
          <w:tcPr>
            <w:tcW w:w="1337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501 942</w:t>
            </w:r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84,06</w:t>
            </w:r>
          </w:p>
        </w:tc>
        <w:tc>
          <w:tcPr>
            <w:tcW w:w="1337" w:type="dxa"/>
          </w:tcPr>
          <w:p>
            <w:pPr/>
          </w:p>
        </w:tc>
        <w:tc>
          <w:tcPr>
            <w:tcW w:w="1337" w:type="dxa"/>
          </w:tcPr>
          <w:p>
            <w:pPr/>
            <w:r>
              <w:rPr>
                <w:b/>
              </w:rPr>
              <w:t xml:space="preserve">−1,35 M€</w:t>
            </w:r>
          </w:p>
        </w:tc>
      </w:tr>
    </w:tbl>
    <w:p>
      <w:pPr/>
      <w:r>
        <w:rPr>
          <w:b/>
        </w:rPr>
        <w:t xml:space="preserve">L'achat du T2 était le bon appel</w:t>
      </w:r>
      <w:r>
        <w:t xml:space="preserve"> : acheté au creux du marché, il est le seul en gain. Et le mark-to-market global s'est redressé de −3,92 M€ au T2 à −1,35 M€.</w:t>
      </w:r>
    </w:p>
    <w:p>
      <w:pPr/>
      <w:r>
        <w:t xml:space="preserve">Le ratio global tombe à 97,9 %, mais la moyenne cache l'essentiel 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Besoin T3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Couvert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Ratio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Écart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Q1 (hiver)</w:t>
            </w:r>
          </w:p>
        </w:tc>
        <w:tc>
          <w:tcPr>
            <w:tcW w:w="1872" w:type="dxa"/>
          </w:tcPr>
          <w:p>
            <w:pPr/>
            <w:r>
              <w:t xml:space="preserve">146 113</w:t>
            </w:r>
          </w:p>
        </w:tc>
        <w:tc>
          <w:tcPr>
            <w:tcW w:w="1872" w:type="dxa"/>
          </w:tcPr>
          <w:p>
            <w:pPr/>
            <w:r>
              <w:t xml:space="preserve">138 176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94,6 %</w:t>
            </w:r>
          </w:p>
        </w:tc>
        <w:tc>
          <w:tcPr>
            <w:tcW w:w="1872" w:type="dxa"/>
          </w:tcPr>
          <w:p>
            <w:pPr/>
            <w:r>
              <w:t xml:space="preserve">short 7 937 MWh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Q2</w:t>
            </w:r>
          </w:p>
        </w:tc>
        <w:tc>
          <w:tcPr>
            <w:tcW w:w="1872" w:type="dxa"/>
          </w:tcPr>
          <w:p>
            <w:pPr/>
            <w:r>
              <w:t xml:space="preserve">113 058</w:t>
            </w:r>
          </w:p>
        </w:tc>
        <w:tc>
          <w:tcPr>
            <w:tcW w:w="1872" w:type="dxa"/>
          </w:tcPr>
          <w:p>
            <w:pPr/>
            <w:r>
              <w:t xml:space="preserve">114 289</w:t>
            </w:r>
          </w:p>
        </w:tc>
        <w:tc>
          <w:tcPr>
            <w:tcW w:w="1872" w:type="dxa"/>
          </w:tcPr>
          <w:p>
            <w:pPr/>
            <w:r>
              <w:t xml:space="preserve">101,1 %</w:t>
            </w:r>
          </w:p>
        </w:tc>
        <w:tc>
          <w:tcPr>
            <w:tcW w:w="1872" w:type="dxa"/>
          </w:tcPr>
          <w:p>
            <w:pPr/>
            <w:r>
              <w:t xml:space="preserve">long 1 231 MWh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Q3 (été)</w:t>
            </w:r>
          </w:p>
        </w:tc>
        <w:tc>
          <w:tcPr>
            <w:tcW w:w="1872" w:type="dxa"/>
          </w:tcPr>
          <w:p>
            <w:pPr/>
            <w:r>
              <w:t xml:space="preserve">109 950</w:t>
            </w:r>
          </w:p>
        </w:tc>
        <w:tc>
          <w:tcPr>
            <w:tcW w:w="1872" w:type="dxa"/>
          </w:tcPr>
          <w:p>
            <w:pPr/>
            <w:r>
              <w:t xml:space="preserve">112 365</w:t>
            </w:r>
          </w:p>
        </w:tc>
        <w:tc>
          <w:tcPr>
            <w:tcW w:w="1872" w:type="dxa"/>
          </w:tcPr>
          <w:p>
            <w:pPr/>
            <w:r>
              <w:t xml:space="preserve">102,2 %</w:t>
            </w:r>
          </w:p>
        </w:tc>
        <w:tc>
          <w:tcPr>
            <w:tcW w:w="1872" w:type="dxa"/>
          </w:tcPr>
          <w:p>
            <w:pPr/>
            <w:r>
              <w:t xml:space="preserve">long 2 415 MWh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Q4 (hiver)</w:t>
            </w:r>
          </w:p>
        </w:tc>
        <w:tc>
          <w:tcPr>
            <w:tcW w:w="1872" w:type="dxa"/>
          </w:tcPr>
          <w:p>
            <w:pPr/>
            <w:r>
              <w:t xml:space="preserve">143 699</w:t>
            </w:r>
          </w:p>
        </w:tc>
        <w:tc>
          <w:tcPr>
            <w:tcW w:w="1872" w:type="dxa"/>
          </w:tcPr>
          <w:p>
            <w:pPr/>
            <w:r>
              <w:t xml:space="preserve">137 113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95,4 %</w:t>
            </w:r>
          </w:p>
        </w:tc>
        <w:tc>
          <w:tcPr>
            <w:tcW w:w="1872" w:type="dxa"/>
          </w:tcPr>
          <w:p>
            <w:pPr/>
            <w:r>
              <w:t xml:space="preserve">short 6 586 MWh</w:t>
            </w:r>
          </w:p>
        </w:tc>
      </w:tr>
    </w:tbl>
    <w:p>
      <w:pPr/>
      <w:r>
        <w:rPr>
          <w:b/>
        </w:rPr>
        <w:t xml:space="preserve">On est short en hiver et long en été en même temps.</w:t>
      </w:r>
      <w:r>
        <w:t xml:space="preserve"> C'est le défaut du ruban Cal plat acheté au T2, qui livre autant en janvier qu'en juillet. Le rééquilibrage s'impose donc </w:t>
      </w:r>
      <w:r>
        <w:rPr>
          <w:b/>
        </w:rPr>
        <w:t xml:space="preserve">par trimestre</w:t>
      </w:r>
      <w:r>
        <w:t xml:space="preserve">, pas par un bout de Cal supplémentaire :</w:t>
      </w:r>
    </w:p>
    <w:p>
      <w:pPr>
        <w:pStyle w:val="Code"/>
      </w:pPr>
      <w:r>
        <w:t xml:space="preserve">ACHETER  3,68 MW de Q1-27 Base a 133,88  -&gt;  +1 063 kEUR</w:t>
        <w:br/>
        <w:t xml:space="preserve">VENDRE   0,56 MW de Q2-27 Base a  43,32  -&gt;     -53 kEUR</w:t>
        <w:br/>
        <w:t xml:space="preserve">VENDRE   1,09 MW de Q3-27 Base a  56,76  -&gt;    -137 kEUR</w:t>
        <w:br/>
        <w:t xml:space="preserve">ACHETER  2,98 MW de Q4-27 Base a  80,33  -&gt;    +529 kEUR</w:t>
        <w:br/>
        <w:t xml:space="preserve">                                             ----------</w:t>
        <w:br/>
        <w:t xml:space="preserve">                                   solde      +1,40 MEUR</w:t>
      </w:r>
    </w:p>
    <w:p>
      <w:pPr>
        <w:pStyle w:val="Heading3"/>
      </w:pPr>
      <w:r>
        <w:t xml:space="preserve">Objectif 2 — l'ordre day-ahead du 1er janvier</w:t>
      </w:r>
    </w:p>
    <w:p>
      <w:pPr/>
      <w:r>
        <w:t xml:space="preserve">La définition vient des takeaways de la session 5 :</w:t>
      </w:r>
    </w:p>
    <w:p>
      <w:pPr>
        <w:pStyle w:val="Quote"/>
      </w:pPr>
      <w:r>
        <w:rPr>
          <w:i/>
        </w:rPr>
        <w:t xml:space="preserve">Your spot exposure is the open position: </w:t>
      </w:r>
      <w:r>
        <w:rPr>
          <w:b/>
          <w:i/>
        </w:rPr>
        <w:t xml:space="preserve">load − hedges − own generation</w:t>
      </w:r>
      <w:r>
        <w:rPr>
          <w:i/>
        </w:rPr>
        <w:t xml:space="preserve">, for each 15-minute MTU.</w:t>
      </w:r>
    </w:p>
    <w:p>
      <w:pPr/>
      <w:r>
        <w:t xml:space="preserve">Deux termes nouveaux par rapport à l'étape 14 : la </w:t>
      </w:r>
      <w:r>
        <w:rPr>
          <w:b/>
        </w:rPr>
        <w:t xml:space="preserve">température prévue</w:t>
      </w:r>
      <w:r>
        <w:t xml:space="preserve"> (+0,44 °C de moyenne contre 4,79 °C de normale, donc </w:t>
      </w:r>
      <w:r>
        <w:rPr>
          <w:rStyle w:val="CodeChar"/>
        </w:rPr>
        <w:t xml:space="preserve">CM</w:t>
      </w:r>
      <w:r>
        <w:t xml:space="preserve"> à 1,09 pour RES1 et 1,14 pour PRO1) et la </w:t>
      </w:r>
      <w:r>
        <w:rPr>
          <w:b/>
        </w:rPr>
        <w:t xml:space="preserve">production solaire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Heure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Charge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Solaire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Couverture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Position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04:00</w:t>
            </w:r>
          </w:p>
        </w:tc>
        <w:tc>
          <w:tcPr>
            <w:tcW w:w="1872" w:type="dxa"/>
          </w:tcPr>
          <w:p>
            <w:pPr/>
            <w:r>
              <w:t xml:space="preserve">48,65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64,00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−15,35</w:t>
            </w:r>
            <w:r>
              <w:t xml:space="preserve"> long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12:00</w:t>
            </w:r>
          </w:p>
        </w:tc>
        <w:tc>
          <w:tcPr>
            <w:tcW w:w="1872" w:type="dxa"/>
          </w:tcPr>
          <w:p>
            <w:pPr/>
            <w:r>
              <w:t xml:space="preserve">95,92</w:t>
            </w:r>
          </w:p>
        </w:tc>
        <w:tc>
          <w:tcPr>
            <w:tcW w:w="1872" w:type="dxa"/>
          </w:tcPr>
          <w:p>
            <w:pPr/>
            <w:r>
              <w:t xml:space="preserve">24,0</w:t>
            </w:r>
          </w:p>
        </w:tc>
        <w:tc>
          <w:tcPr>
            <w:tcW w:w="1872" w:type="dxa"/>
          </w:tcPr>
          <w:p>
            <w:pPr/>
            <w:r>
              <w:t xml:space="preserve">64,00</w:t>
            </w:r>
          </w:p>
        </w:tc>
        <w:tc>
          <w:tcPr>
            <w:tcW w:w="1872" w:type="dxa"/>
          </w:tcPr>
          <w:p>
            <w:pPr/>
            <w:r>
              <w:t xml:space="preserve">+7,92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14:00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81,89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14,0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64,00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+3,89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15:00</w:t>
            </w:r>
          </w:p>
        </w:tc>
        <w:tc>
          <w:tcPr>
            <w:tcW w:w="1872" w:type="dxa"/>
          </w:tcPr>
          <w:p>
            <w:pPr/>
            <w:r>
              <w:t xml:space="preserve">79,91</w:t>
            </w:r>
          </w:p>
        </w:tc>
        <w:tc>
          <w:tcPr>
            <w:tcW w:w="1872" w:type="dxa"/>
          </w:tcPr>
          <w:p>
            <w:pPr/>
            <w:r>
              <w:t xml:space="preserve">5,0</w:t>
            </w:r>
          </w:p>
        </w:tc>
        <w:tc>
          <w:tcPr>
            <w:tcW w:w="1872" w:type="dxa"/>
          </w:tcPr>
          <w:p>
            <w:pPr/>
            <w:r>
              <w:t xml:space="preserve">64,00</w:t>
            </w:r>
          </w:p>
        </w:tc>
        <w:tc>
          <w:tcPr>
            <w:tcW w:w="1872" w:type="dxa"/>
          </w:tcPr>
          <w:p>
            <w:pPr/>
            <w:r>
              <w:t xml:space="preserve">+10,91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19:00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114,39</w:t>
            </w:r>
          </w:p>
        </w:tc>
        <w:tc>
          <w:tcPr>
            <w:tcW w:w="1872" w:type="dxa"/>
          </w:tcPr>
          <w:p>
            <w:pPr/>
            <w:r>
              <w:t xml:space="preserve">0</w:t>
            </w:r>
          </w:p>
        </w:tc>
        <w:tc>
          <w:tcPr>
            <w:tcW w:w="1872" w:type="dxa"/>
          </w:tcPr>
          <w:p>
            <w:pPr/>
            <w:r>
              <w:t xml:space="preserve">64,00</w:t>
            </w:r>
          </w:p>
        </w:tc>
        <w:tc>
          <w:tcPr>
            <w:tcW w:w="1872" w:type="dxa"/>
          </w:tcPr>
          <w:p>
            <w:pPr/>
            <w:r>
              <w:rPr>
                <w:b/>
              </w:rPr>
              <w:t xml:space="preserve">+50,39</w:t>
            </w:r>
            <w:r>
              <w:t xml:space="preserve"> short</w:t>
            </w:r>
          </w:p>
        </w:tc>
      </w:tr>
    </w:tbl>
    <w:p>
      <w:pPr/>
      <w:r>
        <w:t xml:space="preserve">Sur la journée : 1 849,5 MWh de charge contre 1 682,1 à température normale, 110,5 MWh de solaire, </w:t>
      </w:r>
      <w:r>
        <w:rPr>
          <w:b/>
        </w:rPr>
        <w:t xml:space="preserve">292,6 MWh à acheter et 89,6 à revendre</w:t>
      </w:r>
      <w:r>
        <w:t xml:space="preserve">.</w:t>
      </w:r>
    </w:p>
    <w:p>
      <w:pPr/>
      <w:r>
        <w:t xml:space="preserve">Pour l'heure demandée, la courbe d'ordre découle d'un principe de la session 5 : </w:t>
      </w:r>
      <w:r>
        <w:rPr>
          <w:i/>
        </w:rPr>
        <w:t xml:space="preserve">own generation is offered to the market, </w:t>
      </w:r>
      <w:r>
        <w:rPr>
          <w:b/>
          <w:i/>
        </w:rPr>
        <w:t xml:space="preserve">never reserved for your customers</w:t>
      </w:r>
      <w:r>
        <w:rPr>
          <w:i/>
        </w:rPr>
        <w:t xml:space="preserve"> — you dispatch against the price</w:t>
      </w:r>
      <w:r>
        <w:t xml:space="preserve">.</w:t>
      </w:r>
    </w:p>
    <w:p>
      <w:pPr>
        <w:pStyle w:val="Code"/>
      </w:pPr>
      <w:r>
        <w:t xml:space="preserve">prix &lt;  0 EUR/MWh  : on efface le solaire  -&gt;  ACHETER 17,89 MWh</w:t>
        <w:br/>
        <w:t xml:space="preserve">prix &gt;= 0 EUR/MWh  : le solaire est vendu  -&gt;  ACHETER  3,89 MWh</w:t>
      </w:r>
    </w:p>
    <w:p>
      <w:pPr/>
      <w:r>
        <w:t xml:space="preserve">Les 3,89 MWh sont un volume </w:t>
      </w:r>
      <w:r>
        <w:rPr>
          <w:b/>
        </w:rPr>
        <w:t xml:space="preserve">subi</w:t>
      </w:r>
      <w:r>
        <w:t xml:space="preserve"> : ordre sans limite de prix, parce que ne pas être servi coûte plus cher que n'importe quel prix de clearing. Le solaire, lui, porte une limite à son coût marginal (zéro) : en dessous, on préfère l'effacer.</w:t>
      </w:r>
    </w:p>
    <w:p>
      <w:pPr>
        <w:pStyle w:val="Heading3"/>
      </w:pPr>
      <w:r>
        <w:t xml:space="preserve">La réserve qu'il faut poser</w:t>
      </w:r>
    </w:p>
    <w:p>
      <w:pPr/>
      <w:r>
        <w:t xml:space="preserve">Si la centrale de 80 MWc appartient au portefeuille </w:t>
      </w:r>
      <w:r>
        <w:rPr>
          <w:b/>
        </w:rPr>
        <w:t xml:space="preserve">pour l'année entière</w:t>
      </w:r>
      <w:r>
        <w:t xml:space="preserve">, elle produit de l'ordre de 90 à 100 GWh, soit 18 à 20 % du besoin. L'objectif 1 s'inverserait alors complètement : on ne serait plus sous-couvert à 97,9 %, mais largement sur-couvert, et il faudrait vendre partout au lieu d'acheter l'hiver.</w:t>
      </w:r>
    </w:p>
    <w:p>
      <w:pPr/>
      <w:r>
        <w:rPr>
          <w:b/>
        </w:rPr>
        <w:t xml:space="preserve">Le fichier ne donne la production que pour le 1er janvier.</w:t>
      </w:r>
      <w:r>
        <w:t xml:space="preserve"> La constante </w:t>
      </w:r>
      <w:r>
        <w:rPr>
          <w:rStyle w:val="CodeChar"/>
        </w:rPr>
        <w:t xml:space="preserve">SOLAIRE_ANNUEL_MWH</w:t>
      </w:r>
      <w:r>
        <w:t xml:space="preserve"> est donc laissée à </w:t>
      </w:r>
      <w:r>
        <w:rPr>
          <w:rStyle w:val="CodeChar"/>
        </w:rPr>
        <w:t xml:space="preserve">None</w:t>
      </w:r>
      <w:r>
        <w:t xml:space="preserve"> dans le code : la renseigner suffit à faire basculer tout le raisonnement de l'objectif 1 vers un besoin net. À trancher avec le prof avant de figer la réponse.</w:t>
      </w:r>
    </w:p>
    <w:p>
      <w:pPr/>
      <w:r>
        <w:t xml:space="preserve">Même logique pour </w:t>
      </w:r>
      <w:r>
        <w:rPr>
          <w:rStyle w:val="CodeChar"/>
        </w:rPr>
        <w:t xml:space="preserve">PRIX_CLEARING</w:t>
      </w:r>
      <w:r>
        <w:t xml:space="preserve">, laissé à </w:t>
      </w:r>
      <w:r>
        <w:rPr>
          <w:rStyle w:val="CodeChar"/>
        </w:rPr>
        <w:t xml:space="preserve">None</w:t>
      </w:r>
      <w:r>
        <w:t xml:space="preserve"> : le </w:t>
      </w:r>
      <w:r>
        <w:rPr>
          <w:i/>
        </w:rPr>
        <w:t xml:space="preserve">hedge success</w:t>
      </w:r>
      <w:r>
        <w:t xml:space="preserve"> ne se calcule qu'une fois le prix spot publié — et le terme lui-même n'est défini nulle part dans les slides.</w:t>
      </w:r>
    </w:p>
    <w:p>
      <w:pPr>
        <w:pStyle w:val="Heading2"/>
      </w:pPr>
      <w:r>
        <w:t xml:space="preserve">Les limites à savoir nommer</w:t>
      </w:r>
    </w:p>
    <w:p>
      <w:pPr/>
      <w:r>
        <w:t xml:space="preserve">Trois faiblesses connues. Les annoncer vous-même vaut toujours mieux que de les laisser surgir dans les questions.</w:t>
      </w:r>
    </w:p>
    <w:p>
      <w:pPr>
        <w:pStyle w:val="Heading3"/>
      </w:pPr>
      <w:r>
        <w:t xml:space="preserve">1. La structure par terme du Shape ne suit pas le marché</w:t>
      </w:r>
    </w:p>
    <w:p>
      <w:pPr/>
      <w:r>
        <w:t xml:space="preserve">C'est la plus sérieuse. Le Level × Shape normalise la forme historique à une moyenne </w:t>
      </w:r>
      <w:r>
        <w:rPr>
          <w:b/>
        </w:rPr>
        <w:t xml:space="preserve">annuelle</w:t>
      </w:r>
      <w:r>
        <w:t xml:space="preserve"> de 1 et l'ancre sur le forward annuel. La saisonnalité qui en résulte est donc celle de l'année historique, pas celle que le marché price pour 2027.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Q1 / moyenne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Q4 / moyenne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Marché EEX au T1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1,67</w:t>
            </w:r>
          </w:p>
        </w:tc>
        <w:tc>
          <w:tcPr>
            <w:tcW w:w="3120" w:type="dxa"/>
          </w:tcPr>
          <w:p>
            <w:pPr/>
            <w:r>
              <w:t xml:space="preserve">1,07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Scénario 2021</w:t>
            </w:r>
          </w:p>
        </w:tc>
        <w:tc>
          <w:tcPr>
            <w:tcW w:w="3120" w:type="dxa"/>
          </w:tcPr>
          <w:p>
            <w:pPr/>
            <w:r>
              <w:t xml:space="preserve">0,49</w:t>
            </w:r>
          </w:p>
        </w:tc>
        <w:tc>
          <w:tcPr>
            <w:tcW w:w="3120" w:type="dxa"/>
          </w:tcPr>
          <w:p>
            <w:pPr/>
            <w:r>
              <w:t xml:space="preserve">2,03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Scénario 2023</w:t>
            </w:r>
          </w:p>
        </w:tc>
        <w:tc>
          <w:tcPr>
            <w:tcW w:w="3120" w:type="dxa"/>
          </w:tcPr>
          <w:p>
            <w:pPr/>
            <w:r>
              <w:t xml:space="preserve">1,35</w:t>
            </w:r>
          </w:p>
        </w:tc>
        <w:tc>
          <w:tcPr>
            <w:tcW w:w="3120" w:type="dxa"/>
          </w:tcPr>
          <w:p>
            <w:pPr/>
            <w:r>
              <w:t xml:space="preserve">0,83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Scénario 2024</w:t>
            </w:r>
          </w:p>
        </w:tc>
        <w:tc>
          <w:tcPr>
            <w:tcW w:w="3120" w:type="dxa"/>
          </w:tcPr>
          <w:p>
            <w:pPr/>
            <w:r>
              <w:t xml:space="preserve">1,09</w:t>
            </w:r>
          </w:p>
        </w:tc>
        <w:tc>
          <w:tcPr>
            <w:tcW w:w="3120" w:type="dxa"/>
          </w:tcPr>
          <w:p>
            <w:pPr/>
            <w:r>
              <w:t xml:space="preserve">1,50</w:t>
            </w:r>
          </w:p>
        </w:tc>
      </w:tr>
    </w:tbl>
    <w:p>
      <w:pPr/>
      <w:r>
        <w:t xml:space="preserve">2021 traîne la crise gazière de son quatrième trimestre, 2023 un premier trimestre cher. Conséquence directe : quand le modèle compare un achat en trimestres (aux vrais prix EEX) à un achat en Cal, il juge les trimestres « trop chers » — mais c'est parce qu'il confronte un prix Q1 </w:t>
      </w:r>
      <w:r>
        <w:rPr>
          <w:b/>
        </w:rPr>
        <w:t xml:space="preserve">réel</w:t>
      </w:r>
      <w:r>
        <w:t xml:space="preserve"> à un spot Q1 tiré au hasard dans l'histoire. </w:t>
      </w:r>
      <w:r>
        <w:rPr>
          <w:b/>
        </w:rPr>
        <w:t xml:space="preserve">Toute comparaison Cal contre trimestres est donc peu fiable en l'état.</w:t>
      </w:r>
    </w:p>
    <w:p>
      <w:pPr/>
      <w:r>
        <w:t xml:space="preserve">Un point important pour se défendre : la méthode telle qu'elle est implémentée suit </w:t>
      </w:r>
      <w:r>
        <w:rPr>
          <w:b/>
        </w:rPr>
        <w:t xml:space="preserve">exactement</w:t>
      </w:r>
      <w:r>
        <w:t xml:space="preserve"> la prescription du cours (</w:t>
      </w:r>
      <w:r>
        <w:rPr>
          <w:i/>
        </w:rPr>
        <w:t xml:space="preserve">normalising each shape to an average of 1, never reusing the historical price level</w:t>
      </w:r>
      <w:r>
        <w:t xml:space="preserve">). Ce n'est pas une erreur de codage, c'est une limite de la méthode prescrite.</w:t>
      </w:r>
    </w:p>
    <w:p>
      <w:pPr/>
      <w:r>
        <w:rPr>
          <w:b/>
        </w:rPr>
        <w:t xml:space="preserve">Le correctif</w:t>
      </w:r>
      <w:r>
        <w:t xml:space="preserve">, si vous voulez aller plus loin : normaliser la forme à l'intérieur de </w:t>
      </w:r>
      <w:r>
        <w:rPr>
          <w:b/>
        </w:rPr>
        <w:t xml:space="preserve">chaque trimestre</w:t>
      </w:r>
      <w:r>
        <w:t xml:space="preserve"> et ancrer chaque trimestre sur son propre prix EEX (119,54 / 42,47 / 56,20 / 77,24 au T2). L'année historique ne fournirait plus que la forme intra-trimestre et intra-journalière, qui est son vrai apport. Une quinzaine de lignes dans </w:t>
      </w:r>
      <w:r>
        <w:rPr>
          <w:rStyle w:val="CodeChar"/>
        </w:rPr>
        <w:t xml:space="preserve">scenario_spot()</w:t>
      </w:r>
      <w:r>
        <w:t xml:space="preserve">.</w:t>
      </w:r>
    </w:p>
    <w:p>
      <w:pPr>
        <w:pStyle w:val="Heading3"/>
      </w:pPr>
      <w:r>
        <w:t xml:space="preserve">2. Le r² de la régression vaut 0,243</w:t>
      </w:r>
    </w:p>
    <w:p>
      <w:pPr/>
      <w:r>
        <w:t xml:space="preserve">Le volume explique un quart de la variance du prix, pas davantage. Les pentes annuelles vont de 1,93 à 3,62, presque du simple au double. Le code mutualise sur 454 jours pour stabiliser l'estimation et teste la sensibilité — le classement des stratégies ne bouge pas, ce qui est rassurant. Mais </w:t>
      </w:r>
      <w:r>
        <w:rPr>
          <w:b/>
        </w:rPr>
        <w:t xml:space="preserve">b n'est pas une loi</w:t>
      </w:r>
      <w:r>
        <w:t xml:space="preserve">, c'est une régularité statistique moyenne, et il faut le présenter ainsi.</w:t>
      </w:r>
    </w:p>
    <w:p>
      <w:pPr>
        <w:pStyle w:val="Heading3"/>
      </w:pPr>
      <w:r>
        <w:t xml:space="preserve">3. Trois années douces, et un choc dont vous choisissez les paramètres</w:t>
      </w:r>
    </w:p>
    <w:p>
      <w:pPr/>
      <w:r>
        <w:t xml:space="preserve">2021, 2023 et 2024 ont des anomalies de volume comprises entre −1,69 % et −0,05 % : </w:t>
      </w:r>
      <w:r>
        <w:rPr>
          <w:b/>
        </w:rPr>
        <w:t xml:space="preserve">aucune n'est un vrai hiver froid</w:t>
      </w:r>
      <w:r>
        <w:t xml:space="preserve">. C'est la raison d'être du scénario de choc, mais ses deux paramètres (+20 % de niveau, 15 % de probabilité) sont des choix défendables, pas des mesures.</w:t>
      </w:r>
    </w:p>
    <w:p>
      <w:pPr/>
      <w:r>
        <w:t xml:space="preserve">La meilleure amélioration possible du dossier, si vous avez le temps : </w:t>
      </w:r>
      <w:r>
        <w:rPr>
          <w:b/>
        </w:rPr>
        <w:t xml:space="preserve">ajouter une vraie année froide</w:t>
      </w:r>
      <w:r>
        <w:t xml:space="preserve"> (2012 ou 2017) à la liste </w:t>
      </w:r>
      <w:r>
        <w:rPr>
          <w:rStyle w:val="CodeChar"/>
        </w:rPr>
        <w:t xml:space="preserve">ANNEES</w:t>
      </w:r>
      <w:r>
        <w:t xml:space="preserve">. Un scénario froid documenté vaut mieux qu'un choc synthétique, et le code le prend sans modification — il suffit des deux CSV dans </w:t>
      </w:r>
      <w:r>
        <w:rPr>
          <w:rStyle w:val="CodeChar"/>
        </w:rPr>
        <w:t xml:space="preserve">historique/</w:t>
      </w:r>
      <w:r>
        <w:t xml:space="preserve">.</w:t>
      </w:r>
    </w:p>
    <w:p>
      <w:pPr>
        <w:pStyle w:val="Heading3"/>
      </w:pPr>
      <w:r>
        <w:t xml:space="preserve">Ce que le modèle ne fait pas du tout</w:t>
      </w:r>
    </w:p>
    <w:p>
      <w:pPr/>
      <w:r>
        <w:t xml:space="preserve">Deux sujets apparaissent dans le cours mais </w:t>
      </w:r>
      <w:r>
        <w:rPr>
          <w:b/>
        </w:rPr>
        <w:t xml:space="preserve">ne sont pas exigés</w:t>
      </w:r>
      <w:r>
        <w:t xml:space="preserve"> par les guidelines du Market Game :</w:t>
      </w:r>
    </w:p>
    <w:p>
      <w:pPr>
        <w:pStyle w:val="ListParagraph"/>
        <w:numPr>
          <w:ilvl w:val="0"/>
          <w:numId w:val="20"/>
        </w:numPr>
      </w:pPr>
      <w:r>
        <w:t xml:space="preserve">la </w:t>
      </w:r>
      <w:r>
        <w:rPr>
          <w:b/>
        </w:rPr>
        <w:t xml:space="preserve">production photovoltaïque</w:t>
      </w:r>
      <w:r>
        <w:t xml:space="preserve"> et la duck curve (session 2) ;</w:t>
      </w:r>
    </w:p>
    <w:p>
      <w:pPr>
        <w:pStyle w:val="ListParagraph"/>
        <w:numPr>
          <w:ilvl w:val="0"/>
          <w:numId w:val="20"/>
        </w:numPr>
      </w:pPr>
      <w:r>
        <w:t xml:space="preserve">une génération de scénarios par </w:t>
      </w:r>
      <w:r>
        <w:rPr>
          <w:b/>
        </w:rPr>
        <w:t xml:space="preserve">séries temporelles ou Monte-Carlo</w:t>
      </w:r>
      <w:r>
        <w:t xml:space="preserve"> — le §3.2 la propose comme alternative au calcul de b, pas comme obligation, et prévient qu'il vaut mieux maîtriser l'outil qu'on utilise.</w:t>
      </w:r>
    </w:p>
    <w:p>
      <w:pPr/>
      <w:r>
        <w:t xml:space="preserve">Les citer comme prolongements possibles vaut mieux que de faire comme s'ils n'existaient pas.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1"/>
    <w:lvlOverride w:ilvl="0">
      <w:startOverride w:val="1"/>
    </w:lvlOverride>
  </w:num>
  <w:num w:numId="19">
    <w:abstractNumId w:val="0"/>
  </w:num>
  <w:num w:numId="2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Market Game 2027 — comprendre le code étape par étape</dc:title>
  <dc:description>Claude Docs node/64a4ef24-05ec@32 docx-w6</dc:description>
  <cp:revision>32</cp:revision>
</cp:coreProperties>
</file>