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Market Game 2027 — comprendre le code étape par étape</w:t>
      </w:r>
    </w:p>
    <w:p>
      <w:pPr/>
      <w:r>
        <w:t xml:space="preserve">Oct 3, 2026</w:t>
      </w:r>
      <w:r>
        <w:t xml:space="preserve"> · </w:t>
      </w:r>
      <w:r>
        <w:t xml:space="preserve">@Jean</w:t>
      </w:r>
    </w:p>
    <w:p>
      <w:pPr/>
      <w:r>
        <w:t xml:space="preserve">Le portefeuille 2027 pèse 536 627 MWh à température normale. Ce document suit, étape par étape, le chemin que parcourent les cinq scripts Python : du coefficient de profil Enedis jusqu'à l'ordre day-ahead du 1er janvier 2027 — la théorie du cours d'un côté, le bout de code qui l'applique de l'autre.</w:t>
      </w:r>
    </w:p>
    <w:p>
      <w:pPr>
        <w:pStyle w:val="Heading2"/>
      </w:pPr>
      <w:r>
        <w:t xml:space="preserve">Le circuit</w:t>
      </w:r>
    </w:p>
    <w:p>
      <w:pPr/>
      <w:r>
        <w:drawing>
          <wp:inline distT="0" distB="0" distL="0" distR="0">
            <wp:extent cx="5486400" cy="4702628"/>
            <wp:docPr id="1" name="image1" descr="circuit du modèle · 3 sources, 4 scripts, 14 étapes"/>
            <a:graphic xmlns:a="http://schemas.openxmlformats.org/drawingml/2006/main">
              <a:graphicData uri="http://schemas.openxmlformats.org/drawingml/2006/picture">
                <pic:pic xmlns:pic="http://schemas.openxmlformats.org/drawingml/2006/picture">
                  <pic:nvPicPr>
                    <pic:cNvPr id="1" name="image1" descr="circuit du modèle · 3 sources, 4 scripts, 14 étapes"/>
                    <pic:cNvPicPr/>
                  </pic:nvPicPr>
                  <pic:blipFill>
                    <a:blip r:embed="rId3"/>
                    <a:stretch>
                      <a:fillRect/>
                    </a:stretch>
                  </pic:blipFill>
                  <pic:spPr>
                    <a:xfrm>
                      <a:off x="0" y="0"/>
                      <a:ext cx="5486400" cy="4702628"/>
                    </a:xfrm>
                    <a:prstGeom prst="rect">
                      <a:avLst/>
                    </a:prstGeom>
                  </pic:spPr>
                </pic:pic>
              </a:graphicData>
            </a:graphic>
          </wp:inline>
        </w:drawing>
      </w:r>
    </w:p>
    <w:p>
      <w:pPr/>
      <w:r>
        <w:t xml:space="preserve">circuit du modèle · 3 sources, 4 scripts, 14 étapes</w:t>
      </w:r>
    </w:p>
    <w:p>
      <w:pPr/>
      <w:r>
        <w:t xml:space="preserve">Chaque script reconstruit tout depuis les CSV de base : aucun ne lit les sorties d'un autre. C'est ce qui permet de relancer </w:t>
      </w:r>
      <w:r>
        <w:rPr>
          <w:rStyle w:val="CodeChar"/>
        </w:rPr>
        <w:t xml:space="preserve">t2_decision.py</w:t>
      </w:r>
      <w:r>
        <w:t xml:space="preserve"> seul après avoir changé un paramètre, et c'est aussi pourquoi chacun recharge les CSV au démarrage.</w:t>
      </w:r>
    </w:p>
    <w:p>
      <w:pPr>
        <w:pStyle w:val="Heading2"/>
      </w:pPr>
      <w:r>
        <w:t xml:space="preserve">Les chiffres clés</w:t>
      </w:r>
    </w:p>
    <w:p>
      <w:pPr/>
      <w:r>
        <w:t xml:space="preserve">Tout ce qu'on peut vous demander de citer de mémoire, regroupé ici.</w:t>
      </w:r>
    </w:p>
    <w:p>
      <w:pPr>
        <w:pStyle w:val="Heading3"/>
      </w:pPr>
      <w:r>
        <w:t xml:space="preserve">Paramètres imposés (§2.2, identiques pour toutes les équipes)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Prix de vente, composante énergie</w:t>
            </w:r>
          </w:p>
        </w:tc>
        <w:tc>
          <w:tcPr>
            <w:tcW w:w="2340" w:type="dxa"/>
            <w:shd w:val="clear" w:color="auto" w:fill="F2F2F2"/>
          </w:tcPr>
          <w:p>
            <w:pPr/>
            <w:r>
              <w:t xml:space="preserve">Marge cible</w:t>
            </w:r>
          </w:p>
        </w:tc>
        <w:tc>
          <w:tcPr>
            <w:tcW w:w="2340" w:type="dxa"/>
            <w:shd w:val="clear" w:color="auto" w:fill="F2F2F2"/>
          </w:tcPr>
          <w:p>
            <w:pPr/>
            <w:r>
              <w:t xml:space="preserve">Plancher de risque</w:t>
            </w:r>
          </w:p>
        </w:tc>
        <w:tc>
          <w:tcPr>
            <w:tcW w:w="2340" w:type="dxa"/>
            <w:shd w:val="clear" w:color="auto" w:fill="F2F2F2"/>
          </w:tcPr>
          <w:p>
            <w:pPr/>
            <w:r>
              <w:t xml:space="preserve">Prime de risque forward</w:t>
            </w:r>
          </w:p>
        </w:tc>
      </w:tr>
      <w:tr>
        <w:tc>
          <w:tcPr>
            <w:tcW w:w="2340" w:type="dxa"/>
          </w:tcPr>
          <w:p>
            <w:pPr/>
            <w:r>
              <w:t xml:space="preserve">95 €/MWh</w:t>
            </w:r>
          </w:p>
        </w:tc>
        <w:tc>
          <w:tcPr>
            <w:tcW w:w="2340" w:type="dxa"/>
          </w:tcPr>
          <w:p>
            <w:pPr/>
            <w:r>
              <w:t xml:space="preserve">10 €/MWh</w:t>
            </w:r>
          </w:p>
        </w:tc>
        <w:tc>
          <w:tcPr>
            <w:tcW w:w="2340" w:type="dxa"/>
          </w:tcPr>
          <w:p>
            <w:pPr/>
            <w:r>
              <w:t xml:space="preserve">5 €/MWh</w:t>
            </w:r>
          </w:p>
        </w:tc>
        <w:tc>
          <w:tcPr>
            <w:tcW w:w="2340" w:type="dxa"/>
          </w:tcPr>
          <w:p>
            <w:pPr/>
            <w:r>
              <w:t xml:space="preserve">3 %</w:t>
            </w:r>
          </w:p>
        </w:tc>
      </w:tr>
    </w:tbl>
    <w:p>
      <w:pPr>
        <w:pStyle w:val="Heading3"/>
      </w:pPr>
      <w:r>
        <w:t xml:space="preserve">Le volume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r>
              <w:t xml:space="preserve">Valeur</w:t>
            </w:r>
          </w:p>
        </w:tc>
      </w:tr>
      <w:tr>
        <w:tc>
          <w:tcPr>
            <w:tcW w:w="4680" w:type="dxa"/>
          </w:tcPr>
          <w:p>
            <w:pPr/>
            <w:r>
              <w:rPr>
                <w:b/>
              </w:rPr>
              <w:t xml:space="preserve">Énergie 2027, température normale</w:t>
            </w:r>
          </w:p>
        </w:tc>
        <w:tc>
          <w:tcPr>
            <w:tcW w:w="4680" w:type="dxa"/>
          </w:tcPr>
          <w:p>
            <w:pPr/>
            <w:r>
              <w:rPr>
                <w:b/>
              </w:rPr>
              <w:t xml:space="preserve">536 627 MWh</w:t>
            </w:r>
            <w:r>
              <w:t xml:space="preserve"> = le 100 % de tous les ratios</w:t>
            </w:r>
          </w:p>
        </w:tc>
      </w:tr>
      <w:tr>
        <w:tc>
          <w:tcPr>
            <w:tcW w:w="4680" w:type="dxa"/>
          </w:tcPr>
          <w:p>
            <w:pPr/>
            <w:r>
              <w:t xml:space="preserve">Pointe</w:t>
            </w:r>
          </w:p>
        </w:tc>
        <w:tc>
          <w:tcPr>
            <w:tcW w:w="4680" w:type="dxa"/>
          </w:tcPr>
          <w:p>
            <w:pPr/>
            <w:r>
              <w:t xml:space="preserve">118,33 MW le 07/01 à 18h45</w:t>
            </w:r>
          </w:p>
        </w:tc>
      </w:tr>
      <w:tr>
        <w:tc>
          <w:tcPr>
            <w:tcW w:w="4680" w:type="dxa"/>
          </w:tcPr>
          <w:p>
            <w:pPr/>
            <w:r>
              <w:t xml:space="preserve">Répartition RES1 / PRO1</w:t>
            </w:r>
          </w:p>
        </w:tc>
        <w:tc>
          <w:tcPr>
            <w:tcW w:w="4680" w:type="dxa"/>
          </w:tcPr>
          <w:p>
            <w:pPr/>
            <w:r>
              <w:t xml:space="preserve">76,7 % / 23,3 %</w:t>
            </w:r>
          </w:p>
        </w:tc>
      </w:tr>
      <w:tr>
        <w:tc>
          <w:tcPr>
            <w:tcW w:w="4680" w:type="dxa"/>
          </w:tcPr>
          <w:p>
            <w:pPr/>
            <w:r>
              <w:t xml:space="preserve">Trimestres (MWh)</w:t>
            </w:r>
          </w:p>
        </w:tc>
        <w:tc>
          <w:tcPr>
            <w:tcW w:w="4680" w:type="dxa"/>
          </w:tcPr>
          <w:p>
            <w:pPr/>
            <w:r>
              <w:t xml:space="preserve">Q1 152 934 · Q2 118 293 · Q3 115 024 · Q4 150 376</w:t>
            </w:r>
          </w:p>
        </w:tc>
      </w:tr>
      <w:tr>
        <w:tc>
          <w:tcPr>
            <w:tcW w:w="4680" w:type="dxa"/>
          </w:tcPr>
          <w:p>
            <w:pPr/>
            <w:r>
              <w:t xml:space="preserve">Peak / off-peak</w:t>
            </w:r>
          </w:p>
        </w:tc>
        <w:tc>
          <w:tcPr>
            <w:tcW w:w="4680" w:type="dxa"/>
          </w:tcPr>
          <w:p>
            <w:pPr/>
            <w:r>
              <w:t xml:space="preserve">42,4 % / 57,6 %, ratio de forme </w:t>
            </w:r>
            <w:r>
              <w:rPr>
                <w:b/>
              </w:rPr>
              <w:t xml:space="preserve">1,32</w:t>
            </w:r>
          </w:p>
        </w:tc>
      </w:tr>
      <w:tr>
        <w:tc>
          <w:tcPr>
            <w:tcW w:w="4680" w:type="dxa"/>
          </w:tcPr>
          <w:p>
            <w:pPr/>
            <w:r>
              <w:t xml:space="preserve">Foisonnement</w:t>
            </w:r>
          </w:p>
        </w:tc>
        <w:tc>
          <w:tcPr>
            <w:tcW w:w="4680" w:type="dxa"/>
          </w:tcPr>
          <w:p>
            <w:pPr/>
            <w:r>
              <w:t xml:space="preserve">8,5 % (136,98 MW de pointes cumulées contre 125,40 pour le portefeuille)</w:t>
            </w:r>
          </w:p>
        </w:tc>
      </w:tr>
      <w:tr>
        <w:tc>
          <w:tcPr>
            <w:tcW w:w="4680" w:type="dxa"/>
          </w:tcPr>
          <w:p>
            <w:pPr/>
            <w:r>
              <w:t xml:space="preserve">Thermosensibilité</w:t>
            </w:r>
          </w:p>
        </w:tc>
        <w:tc>
          <w:tcPr>
            <w:tcW w:w="4680" w:type="dxa"/>
          </w:tcPr>
          <w:p>
            <w:pPr/>
            <w:r>
              <w:t xml:space="preserve">1,96 MW/°C en moyenne de chauffe</w:t>
            </w:r>
          </w:p>
        </w:tc>
      </w:tr>
      <w:tr>
        <w:tc>
          <w:tcPr>
            <w:tcW w:w="4680" w:type="dxa"/>
          </w:tcPr>
          <w:p>
            <w:pPr/>
            <w:r>
              <w:rPr>
                <w:b/>
              </w:rPr>
              <w:t xml:space="preserve">Volume révisé au T2</w:t>
            </w:r>
          </w:p>
        </w:tc>
        <w:tc>
          <w:tcPr>
            <w:tcW w:w="4680" w:type="dxa"/>
          </w:tcPr>
          <w:p>
            <w:pPr/>
            <w:r>
              <w:rPr>
                <w:b/>
              </w:rPr>
              <w:t xml:space="preserve">501 962 MWh</w:t>
            </w:r>
            <w:r>
              <w:t xml:space="preserve"> (−6,46 %)</w:t>
            </w:r>
          </w:p>
        </w:tc>
      </w:tr>
    </w:tbl>
    <w:p>
      <w:pPr>
        <w:pStyle w:val="Heading3"/>
      </w:pPr>
      <w:r>
        <w:t xml:space="preserve">Le prix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r>
              <w:t xml:space="preserve">Valeur</w:t>
            </w:r>
          </w:p>
        </w:tc>
      </w:tr>
      <w:tr>
        <w:tc>
          <w:tcPr>
            <w:tcW w:w="4680" w:type="dxa"/>
          </w:tcPr>
          <w:p>
            <w:pPr/>
            <w:r>
              <w:t xml:space="preserve">Forward Cal-27 Base au T1 (22/09/2026)</w:t>
            </w:r>
          </w:p>
        </w:tc>
        <w:tc>
          <w:tcPr>
            <w:tcW w:w="4680" w:type="dxa"/>
          </w:tcPr>
          <w:p>
            <w:pPr/>
            <w:r>
              <w:rPr>
                <w:b/>
              </w:rPr>
              <w:t xml:space="preserve">83,31 €/MWh</w:t>
            </w:r>
          </w:p>
        </w:tc>
      </w:tr>
      <w:tr>
        <w:tc>
          <w:tcPr>
            <w:tcW w:w="4680" w:type="dxa"/>
          </w:tcPr>
          <w:p>
            <w:pPr/>
            <w:r>
              <w:t xml:space="preserve">Forward Cal-27 Base au T2 (01/12/2026)</w:t>
            </w:r>
          </w:p>
        </w:tc>
        <w:tc>
          <w:tcPr>
            <w:tcW w:w="4680" w:type="dxa"/>
          </w:tcPr>
          <w:p>
            <w:pPr/>
            <w:r>
              <w:rPr>
                <w:b/>
              </w:rPr>
              <w:t xml:space="preserve">73,70 €/MWh</w:t>
            </w:r>
            <w:r>
              <w:t xml:space="preserve"> (−11,5 %)</w:t>
            </w:r>
          </w:p>
        </w:tc>
      </w:tr>
      <w:tr>
        <w:tc>
          <w:tcPr>
            <w:tcW w:w="4680" w:type="dxa"/>
          </w:tcPr>
          <w:p>
            <w:pPr/>
            <w:r>
              <w:t xml:space="preserve">Pente prix-volume mutualisée</w:t>
            </w:r>
          </w:p>
        </w:tc>
        <w:tc>
          <w:tcPr>
            <w:tcW w:w="4680" w:type="dxa"/>
          </w:tcPr>
          <w:p>
            <w:pPr/>
            <w:r>
              <w:rPr>
                <w:b/>
              </w:rPr>
              <w:t xml:space="preserve">b = +2,451</w:t>
            </w:r>
            <w:r>
              <w:t xml:space="preserve"> (r² = 0,243, t = +12,1, n = 454)</w:t>
            </w:r>
          </w:p>
        </w:tc>
      </w:tr>
      <w:tr>
        <w:tc>
          <w:tcPr>
            <w:tcW w:w="4680" w:type="dxa"/>
          </w:tcPr>
          <w:p>
            <w:pPr/>
            <w:r>
              <w:t xml:space="preserve">Levels des scénarios</w:t>
            </w:r>
          </w:p>
        </w:tc>
        <w:tc>
          <w:tcPr>
            <w:tcW w:w="4680" w:type="dxa"/>
          </w:tcPr>
          <w:p>
            <w:pPr/>
            <w:r>
              <w:t xml:space="preserve">2021 </w:t>
            </w:r>
            <w:r>
              <w:rPr>
                <w:b/>
              </w:rPr>
              <w:t xml:space="preserve">80,72</w:t>
            </w:r>
            <w:r>
              <w:t xml:space="preserve"> · 2023 </w:t>
            </w:r>
            <w:r>
              <w:rPr>
                <w:b/>
              </w:rPr>
              <w:t xml:space="preserve">78,00</w:t>
            </w:r>
            <w:r>
              <w:t xml:space="preserve"> · 2024 </w:t>
            </w:r>
            <w:r>
              <w:rPr>
                <w:b/>
              </w:rPr>
              <w:t xml:space="preserve">77,46</w:t>
            </w:r>
            <w:r>
              <w:t xml:space="preserve"> · choc </w:t>
            </w:r>
            <w:r>
              <w:rPr>
                <w:b/>
              </w:rPr>
              <w:t xml:space="preserve">96,87</w:t>
            </w:r>
          </w:p>
        </w:tc>
      </w:tr>
      <w:tr>
        <w:tc>
          <w:tcPr>
            <w:tcW w:w="4680" w:type="dxa"/>
          </w:tcPr>
          <w:p>
            <w:pPr/>
            <w:r>
              <w:t xml:space="preserve">Surcoût prix-volume</w:t>
            </w:r>
          </w:p>
        </w:tc>
        <w:tc>
          <w:tcPr>
            <w:tcW w:w="4680" w:type="dxa"/>
          </w:tcPr>
          <w:p>
            <w:pPr/>
            <w:r>
              <w:t xml:space="preserve">+4,18 à +6,65 €/MWh selon le scénario</w:t>
            </w:r>
          </w:p>
        </w:tc>
      </w:tr>
      <w:tr>
        <w:tc>
          <w:tcPr>
            <w:tcW w:w="4680" w:type="dxa"/>
          </w:tcPr>
          <w:p>
            <w:pPr/>
            <w:r>
              <w:t xml:space="preserve">Alpha retenu</w:t>
            </w:r>
          </w:p>
        </w:tc>
        <w:tc>
          <w:tcPr>
            <w:tcW w:w="4680" w:type="dxa"/>
          </w:tcPr>
          <w:p>
            <w:pPr/>
            <w:r>
              <w:t xml:space="preserve">0,50 — mais </w:t>
            </w:r>
            <w:r>
              <w:rPr>
                <w:b/>
              </w:rPr>
              <w:t xml:space="preserve">aucun alpha de [0 ; 1] n'atteignait 73,70</w:t>
            </w:r>
          </w:p>
        </w:tc>
      </w:tr>
      <w:tr>
        <w:tc>
          <w:tcPr>
            <w:tcW w:w="4680" w:type="dxa"/>
          </w:tcPr>
          <w:p>
            <w:pPr/>
            <w:r>
              <w:t xml:space="preserve">Bande de plausibilité CRE à 1 sigma</w:t>
            </w:r>
          </w:p>
        </w:tc>
        <w:tc>
          <w:tcPr>
            <w:tcW w:w="4680" w:type="dxa"/>
          </w:tcPr>
          <w:p>
            <w:pPr/>
            <w:r>
              <w:t xml:space="preserve">7,30 €/MWh, soit [76,01 ; 90,61]</w:t>
            </w:r>
          </w:p>
        </w:tc>
      </w:tr>
    </w:tbl>
    <w:p>
      <w:pPr>
        <w:pStyle w:val="Heading3"/>
      </w:pPr>
      <w:r>
        <w:t xml:space="preserve">La couverture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r>
              <w:t xml:space="preserve">Valeur</w:t>
            </w:r>
          </w:p>
        </w:tc>
      </w:tr>
      <w:tr>
        <w:tc>
          <w:tcPr>
            <w:tcW w:w="4680" w:type="dxa"/>
          </w:tcPr>
          <w:p>
            <w:pPr/>
            <w:r>
              <w:t xml:space="preserve">Mix T1 retenu (70 %, strip trimestriel Base)</w:t>
            </w:r>
          </w:p>
        </w:tc>
        <w:tc>
          <w:tcPr>
            <w:tcW w:w="4680" w:type="dxa"/>
          </w:tcPr>
          <w:p>
            <w:pPr/>
            <w:r>
              <w:t xml:space="preserve">Q1 </w:t>
            </w:r>
            <w:r>
              <w:rPr>
                <w:b/>
              </w:rPr>
              <w:t xml:space="preserve">49,58 MW</w:t>
            </w:r>
            <w:r>
              <w:t xml:space="preserve"> · Q2 </w:t>
            </w:r>
            <w:r>
              <w:rPr>
                <w:b/>
              </w:rPr>
              <w:t xml:space="preserve">37,91</w:t>
            </w:r>
            <w:r>
              <w:t xml:space="preserve"> · Q3 </w:t>
            </w:r>
            <w:r>
              <w:rPr>
                <w:b/>
              </w:rPr>
              <w:t xml:space="preserve">36,47</w:t>
            </w:r>
            <w:r>
              <w:t xml:space="preserve"> · Q4 </w:t>
            </w:r>
            <w:r>
              <w:rPr>
                <w:b/>
              </w:rPr>
              <w:t xml:space="preserve">47,65</w:t>
            </w:r>
          </w:p>
        </w:tc>
      </w:tr>
      <w:tr>
        <w:tc>
          <w:tcPr>
            <w:tcW w:w="4680" w:type="dxa"/>
          </w:tcPr>
          <w:p>
            <w:pPr/>
            <w:r>
              <w:t xml:space="preserve">Coût de ce mix</w:t>
            </w:r>
          </w:p>
        </w:tc>
        <w:tc>
          <w:tcPr>
            <w:tcW w:w="4680" w:type="dxa"/>
          </w:tcPr>
          <w:p>
            <w:pPr/>
            <w:r>
              <w:t xml:space="preserve">32,89 M€, soit 87,55 €/MWh</w:t>
            </w:r>
          </w:p>
        </w:tc>
      </w:tr>
      <w:tr>
        <w:tc>
          <w:tcPr>
            <w:tcW w:w="4680" w:type="dxa"/>
          </w:tcPr>
          <w:p>
            <w:pPr/>
            <w:r>
              <w:t xml:space="preserve">Coût des trois mix comparés</w:t>
            </w:r>
          </w:p>
        </w:tc>
        <w:tc>
          <w:tcPr>
            <w:tcW w:w="4680" w:type="dxa"/>
          </w:tcPr>
          <w:p>
            <w:pPr/>
            <w:r>
              <w:t xml:space="preserve">cal 83,31 · trimestres 87,55 · trimestres+peak 89,11 €/MWh</w:t>
            </w:r>
          </w:p>
        </w:tc>
      </w:tr>
      <w:tr>
        <w:tc>
          <w:tcPr>
            <w:tcW w:w="4680" w:type="dxa"/>
          </w:tcPr>
          <w:p>
            <w:pPr/>
            <w:r>
              <w:t xml:space="preserve">Stratégie retenue au T1</w:t>
            </w:r>
          </w:p>
        </w:tc>
        <w:tc>
          <w:tcPr>
            <w:tcW w:w="4680" w:type="dxa"/>
          </w:tcPr>
          <w:p>
            <w:pPr/>
            <w:r>
              <w:rPr>
                <w:b/>
              </w:rPr>
              <w:t xml:space="preserve">70/20/10</w:t>
            </w:r>
            <w:r>
              <w:t xml:space="preserve"> — espérance 4,51, pire cas </w:t>
            </w:r>
            <w:r>
              <w:rPr>
                <w:b/>
              </w:rPr>
              <w:t xml:space="preserve">−0,24</w:t>
            </w:r>
          </w:p>
        </w:tc>
      </w:tr>
      <w:tr>
        <w:tc>
          <w:tcPr>
            <w:tcW w:w="4680" w:type="dxa"/>
          </w:tcPr>
          <w:p>
            <w:pPr/>
            <w:r>
              <w:t xml:space="preserve">Décision du Conseil</w:t>
            </w:r>
          </w:p>
        </w:tc>
        <w:tc>
          <w:tcPr>
            <w:tcW w:w="4680" w:type="dxa"/>
          </w:tcPr>
          <w:p>
            <w:pPr/>
            <w:r>
              <w:rPr>
                <w:b/>
              </w:rPr>
              <w:t xml:space="preserve">aucune stratégie ne tient le plancher de 5 €/MWh</w:t>
            </w:r>
          </w:p>
        </w:tc>
      </w:tr>
      <w:tr>
        <w:tc>
          <w:tcPr>
            <w:tcW w:w="4680" w:type="dxa"/>
          </w:tcPr>
          <w:p>
            <w:pPr/>
            <w:r>
              <w:t xml:space="preserve">Coût de la protection</w:t>
            </w:r>
          </w:p>
        </w:tc>
        <w:tc>
          <w:tcPr>
            <w:tcW w:w="4680" w:type="dxa"/>
          </w:tcPr>
          <w:p>
            <w:pPr/>
            <w:r>
              <w:t xml:space="preserve">0,39 €/MWh d'espérance cédé par €/MWh de pire cas gagné</w:t>
            </w:r>
          </w:p>
        </w:tc>
      </w:tr>
    </w:tbl>
    <w:p>
      <w:pPr>
        <w:pStyle w:val="Heading3"/>
      </w:pPr>
      <w:r>
        <w:t xml:space="preserve">Le T2 et le 1er janvier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r>
              <w:t xml:space="preserve">Valeur</w:t>
            </w:r>
          </w:p>
        </w:tc>
      </w:tr>
      <w:tr>
        <w:tc>
          <w:tcPr>
            <w:tcW w:w="4680" w:type="dxa"/>
          </w:tcPr>
          <w:p>
            <w:pPr/>
            <w:r>
              <w:t xml:space="preserve">Ratio réellement atteint après le T1</w:t>
            </w:r>
          </w:p>
        </w:tc>
        <w:tc>
          <w:tcPr>
            <w:tcW w:w="4680" w:type="dxa"/>
          </w:tcPr>
          <w:p>
            <w:pPr/>
            <w:r>
              <w:rPr>
                <w:b/>
              </w:rPr>
              <w:t xml:space="preserve">74,8 %</w:t>
            </w:r>
            <w:r>
              <w:t xml:space="preserve"> de la nouvelle prévision (plan : 70 %)</w:t>
            </w:r>
          </w:p>
        </w:tc>
      </w:tr>
      <w:tr>
        <w:tc>
          <w:tcPr>
            <w:tcW w:w="4680" w:type="dxa"/>
          </w:tcPr>
          <w:p>
            <w:pPr/>
            <w:r>
              <w:t xml:space="preserve">Mark-to-market de la position T1</w:t>
            </w:r>
          </w:p>
        </w:tc>
        <w:tc>
          <w:tcPr>
            <w:tcW w:w="4680" w:type="dxa"/>
          </w:tcPr>
          <w:p>
            <w:pPr/>
            <w:r>
              <w:rPr>
                <w:b/>
              </w:rPr>
              <w:t xml:space="preserve">−3,92 M€</w:t>
            </w:r>
            <w:r>
              <w:t xml:space="preserve">, soit −10,43 €/MWh couvert</w:t>
            </w:r>
          </w:p>
        </w:tc>
      </w:tr>
      <w:tr>
        <w:tc>
          <w:tcPr>
            <w:tcW w:w="4680" w:type="dxa"/>
          </w:tcPr>
          <w:p>
            <w:pPr/>
            <w:r>
              <w:t xml:space="preserve">Probabilités révisées</w:t>
            </w:r>
          </w:p>
        </w:tc>
        <w:tc>
          <w:tcPr>
            <w:tcW w:w="4680" w:type="dxa"/>
          </w:tcPr>
          <w:p>
            <w:pPr/>
            <w:r>
              <w:t xml:space="preserve">2021 28,1 % · 2023 34,2 % · 2024 35,4 % · choc </w:t>
            </w:r>
            <w:r>
              <w:rPr>
                <w:b/>
              </w:rPr>
              <w:t xml:space="preserve">2,3 %</w:t>
            </w:r>
          </w:p>
        </w:tc>
      </w:tr>
      <w:tr>
        <w:tc>
          <w:tcPr>
            <w:tcW w:w="4680" w:type="dxa"/>
          </w:tcPr>
          <w:p>
            <w:pPr/>
            <w:r>
              <w:rPr>
                <w:b/>
              </w:rPr>
              <w:t xml:space="preserve">Achat au T2</w:t>
            </w:r>
          </w:p>
        </w:tc>
        <w:tc>
          <w:tcPr>
            <w:tcW w:w="4680" w:type="dxa"/>
          </w:tcPr>
          <w:p>
            <w:pPr/>
            <w:r>
              <w:rPr>
                <w:b/>
              </w:rPr>
              <w:t xml:space="preserve">14,42 MW de Cal-27 Base à 73,70</w:t>
            </w:r>
            <w:r>
              <w:t xml:space="preserve"> = 126 323 MWh, 9,31 M€</w:t>
            </w:r>
          </w:p>
        </w:tc>
      </w:tr>
      <w:tr>
        <w:tc>
          <w:tcPr>
            <w:tcW w:w="4680" w:type="dxa"/>
          </w:tcPr>
          <w:p>
            <w:pPr/>
            <w:r>
              <w:t xml:space="preserve">Couverture finale</w:t>
            </w:r>
          </w:p>
        </w:tc>
        <w:tc>
          <w:tcPr>
            <w:tcW w:w="4680" w:type="dxa"/>
          </w:tcPr>
          <w:p>
            <w:pPr/>
            <w:r>
              <w:rPr>
                <w:b/>
              </w:rPr>
              <w:t xml:space="preserve">100 %</w:t>
            </w:r>
            <w:r>
              <w:t xml:space="preserve"> — espérance 7,14, pire cas </w:t>
            </w:r>
            <w:r>
              <w:rPr>
                <w:b/>
              </w:rPr>
              <w:t xml:space="preserve">5,51</w:t>
            </w:r>
            <w:r>
              <w:t xml:space="preserve"> (admissible)</w:t>
            </w:r>
          </w:p>
        </w:tc>
      </w:tr>
      <w:tr>
        <w:tc>
          <w:tcPr>
            <w:tcW w:w="4680" w:type="dxa"/>
          </w:tcPr>
          <w:p>
            <w:pPr/>
            <w:r>
              <w:t xml:space="preserve">01/01/2027</w:t>
            </w:r>
          </w:p>
        </w:tc>
        <w:tc>
          <w:tcPr>
            <w:tcW w:w="4680" w:type="dxa"/>
          </w:tcPr>
          <w:p>
            <w:pPr/>
            <w:r>
              <w:t xml:space="preserve">couverture plate 64,01 MW, charge de 42,21 à 98,71 MW</w:t>
            </w:r>
          </w:p>
        </w:tc>
      </w:tr>
      <w:tr>
        <w:tc>
          <w:tcPr>
            <w:tcW w:w="4680" w:type="dxa"/>
          </w:tcPr>
          <w:p>
            <w:pPr/>
            <w:r>
              <w:t xml:space="preserve">Position ouverte du jour</w:t>
            </w:r>
          </w:p>
        </w:tc>
        <w:tc>
          <w:tcPr>
            <w:tcW w:w="4680" w:type="dxa"/>
          </w:tcPr>
          <w:p>
            <w:pPr/>
            <w:r>
              <w:rPr>
                <w:b/>
              </w:rPr>
              <w:t xml:space="preserve">261,6 MWh à acheter</w:t>
            </w:r>
            <w:r>
              <w:t xml:space="preserve">, 150,4 MWh à revendre</w:t>
            </w:r>
          </w:p>
        </w:tc>
      </w:tr>
    </w:tbl>
    <w:p>
      <w:pPr>
        <w:pStyle w:val="Heading3"/>
      </w:pPr>
      <w:r>
        <w:t xml:space="preserve">Le T3 (31/12/2026)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r>
              <w:t xml:space="preserve">Valeur</w:t>
            </w:r>
          </w:p>
        </w:tc>
      </w:tr>
      <w:tr>
        <w:tc>
          <w:tcPr>
            <w:tcW w:w="4680" w:type="dxa"/>
          </w:tcPr>
          <w:p>
            <w:pPr/>
            <w:r>
              <w:t xml:space="preserve">Volume 2027 révisé</w:t>
            </w:r>
          </w:p>
        </w:tc>
        <w:tc>
          <w:tcPr>
            <w:tcW w:w="4680" w:type="dxa"/>
          </w:tcPr>
          <w:p>
            <w:pPr/>
            <w:r>
              <w:rPr>
                <w:b/>
              </w:rPr>
              <w:t xml:space="preserve">512 820 MWh</w:t>
            </w:r>
            <w:r>
              <w:t xml:space="preserve"> (191 531 RES1 + 4 745 PRO1)</w:t>
            </w:r>
          </w:p>
        </w:tc>
      </w:tr>
      <w:tr>
        <w:tc>
          <w:tcPr>
            <w:tcW w:w="4680" w:type="dxa"/>
          </w:tcPr>
          <w:p>
            <w:pPr/>
            <w:r>
              <w:t xml:space="preserve">Forward Cal-27 Base</w:t>
            </w:r>
          </w:p>
        </w:tc>
        <w:tc>
          <w:tcPr>
            <w:tcW w:w="4680" w:type="dxa"/>
          </w:tcPr>
          <w:p>
            <w:pPr/>
            <w:r>
              <w:rPr>
                <w:b/>
              </w:rPr>
              <w:t xml:space="preserve">78,37 €/MWh</w:t>
            </w:r>
            <w:r>
              <w:t xml:space="preserve"> (+6,3 % depuis le T2)</w:t>
            </w:r>
          </w:p>
        </w:tc>
      </w:tr>
      <w:tr>
        <w:tc>
          <w:tcPr>
            <w:tcW w:w="4680" w:type="dxa"/>
          </w:tcPr>
          <w:p>
            <w:pPr/>
            <w:r>
              <w:t xml:space="preserve">Position détenue</w:t>
            </w:r>
          </w:p>
        </w:tc>
        <w:tc>
          <w:tcPr>
            <w:tcW w:w="4680" w:type="dxa"/>
          </w:tcPr>
          <w:p>
            <w:pPr/>
            <w:r>
              <w:t xml:space="preserve">501 942 MWh à 84,06 €/MWh payés</w:t>
            </w:r>
          </w:p>
        </w:tc>
      </w:tr>
      <w:tr>
        <w:tc>
          <w:tcPr>
            <w:tcW w:w="4680" w:type="dxa"/>
          </w:tcPr>
          <w:p>
            <w:pPr/>
            <w:r>
              <w:t xml:space="preserve">Mark-to-market</w:t>
            </w:r>
          </w:p>
        </w:tc>
        <w:tc>
          <w:tcPr>
            <w:tcW w:w="4680" w:type="dxa"/>
          </w:tcPr>
          <w:p>
            <w:pPr/>
            <w:r>
              <w:rPr>
                <w:b/>
              </w:rPr>
              <w:t xml:space="preserve">−1,35 M€</w:t>
            </w:r>
            <w:r>
              <w:t xml:space="preserve">, dont </w:t>
            </w:r>
            <w:r>
              <w:rPr>
                <w:b/>
              </w:rPr>
              <w:t xml:space="preserve">+590 k€</w:t>
            </w:r>
            <w:r>
              <w:t xml:space="preserve"> sur l'achat du T2</w:t>
            </w:r>
          </w:p>
        </w:tc>
      </w:tr>
      <w:tr>
        <w:tc>
          <w:tcPr>
            <w:tcW w:w="4680" w:type="dxa"/>
          </w:tcPr>
          <w:p>
            <w:pPr/>
            <w:r>
              <w:t xml:space="preserve">Ratio global</w:t>
            </w:r>
          </w:p>
        </w:tc>
        <w:tc>
          <w:tcPr>
            <w:tcW w:w="4680" w:type="dxa"/>
          </w:tcPr>
          <w:p>
            <w:pPr/>
            <w:r>
              <w:t xml:space="preserve">97,9 % — mais </w:t>
            </w:r>
            <w:r>
              <w:rPr>
                <w:b/>
              </w:rPr>
              <w:t xml:space="preserve">Q1 à 94,6 %</w:t>
            </w:r>
            <w:r>
              <w:t xml:space="preserve"> et </w:t>
            </w:r>
            <w:r>
              <w:rPr>
                <w:b/>
              </w:rPr>
              <w:t xml:space="preserve">Q3 à 102,2 %</w:t>
            </w:r>
          </w:p>
        </w:tc>
      </w:tr>
      <w:tr>
        <w:tc>
          <w:tcPr>
            <w:tcW w:w="4680" w:type="dxa"/>
          </w:tcPr>
          <w:p>
            <w:pPr/>
            <w:r>
              <w:t xml:space="preserve">Rééquilibrage</w:t>
            </w:r>
          </w:p>
        </w:tc>
        <w:tc>
          <w:tcPr>
            <w:tcW w:w="4680" w:type="dxa"/>
          </w:tcPr>
          <w:p>
            <w:pPr/>
            <w:r>
              <w:t xml:space="preserve">acheter Q1 +3,68 MW et Q4 +2,98 MW, vendre Q2 et Q3 → </w:t>
            </w:r>
            <w:r>
              <w:rPr>
                <w:b/>
              </w:rPr>
              <w:t xml:space="preserve">+1,40 M€</w:t>
            </w:r>
          </w:p>
        </w:tc>
      </w:tr>
      <w:tr>
        <w:tc>
          <w:tcPr>
            <w:tcW w:w="4680" w:type="dxa"/>
          </w:tcPr>
          <w:p>
            <w:pPr/>
            <w:r>
              <w:t xml:space="preserve">Centrale solaire</w:t>
            </w:r>
          </w:p>
        </w:tc>
        <w:tc>
          <w:tcPr>
            <w:tcW w:w="4680" w:type="dxa"/>
          </w:tcPr>
          <w:p>
            <w:pPr/>
            <w:r>
              <w:rPr>
                <w:b/>
              </w:rPr>
              <w:t xml:space="preserve">80 MWc</w:t>
            </w:r>
            <w:r>
              <w:t xml:space="preserve">, 110,5 MWh le 1er janvier</w:t>
            </w:r>
          </w:p>
        </w:tc>
      </w:tr>
      <w:tr>
        <w:tc>
          <w:tcPr>
            <w:tcW w:w="4680" w:type="dxa"/>
          </w:tcPr>
          <w:p>
            <w:pPr/>
            <w:r>
              <w:t xml:space="preserve">01/01/2027, température prévue</w:t>
            </w:r>
          </w:p>
        </w:tc>
        <w:tc>
          <w:tcPr>
            <w:tcW w:w="4680" w:type="dxa"/>
          </w:tcPr>
          <w:p>
            <w:pPr/>
            <w:r>
              <w:rPr>
                <w:b/>
              </w:rPr>
              <w:t xml:space="preserve">+0,44 °C</w:t>
            </w:r>
            <w:r>
              <w:t xml:space="preserve"> contre 4,79 °C de normale</w:t>
            </w:r>
          </w:p>
        </w:tc>
      </w:tr>
      <w:tr>
        <w:tc>
          <w:tcPr>
            <w:tcW w:w="4680" w:type="dxa"/>
          </w:tcPr>
          <w:p>
            <w:pPr/>
            <w:r>
              <w:t xml:space="preserve">Charge du jour</w:t>
            </w:r>
          </w:p>
        </w:tc>
        <w:tc>
          <w:tcPr>
            <w:tcW w:w="4680" w:type="dxa"/>
          </w:tcPr>
          <w:p>
            <w:pPr/>
            <w:r>
              <w:t xml:space="preserve">1 849,5 MWh (1 682,1 à température normale)</w:t>
            </w:r>
          </w:p>
        </w:tc>
      </w:tr>
      <w:tr>
        <w:tc>
          <w:tcPr>
            <w:tcW w:w="4680" w:type="dxa"/>
          </w:tcPr>
          <w:p>
            <w:pPr/>
            <w:r>
              <w:rPr>
                <w:b/>
              </w:rPr>
              <w:t xml:space="preserve">Heure 14 h – 15 h</w:t>
            </w:r>
          </w:p>
        </w:tc>
        <w:tc>
          <w:tcPr>
            <w:tcW w:w="4680" w:type="dxa"/>
          </w:tcPr>
          <w:p>
            <w:pPr/>
            <w:r>
              <w:t xml:space="preserve">charge 81,89 · couverture 64,00 · solaire 14,00 → </w:t>
            </w:r>
            <w:r>
              <w:rPr>
                <w:b/>
              </w:rPr>
              <w:t xml:space="preserve">short 3,89 MW</w:t>
            </w:r>
          </w:p>
        </w:tc>
      </w:tr>
    </w:tbl>
    <w:p>
      <w:pPr>
        <w:pStyle w:val="Heading2"/>
      </w:pPr>
      <w:r>
        <w:t xml:space="preserve">Où se trouve quoi</w:t>
      </w:r>
    </w:p>
    <w:p>
      <w:pPr/>
      <w:r>
        <w:t xml:space="preserve">Quinze étapes réparties sur sept fichiers : </w:t>
      </w:r>
      <w:r>
        <w:rPr>
          <w:b/>
        </w:rPr>
        <w:t xml:space="preserve">trois scripts de jalon</w:t>
      </w:r>
      <w:r>
        <w:t xml:space="preserve"> — </w:t>
      </w:r>
      <w:r>
        <w:rPr>
          <w:rStyle w:val="CodeChar"/>
        </w:rPr>
        <w:t xml:space="preserve">t1_strategie.py</w:t>
      </w:r>
      <w:r>
        <w:t xml:space="preserve">, </w:t>
      </w:r>
      <w:r>
        <w:rPr>
          <w:rStyle w:val="CodeChar"/>
        </w:rPr>
        <w:t xml:space="preserve">t2_decision.py</w:t>
      </w:r>
      <w:r>
        <w:t xml:space="preserve">, </w:t>
      </w:r>
      <w:r>
        <w:rPr>
          <w:rStyle w:val="CodeChar"/>
        </w:rPr>
        <w:t xml:space="preserve">t3_spot.py</w:t>
      </w:r>
      <w:r>
        <w:t xml:space="preserve"> — et </w:t>
      </w:r>
      <w:r>
        <w:rPr>
          <w:b/>
        </w:rPr>
        <w:t xml:space="preserve">quatre outils partagés</w:t>
      </w:r>
      <w:r>
        <w:t xml:space="preserve"> dans </w:t>
      </w:r>
      <w:r>
        <w:rPr>
          <w:rStyle w:val="CodeChar"/>
        </w:rPr>
        <w:t xml:space="preserve">outils/</w:t>
      </w:r>
      <w:r>
        <w:t xml:space="preserve">, qui ne se lancent pas directement. Les trois jalons appellent les mêmes fonctions : c'est ce qui garantit que le calcul est identique du T1 au T3.</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Étape</w:t>
            </w:r>
          </w:p>
        </w:tc>
        <w:tc>
          <w:tcPr>
            <w:tcW w:w="1872" w:type="dxa"/>
            <w:shd w:val="clear" w:color="auto" w:fill="F2F2F2"/>
          </w:tcPr>
          <w:p>
            <w:pPr/>
            <w:r>
              <w:t xml:space="preserve">Fichier</w:t>
            </w:r>
          </w:p>
        </w:tc>
        <w:tc>
          <w:tcPr>
            <w:tcW w:w="1872" w:type="dxa"/>
            <w:shd w:val="clear" w:color="auto" w:fill="F2F2F2"/>
          </w:tcPr>
          <w:p>
            <w:pPr/>
            <w:r>
              <w:t xml:space="preserve">Fonction ou constante</w:t>
            </w:r>
          </w:p>
        </w:tc>
        <w:tc>
          <w:tcPr>
            <w:tcW w:w="1872" w:type="dxa"/>
            <w:shd w:val="clear" w:color="auto" w:fill="F2F2F2"/>
          </w:tcPr>
          <w:p>
            <w:pPr/>
            <w:r>
              <w:t xml:space="preserve">Doc du prof</w:t>
            </w:r>
          </w:p>
        </w:tc>
      </w:tr>
      <w:tr>
        <w:tc>
          <w:tcPr>
            <w:tcW w:w="1872" w:type="dxa"/>
          </w:tcPr>
          <w:p>
            <w:pPr/>
            <w:r>
              <w:t xml:space="preserve">1</w:t>
            </w:r>
          </w:p>
        </w:tc>
        <w:tc>
          <w:tcPr>
            <w:tcW w:w="1872" w:type="dxa"/>
          </w:tcPr>
          <w:p>
            <w:pPr/>
            <w:r>
              <w:t xml:space="preserve">Le portefeuille et les paramètres imposés</w:t>
            </w:r>
          </w:p>
        </w:tc>
        <w:tc>
          <w:tcPr>
            <w:tcW w:w="1872" w:type="dxa"/>
          </w:tcPr>
          <w:p>
            <w:pPr/>
            <w:r>
              <w:rPr>
                <w:rStyle w:val="CodeChar"/>
              </w:rPr>
              <w:t xml:space="preserve">outils/demande.py</w:t>
            </w:r>
          </w:p>
        </w:tc>
        <w:tc>
          <w:tcPr>
            <w:tcW w:w="1872" w:type="dxa"/>
          </w:tcPr>
          <w:p>
            <w:pPr/>
            <w:r>
              <w:rPr>
                <w:rStyle w:val="CodeChar"/>
              </w:rPr>
              <w:t xml:space="preserve">PARAMS</w:t>
            </w:r>
            <w:r>
              <w:t xml:space="preserve"> l.26, </w:t>
            </w:r>
            <w:r>
              <w:rPr>
                <w:rStyle w:val="CodeChar"/>
              </w:rPr>
              <w:t xml:space="preserve">CLIENTS</w:t>
            </w:r>
            <w:r>
              <w:t xml:space="preserve"> l.30</w:t>
            </w:r>
          </w:p>
        </w:tc>
        <w:tc>
          <w:tcPr>
            <w:tcW w:w="1872" w:type="dxa"/>
          </w:tcPr>
          <w:p>
            <w:pPr/>
            <w:r>
              <w:t xml:space="preserve">§2.2</w:t>
            </w:r>
          </w:p>
        </w:tc>
      </w:tr>
      <w:tr>
        <w:tc>
          <w:tcPr>
            <w:tcW w:w="1872" w:type="dxa"/>
          </w:tcPr>
          <w:p>
            <w:pPr/>
            <w:r>
              <w:t xml:space="preserve">2</w:t>
            </w:r>
          </w:p>
        </w:tc>
        <w:tc>
          <w:tcPr>
            <w:tcW w:w="1872" w:type="dxa"/>
          </w:tcPr>
          <w:p>
            <w:pPr/>
            <w:r>
              <w:t xml:space="preserve">Du coefficient au mégawatt : le FUD</w:t>
            </w:r>
          </w:p>
        </w:tc>
        <w:tc>
          <w:tcPr>
            <w:tcW w:w="1872" w:type="dxa"/>
          </w:tcPr>
          <w:p>
            <w:pPr/>
            <w:r>
              <w:rPr>
                <w:rStyle w:val="CodeChar"/>
              </w:rPr>
              <w:t xml:space="preserve">outils/demande.py</w:t>
            </w:r>
          </w:p>
        </w:tc>
        <w:tc>
          <w:tcPr>
            <w:tcW w:w="1872" w:type="dxa"/>
          </w:tcPr>
          <w:p>
            <w:pPr/>
            <w:r>
              <w:rPr>
                <w:rStyle w:val="CodeChar"/>
              </w:rPr>
              <w:t xml:space="preserve">fud()</w:t>
            </w:r>
            <w:r>
              <w:t xml:space="preserve"> l.60</w:t>
            </w:r>
          </w:p>
        </w:tc>
        <w:tc>
          <w:tcPr>
            <w:tcW w:w="1872" w:type="dxa"/>
          </w:tcPr>
          <w:p>
            <w:pPr/>
            <w:r>
              <w:t xml:space="preserve">§3.1</w:t>
            </w:r>
          </w:p>
        </w:tc>
      </w:tr>
      <w:tr>
        <w:tc>
          <w:tcPr>
            <w:tcW w:w="1872" w:type="dxa"/>
          </w:tcPr>
          <w:p>
            <w:pPr/>
            <w:r>
              <w:t xml:space="preserve">3</w:t>
            </w:r>
          </w:p>
        </w:tc>
        <w:tc>
          <w:tcPr>
            <w:tcW w:w="1872" w:type="dxa"/>
          </w:tcPr>
          <w:p>
            <w:pPr/>
            <w:r>
              <w:t xml:space="preserve">Charger et aligner les données</w:t>
            </w:r>
          </w:p>
        </w:tc>
        <w:tc>
          <w:tcPr>
            <w:tcW w:w="1872" w:type="dxa"/>
          </w:tcPr>
          <w:p>
            <w:pPr/>
            <w:r>
              <w:rPr>
                <w:rStyle w:val="CodeChar"/>
              </w:rPr>
              <w:t xml:space="preserve">outils/demande.py</w:t>
            </w:r>
          </w:p>
        </w:tc>
        <w:tc>
          <w:tcPr>
            <w:tcW w:w="1872" w:type="dxa"/>
          </w:tcPr>
          <w:p>
            <w:pPr/>
            <w:r>
              <w:rPr>
                <w:rStyle w:val="CodeChar"/>
              </w:rPr>
              <w:t xml:space="preserve">charger_*()</w:t>
            </w:r>
            <w:r>
              <w:t xml:space="preserve">, </w:t>
            </w:r>
            <w:r>
              <w:rPr>
                <w:rStyle w:val="CodeChar"/>
              </w:rPr>
              <w:t xml:space="preserve">construire_base()</w:t>
            </w:r>
            <w:r>
              <w:t xml:space="preserve"> l.107</w:t>
            </w:r>
          </w:p>
        </w:tc>
        <w:tc>
          <w:tcPr>
            <w:tcW w:w="1872" w:type="dxa"/>
          </w:tcPr>
          <w:p>
            <w:pPr/>
            <w:r>
              <w:t xml:space="preserve">§3.1</w:t>
            </w:r>
          </w:p>
        </w:tc>
      </w:tr>
      <w:tr>
        <w:tc>
          <w:tcPr>
            <w:tcW w:w="1872" w:type="dxa"/>
          </w:tcPr>
          <w:p>
            <w:pPr/>
            <w:r>
              <w:t xml:space="preserve">4</w:t>
            </w:r>
          </w:p>
        </w:tc>
        <w:tc>
          <w:tcPr>
            <w:tcW w:w="1872" w:type="dxa"/>
          </w:tcPr>
          <w:p>
            <w:pPr/>
            <w:r>
              <w:t xml:space="preserve">Le coefficient météo CM</w:t>
            </w:r>
          </w:p>
        </w:tc>
        <w:tc>
          <w:tcPr>
            <w:tcW w:w="1872" w:type="dxa"/>
          </w:tcPr>
          <w:p>
            <w:pPr/>
            <w:r>
              <w:rPr>
                <w:rStyle w:val="CodeChar"/>
              </w:rPr>
              <w:t xml:space="preserve">outils/demande.py</w:t>
            </w:r>
          </w:p>
        </w:tc>
        <w:tc>
          <w:tcPr>
            <w:tcW w:w="1872" w:type="dxa"/>
          </w:tcPr>
          <w:p>
            <w:pPr/>
            <w:r>
              <w:rPr>
                <w:rStyle w:val="CodeChar"/>
              </w:rPr>
              <w:t xml:space="preserve">coefficient_meteo()</w:t>
            </w:r>
            <w:r>
              <w:t xml:space="preserve"> l.114</w:t>
            </w:r>
          </w:p>
        </w:tc>
        <w:tc>
          <w:tcPr>
            <w:tcW w:w="1872" w:type="dxa"/>
          </w:tcPr>
          <w:p>
            <w:pPr/>
            <w:r>
              <w:t xml:space="preserve">§3.1</w:t>
            </w:r>
          </w:p>
        </w:tc>
      </w:tr>
      <w:tr>
        <w:tc>
          <w:tcPr>
            <w:tcW w:w="1872" w:type="dxa"/>
          </w:tcPr>
          <w:p>
            <w:pPr/>
            <w:r>
              <w:t xml:space="preserve">5</w:t>
            </w:r>
          </w:p>
        </w:tc>
        <w:tc>
          <w:tcPr>
            <w:tcW w:w="1872" w:type="dxa"/>
          </w:tcPr>
          <w:p>
            <w:pPr/>
            <w:r>
              <w:t xml:space="preserve">Le calcul de la charge</w:t>
            </w:r>
          </w:p>
        </w:tc>
        <w:tc>
          <w:tcPr>
            <w:tcW w:w="1872" w:type="dxa"/>
          </w:tcPr>
          <w:p>
            <w:pPr/>
            <w:r>
              <w:rPr>
                <w:rStyle w:val="CodeChar"/>
              </w:rPr>
              <w:t xml:space="preserve">outils/demande.py</w:t>
            </w:r>
          </w:p>
        </w:tc>
        <w:tc>
          <w:tcPr>
            <w:tcW w:w="1872" w:type="dxa"/>
          </w:tcPr>
          <w:p>
            <w:pPr/>
            <w:r>
              <w:rPr>
                <w:rStyle w:val="CodeChar"/>
              </w:rPr>
              <w:t xml:space="preserve">calculer_puissances()</w:t>
            </w:r>
            <w:r>
              <w:t xml:space="preserve"> l.123</w:t>
            </w:r>
          </w:p>
        </w:tc>
        <w:tc>
          <w:tcPr>
            <w:tcW w:w="1872" w:type="dxa"/>
          </w:tcPr>
          <w:p>
            <w:pPr/>
            <w:r>
              <w:t xml:space="preserve">§3.1</w:t>
            </w:r>
          </w:p>
        </w:tc>
      </w:tr>
      <w:tr>
        <w:tc>
          <w:tcPr>
            <w:tcW w:w="1872" w:type="dxa"/>
          </w:tcPr>
          <w:p>
            <w:pPr/>
            <w:r>
              <w:t xml:space="preserve">6</w:t>
            </w:r>
          </w:p>
        </w:tc>
        <w:tc>
          <w:tcPr>
            <w:tcW w:w="1872" w:type="dxa"/>
          </w:tcPr>
          <w:p>
            <w:pPr/>
            <w:r>
              <w:t xml:space="preserve">Projeter sur le calendrier 2027</w:t>
            </w:r>
          </w:p>
        </w:tc>
        <w:tc>
          <w:tcPr>
            <w:tcW w:w="1872" w:type="dxa"/>
          </w:tcPr>
          <w:p>
            <w:pPr/>
            <w:r>
              <w:rPr>
                <w:rStyle w:val="CodeChar"/>
              </w:rPr>
              <w:t xml:space="preserve">outils/calendrier.py</w:t>
            </w:r>
          </w:p>
        </w:tc>
        <w:tc>
          <w:tcPr>
            <w:tcW w:w="1872" w:type="dxa"/>
          </w:tcPr>
          <w:p>
            <w:pPr/>
            <w:r>
              <w:rPr>
                <w:rStyle w:val="CodeChar"/>
              </w:rPr>
              <w:t xml:space="preserve">apparier_jours()</w:t>
            </w:r>
            <w:r>
              <w:t xml:space="preserve"> l.44, </w:t>
            </w:r>
            <w:r>
              <w:rPr>
                <w:rStyle w:val="CodeChar"/>
              </w:rPr>
              <w:t xml:space="preserve">projeter()</w:t>
            </w:r>
            <w:r>
              <w:t xml:space="preserve"> l.74</w:t>
            </w:r>
          </w:p>
        </w:tc>
        <w:tc>
          <w:tcPr>
            <w:tcW w:w="1872" w:type="dxa"/>
          </w:tcPr>
          <w:p>
            <w:pPr/>
            <w:r>
              <w:t xml:space="preserve">§3.1</w:t>
            </w:r>
          </w:p>
        </w:tc>
      </w:tr>
      <w:tr>
        <w:tc>
          <w:tcPr>
            <w:tcW w:w="1872" w:type="dxa"/>
          </w:tcPr>
          <w:p>
            <w:pPr/>
            <w:r>
              <w:t xml:space="preserve">7</w:t>
            </w:r>
          </w:p>
        </w:tc>
        <w:tc>
          <w:tcPr>
            <w:tcW w:w="1872" w:type="dxa"/>
          </w:tcPr>
          <w:p>
            <w:pPr/>
            <w:r>
              <w:t xml:space="preserve">Rejouer une météo historique</w:t>
            </w:r>
          </w:p>
        </w:tc>
        <w:tc>
          <w:tcPr>
            <w:tcW w:w="1872" w:type="dxa"/>
          </w:tcPr>
          <w:p>
            <w:pPr/>
            <w:r>
              <w:rPr>
                <w:rStyle w:val="CodeChar"/>
              </w:rPr>
              <w:t xml:space="preserve">outils/marche.py</w:t>
            </w:r>
          </w:p>
        </w:tc>
        <w:tc>
          <w:tcPr>
            <w:tcW w:w="1872" w:type="dxa"/>
          </w:tcPr>
          <w:p>
            <w:pPr/>
            <w:r>
              <w:rPr>
                <w:rStyle w:val="CodeChar"/>
              </w:rPr>
              <w:t xml:space="preserve">injecter_temperature()</w:t>
            </w:r>
            <w:r>
              <w:t xml:space="preserve"> l.144</w:t>
            </w:r>
          </w:p>
        </w:tc>
        <w:tc>
          <w:tcPr>
            <w:tcW w:w="1872" w:type="dxa"/>
          </w:tcPr>
          <w:p>
            <w:pPr/>
            <w:r>
              <w:t xml:space="preserve">§3.2</w:t>
            </w:r>
          </w:p>
        </w:tc>
      </w:tr>
      <w:tr>
        <w:tc>
          <w:tcPr>
            <w:tcW w:w="1872" w:type="dxa"/>
          </w:tcPr>
          <w:p>
            <w:pPr/>
            <w:r>
              <w:t xml:space="preserve">8</w:t>
            </w:r>
          </w:p>
        </w:tc>
        <w:tc>
          <w:tcPr>
            <w:tcW w:w="1872" w:type="dxa"/>
          </w:tcPr>
          <w:p>
            <w:pPr/>
            <w:r>
              <w:t xml:space="preserve">La régression prix-volume</w:t>
            </w:r>
          </w:p>
        </w:tc>
        <w:tc>
          <w:tcPr>
            <w:tcW w:w="1872" w:type="dxa"/>
          </w:tcPr>
          <w:p>
            <w:pPr/>
            <w:r>
              <w:rPr>
                <w:rStyle w:val="CodeChar"/>
              </w:rPr>
              <w:t xml:space="preserve">outils/marche.py</w:t>
            </w:r>
          </w:p>
        </w:tc>
        <w:tc>
          <w:tcPr>
            <w:tcW w:w="1872" w:type="dxa"/>
          </w:tcPr>
          <w:p>
            <w:pPr/>
            <w:r>
              <w:rPr>
                <w:rStyle w:val="CodeChar"/>
              </w:rPr>
              <w:t xml:space="preserve">anomalies()</w:t>
            </w:r>
            <w:r>
              <w:t xml:space="preserve"> l.159, </w:t>
            </w:r>
            <w:r>
              <w:rPr>
                <w:rStyle w:val="CodeChar"/>
              </w:rPr>
              <w:t xml:space="preserve">pente_prix_volume()</w:t>
            </w:r>
            <w:r>
              <w:t xml:space="preserve"> l.173</w:t>
            </w:r>
          </w:p>
        </w:tc>
        <w:tc>
          <w:tcPr>
            <w:tcW w:w="1872" w:type="dxa"/>
          </w:tcPr>
          <w:p>
            <w:pPr/>
            <w:r>
              <w:t xml:space="preserve">§3.2</w:t>
            </w:r>
          </w:p>
        </w:tc>
      </w:tr>
      <w:tr>
        <w:tc>
          <w:tcPr>
            <w:tcW w:w="1872" w:type="dxa"/>
          </w:tcPr>
          <w:p>
            <w:pPr/>
            <w:r>
              <w:t xml:space="preserve">9</w:t>
            </w:r>
          </w:p>
        </w:tc>
        <w:tc>
          <w:tcPr>
            <w:tcW w:w="1872" w:type="dxa"/>
          </w:tcPr>
          <w:p>
            <w:pPr/>
            <w:r>
              <w:t xml:space="preserve">Level × Shape</w:t>
            </w:r>
          </w:p>
        </w:tc>
        <w:tc>
          <w:tcPr>
            <w:tcW w:w="1872" w:type="dxa"/>
          </w:tcPr>
          <w:p>
            <w:pPr/>
            <w:r>
              <w:rPr>
                <w:rStyle w:val="CodeChar"/>
              </w:rPr>
              <w:t xml:space="preserve">outils/marche.py</w:t>
            </w:r>
          </w:p>
        </w:tc>
        <w:tc>
          <w:tcPr>
            <w:tcW w:w="1872" w:type="dxa"/>
          </w:tcPr>
          <w:p>
            <w:pPr/>
            <w:r>
              <w:rPr>
                <w:rStyle w:val="CodeChar"/>
              </w:rPr>
              <w:t xml:space="preserve">scenario_spot()</w:t>
            </w:r>
            <w:r>
              <w:t xml:space="preserve"> l.186, </w:t>
            </w:r>
            <w:r>
              <w:rPr>
                <w:rStyle w:val="CodeChar"/>
              </w:rPr>
              <w:t xml:space="preserve">construire_scenario()</w:t>
            </w:r>
            <w:r>
              <w:t xml:space="preserve"> l.193</w:t>
            </w:r>
          </w:p>
        </w:tc>
        <w:tc>
          <w:tcPr>
            <w:tcW w:w="1872" w:type="dxa"/>
          </w:tcPr>
          <w:p>
            <w:pPr/>
            <w:r>
              <w:t xml:space="preserve">§3.2</w:t>
            </w:r>
          </w:p>
        </w:tc>
      </w:tr>
      <w:tr>
        <w:tc>
          <w:tcPr>
            <w:tcW w:w="1872" w:type="dxa"/>
          </w:tcPr>
          <w:p>
            <w:pPr/>
            <w:r>
              <w:t xml:space="preserve">10</w:t>
            </w:r>
          </w:p>
        </w:tc>
        <w:tc>
          <w:tcPr>
            <w:tcW w:w="1872" w:type="dxa"/>
          </w:tcPr>
          <w:p>
            <w:pPr/>
            <w:r>
              <w:t xml:space="preserve">La méthode alpha</w:t>
            </w:r>
          </w:p>
        </w:tc>
        <w:tc>
          <w:tcPr>
            <w:tcW w:w="1872" w:type="dxa"/>
          </w:tcPr>
          <w:p>
            <w:pPr/>
            <w:r>
              <w:rPr>
                <w:rStyle w:val="CodeChar"/>
              </w:rPr>
              <w:t xml:space="preserve">outils/marche.py</w:t>
            </w:r>
          </w:p>
        </w:tc>
        <w:tc>
          <w:tcPr>
            <w:tcW w:w="1872" w:type="dxa"/>
          </w:tcPr>
          <w:p>
            <w:pPr/>
            <w:r>
              <w:rPr>
                <w:rStyle w:val="CodeChar"/>
              </w:rPr>
              <w:t xml:space="preserve">forward_t2_anticipe()</w:t>
            </w:r>
            <w:r>
              <w:t xml:space="preserve"> l.57, </w:t>
            </w:r>
            <w:r>
              <w:rPr>
                <w:rStyle w:val="CodeChar"/>
              </w:rPr>
              <w:t xml:space="preserve">sigma_t2()</w:t>
            </w:r>
            <w:r>
              <w:t xml:space="preserve"> l.62</w:t>
            </w:r>
          </w:p>
        </w:tc>
        <w:tc>
          <w:tcPr>
            <w:tcW w:w="1872" w:type="dxa"/>
          </w:tcPr>
          <w:p>
            <w:pPr/>
            <w:r>
              <w:t xml:space="preserve">§3.3</w:t>
            </w:r>
          </w:p>
        </w:tc>
      </w:tr>
      <w:tr>
        <w:tc>
          <w:tcPr>
            <w:tcW w:w="1872" w:type="dxa"/>
          </w:tcPr>
          <w:p>
            <w:pPr/>
            <w:r>
              <w:t xml:space="preserve">11</w:t>
            </w:r>
          </w:p>
        </w:tc>
        <w:tc>
          <w:tcPr>
            <w:tcW w:w="1872" w:type="dxa"/>
          </w:tcPr>
          <w:p>
            <w:pPr/>
            <w:r>
              <w:t xml:space="preserve">Le mix de produits EEX</w:t>
            </w:r>
          </w:p>
        </w:tc>
        <w:tc>
          <w:tcPr>
            <w:tcW w:w="1872" w:type="dxa"/>
          </w:tcPr>
          <w:p>
            <w:pPr/>
            <w:r>
              <w:rPr>
                <w:rStyle w:val="CodeChar"/>
              </w:rPr>
              <w:t xml:space="preserve">outils/couverture.py</w:t>
            </w:r>
          </w:p>
        </w:tc>
        <w:tc>
          <w:tcPr>
            <w:tcW w:w="1872" w:type="dxa"/>
          </w:tcPr>
          <w:p>
            <w:pPr/>
            <w:r>
              <w:rPr>
                <w:rStyle w:val="CodeChar"/>
              </w:rPr>
              <w:t xml:space="preserve">fenetre()</w:t>
            </w:r>
            <w:r>
              <w:t xml:space="preserve"> l.54, </w:t>
            </w:r>
            <w:r>
              <w:rPr>
                <w:rStyle w:val="CodeChar"/>
              </w:rPr>
              <w:t xml:space="preserve">construire_mix()</w:t>
            </w:r>
            <w:r>
              <w:t xml:space="preserve"> l.85</w:t>
            </w:r>
          </w:p>
        </w:tc>
        <w:tc>
          <w:tcPr>
            <w:tcW w:w="1872" w:type="dxa"/>
          </w:tcPr>
          <w:p>
            <w:pPr/>
            <w:r>
              <w:t xml:space="preserve">§3.4</w:t>
            </w:r>
          </w:p>
        </w:tc>
      </w:tr>
      <w:tr>
        <w:tc>
          <w:tcPr>
            <w:tcW w:w="1872" w:type="dxa"/>
          </w:tcPr>
          <w:p>
            <w:pPr/>
            <w:r>
              <w:t xml:space="preserve">12</w:t>
            </w:r>
          </w:p>
        </w:tc>
        <w:tc>
          <w:tcPr>
            <w:tcW w:w="1872" w:type="dxa"/>
          </w:tcPr>
          <w:p>
            <w:pPr/>
            <w:r>
              <w:t xml:space="preserve">Les marges et le choix</w:t>
            </w:r>
          </w:p>
        </w:tc>
        <w:tc>
          <w:tcPr>
            <w:tcW w:w="1872" w:type="dxa"/>
          </w:tcPr>
          <w:p>
            <w:pPr/>
            <w:r>
              <w:rPr>
                <w:rStyle w:val="CodeChar"/>
              </w:rPr>
              <w:t xml:space="preserve">outils/couverture.py</w:t>
            </w:r>
            <w:r>
              <w:t xml:space="preserve">, exécuté par </w:t>
            </w:r>
            <w:r>
              <w:rPr>
                <w:rStyle w:val="CodeChar"/>
              </w:rPr>
              <w:t xml:space="preserve">t1_strategie.py</w:t>
            </w:r>
          </w:p>
        </w:tc>
        <w:tc>
          <w:tcPr>
            <w:tcW w:w="1872" w:type="dxa"/>
          </w:tcPr>
          <w:p>
            <w:pPr/>
            <w:r>
              <w:rPr>
                <w:rStyle w:val="CodeChar"/>
              </w:rPr>
              <w:t xml:space="preserve">marge()</w:t>
            </w:r>
            <w:r>
              <w:t xml:space="preserve"> l.177, </w:t>
            </w:r>
            <w:r>
              <w:rPr>
                <w:rStyle w:val="CodeChar"/>
              </w:rPr>
              <w:t xml:space="preserve">choisir()</w:t>
            </w:r>
            <w:r>
              <w:t xml:space="preserve"> l.222</w:t>
            </w:r>
          </w:p>
        </w:tc>
        <w:tc>
          <w:tcPr>
            <w:tcW w:w="1872" w:type="dxa"/>
          </w:tcPr>
          <w:p>
            <w:pPr/>
            <w:r>
              <w:t xml:space="preserve">§3.5</w:t>
            </w:r>
          </w:p>
        </w:tc>
      </w:tr>
      <w:tr>
        <w:tc>
          <w:tcPr>
            <w:tcW w:w="1872" w:type="dxa"/>
          </w:tcPr>
          <w:p>
            <w:pPr/>
            <w:r>
              <w:t xml:space="preserve">13</w:t>
            </w:r>
          </w:p>
        </w:tc>
        <w:tc>
          <w:tcPr>
            <w:tcW w:w="1872" w:type="dxa"/>
          </w:tcPr>
          <w:p>
            <w:pPr/>
            <w:r>
              <w:t xml:space="preserve">Le travail au T2</w:t>
            </w:r>
          </w:p>
        </w:tc>
        <w:tc>
          <w:tcPr>
            <w:tcW w:w="1872" w:type="dxa"/>
          </w:tcPr>
          <w:p>
            <w:pPr/>
            <w:r>
              <w:rPr>
                <w:rStyle w:val="CodeChar"/>
              </w:rPr>
              <w:t xml:space="preserve">t2_decision.py</w:t>
            </w:r>
          </w:p>
        </w:tc>
        <w:tc>
          <w:tcPr>
            <w:tcW w:w="1872" w:type="dxa"/>
          </w:tcPr>
          <w:p>
            <w:pPr/>
            <w:r>
              <w:rPr>
                <w:rStyle w:val="CodeChar"/>
              </w:rPr>
              <w:t xml:space="preserve">probabilites_revisees()</w:t>
            </w:r>
            <w:r>
              <w:t xml:space="preserve"> l.42, </w:t>
            </w:r>
            <w:r>
              <w:rPr>
                <w:rStyle w:val="CodeChar"/>
              </w:rPr>
              <w:t xml:space="preserve">marge_t2()</w:t>
            </w:r>
            <w:r>
              <w:t xml:space="preserve"> l.72</w:t>
            </w:r>
          </w:p>
        </w:tc>
        <w:tc>
          <w:tcPr>
            <w:tcW w:w="1872" w:type="dxa"/>
          </w:tcPr>
          <w:p>
            <w:pPr/>
            <w:r>
              <w:t xml:space="preserve">§4.1 à 4.4</w:t>
            </w:r>
          </w:p>
        </w:tc>
      </w:tr>
      <w:tr>
        <w:tc>
          <w:tcPr>
            <w:tcW w:w="1872" w:type="dxa"/>
          </w:tcPr>
          <w:p>
            <w:pPr/>
            <w:r>
              <w:t xml:space="preserve">14</w:t>
            </w:r>
          </w:p>
        </w:tc>
        <w:tc>
          <w:tcPr>
            <w:tcW w:w="1872" w:type="dxa"/>
          </w:tcPr>
          <w:p>
            <w:pPr/>
            <w:r>
              <w:t xml:space="preserve">La position ouverte du 1er janvier</w:t>
            </w:r>
          </w:p>
        </w:tc>
        <w:tc>
          <w:tcPr>
            <w:tcW w:w="1872" w:type="dxa"/>
          </w:tcPr>
          <w:p>
            <w:pPr/>
            <w:r>
              <w:rPr>
                <w:rStyle w:val="CodeChar"/>
              </w:rPr>
              <w:t xml:space="preserve">t2_decision.py</w:t>
            </w:r>
          </w:p>
        </w:tc>
        <w:tc>
          <w:tcPr>
            <w:tcW w:w="1872" w:type="dxa"/>
          </w:tcPr>
          <w:p>
            <w:pPr/>
            <w:r>
              <w:t xml:space="preserve">fin de </w:t>
            </w:r>
            <w:r>
              <w:rPr>
                <w:rStyle w:val="CodeChar"/>
              </w:rPr>
              <w:t xml:space="preserve">main()</w:t>
            </w:r>
            <w:r>
              <w:t xml:space="preserve">, </w:t>
            </w:r>
            <w:r>
              <w:rPr>
                <w:rStyle w:val="CodeChar"/>
              </w:rPr>
              <w:t xml:space="preserve">tracer()</w:t>
            </w:r>
            <w:r>
              <w:t xml:space="preserve"> l.247</w:t>
            </w:r>
          </w:p>
        </w:tc>
        <w:tc>
          <w:tcPr>
            <w:tcW w:w="1872" w:type="dxa"/>
          </w:tcPr>
          <w:p>
            <w:pPr/>
            <w:r>
              <w:t xml:space="preserve">§5</w:t>
            </w:r>
          </w:p>
        </w:tc>
      </w:tr>
      <w:tr>
        <w:tc>
          <w:tcPr>
            <w:tcW w:w="1872" w:type="dxa"/>
          </w:tcPr>
          <w:p>
            <w:pPr/>
            <w:r>
              <w:t xml:space="preserve">15</w:t>
            </w:r>
          </w:p>
        </w:tc>
        <w:tc>
          <w:tcPr>
            <w:tcW w:w="1872" w:type="dxa"/>
          </w:tcPr>
          <w:p>
            <w:pPr/>
            <w:r>
              <w:t xml:space="preserve">Le T3 et l'ordre day-ahead</w:t>
            </w:r>
          </w:p>
        </w:tc>
        <w:tc>
          <w:tcPr>
            <w:tcW w:w="1872" w:type="dxa"/>
          </w:tcPr>
          <w:p>
            <w:pPr/>
            <w:r>
              <w:rPr>
                <w:rStyle w:val="CodeChar"/>
              </w:rPr>
              <w:t xml:space="preserve">t3_spot.py</w:t>
            </w:r>
          </w:p>
        </w:tc>
        <w:tc>
          <w:tcPr>
            <w:tcW w:w="1872" w:type="dxa"/>
          </w:tcPr>
          <w:p>
            <w:pPr/>
            <w:r>
              <w:rPr>
                <w:rStyle w:val="CodeChar"/>
              </w:rPr>
              <w:t xml:space="preserve">objectif_1()</w:t>
            </w:r>
            <w:r>
              <w:t xml:space="preserve"> l.62, </w:t>
            </w:r>
            <w:r>
              <w:rPr>
                <w:rStyle w:val="CodeChar"/>
              </w:rPr>
              <w:t xml:space="preserve">ordre_spot()</w:t>
            </w:r>
            <w:r>
              <w:t xml:space="preserve"> l.138</w:t>
            </w:r>
          </w:p>
        </w:tc>
        <w:tc>
          <w:tcPr>
            <w:tcW w:w="1872" w:type="dxa"/>
          </w:tcPr>
          <w:p>
            <w:pPr/>
            <w:r>
              <w:t xml:space="preserve">§5</w:t>
            </w:r>
          </w:p>
        </w:tc>
      </w:tr>
    </w:tbl>
    <w:p>
      <w:pPr/>
      <w:r>
        <w:rPr>
          <w:b/>
        </w:rPr>
        <w:t xml:space="preserve">Ordre d'exécution</w:t>
      </w:r>
      <w:r>
        <w:t xml:space="preserve"> : </w:t>
      </w:r>
      <w:r>
        <w:rPr>
          <w:rStyle w:val="CodeChar"/>
        </w:rPr>
        <w:t xml:space="preserve">t1_strategie.py</w:t>
      </w:r>
      <w:r>
        <w:t xml:space="preserve">, puis </w:t>
      </w:r>
      <w:r>
        <w:rPr>
          <w:rStyle w:val="CodeChar"/>
        </w:rPr>
        <w:t xml:space="preserve">t2_decision.py</w:t>
      </w:r>
      <w:r>
        <w:t xml:space="preserve">, puis </w:t>
      </w:r>
      <w:r>
        <w:rPr>
          <w:rStyle w:val="CodeChar"/>
        </w:rPr>
        <w:t xml:space="preserve">t3_spot.py</w:t>
      </w:r>
      <w:r>
        <w:t xml:space="preserve"> — ou </w:t>
      </w:r>
      <w:r>
        <w:rPr>
          <w:rStyle w:val="CodeChar"/>
        </w:rPr>
        <w:t xml:space="preserve">python lancer.py</w:t>
      </w:r>
      <w:r>
        <w:t xml:space="preserve">, qui enchaîne les trois en une trentaine de secondes. Les quatre fichiers de </w:t>
      </w:r>
      <w:r>
        <w:rPr>
          <w:rStyle w:val="CodeChar"/>
        </w:rPr>
        <w:t xml:space="preserve">outils/</w:t>
      </w:r>
      <w:r>
        <w:t xml:space="preserve"> ne se lancent pas directement : ce sont les bibliothèques que les trois jalons appellent. Seul </w:t>
      </w:r>
      <w:r>
        <w:rPr>
          <w:rStyle w:val="CodeChar"/>
        </w:rPr>
        <w:t xml:space="preserve">outils/marche.py</w:t>
      </w:r>
      <w:r>
        <w:t xml:space="preserve"> fait exception, on peut le lancer seul pour détailler un scénario de prix.</w:t>
      </w:r>
    </w:p>
    <w:p>
      <w:pPr/>
      <w:r>
        <w:rPr>
          <w:b/>
        </w:rPr>
        <w:t xml:space="preserve">Pour tout lancer d'un coup</w:t>
      </w:r>
      <w:r>
        <w:t xml:space="preserve"> : </w:t>
      </w:r>
      <w:r>
        <w:rPr>
          <w:rStyle w:val="CodeChar"/>
        </w:rPr>
        <w:t xml:space="preserve">python lancer.py --figures</w:t>
      </w:r>
      <w:r>
        <w:t xml:space="preserve"> enchaîne les cinq scripts dans l'ordre et écrit tout dans </w:t>
      </w:r>
      <w:r>
        <w:rPr>
          <w:rStyle w:val="CodeChar"/>
        </w:rPr>
        <w:t xml:space="preserve">sorties/</w:t>
      </w:r>
      <w:r>
        <w:t xml:space="preserve">, figures comprises — une trentaine de secondes. Le dossier est rangé en trois : </w:t>
      </w:r>
      <w:r>
        <w:rPr>
          <w:rStyle w:val="CodeChar"/>
        </w:rPr>
        <w:t xml:space="preserve">donnees/</w:t>
      </w:r>
      <w:r>
        <w:t xml:space="preserve"> pour les fichiers du prof (le code n'y écrit jamais), </w:t>
      </w:r>
      <w:r>
        <w:rPr>
          <w:rStyle w:val="CodeChar"/>
        </w:rPr>
        <w:t xml:space="preserve">sorties/</w:t>
      </w:r>
      <w:r>
        <w:t xml:space="preserve"> pour tout ce que le code produit (effaçable sans risque), </w:t>
      </w:r>
      <w:r>
        <w:rPr>
          <w:rStyle w:val="CodeChar"/>
        </w:rPr>
        <w:t xml:space="preserve">rapport/</w:t>
      </w:r>
      <w:r>
        <w:t xml:space="preserve"> pour ce document.</w:t>
      </w:r>
    </w:p>
    <w:p>
      <w:pPr/>
      <w:r>
        <w:rPr>
          <w:b/>
        </w:rPr>
        <w:t xml:space="preserve">Les figures</w:t>
      </w:r>
      <w:r>
        <w:t xml:space="preserve"> : chaque script se termine par un appel à </w:t>
      </w:r>
      <w:r>
        <w:rPr>
          <w:rStyle w:val="CodeChar"/>
        </w:rPr>
        <w:t xml:space="preserve">tracer()</w:t>
      </w:r>
      <w:r>
        <w:t xml:space="preserve"> et ouvre ses figures matplotlib à l'écran quand on le lance. Les sept figures reproduites dans ce document sortent telles quelles de ces appels, sans retouche. </w:t>
      </w:r>
      <w:r>
        <w:rPr>
          <w:rStyle w:val="CodeChar"/>
        </w:rPr>
        <w:t xml:space="preserve">figures.py</w:t>
      </w:r>
      <w:r>
        <w:t xml:space="preserve">, dans le même dossier, rejoue les cinq scripts et enregistre les sept PNG dans </w:t>
      </w:r>
      <w:r>
        <w:rPr>
          <w:rStyle w:val="CodeChar"/>
        </w:rPr>
        <w:t xml:space="preserve">sorties/figures/</w:t>
      </w:r>
      <w:r>
        <w:t xml:space="preserve"> — il n'ajoute rien, il remplace seulement </w:t>
      </w:r>
      <w:r>
        <w:rPr>
          <w:rStyle w:val="CodeChar"/>
        </w:rPr>
        <w:t xml:space="preserve">plt.show()</w:t>
      </w:r>
      <w:r>
        <w:t xml:space="preserve"> par un </w:t>
      </w:r>
      <w:r>
        <w:rPr>
          <w:rStyle w:val="CodeChar"/>
        </w:rPr>
        <w:t xml:space="preserve">savefig()</w:t>
      </w:r>
      <w:r>
        <w:t xml:space="preserve">.</w:t>
      </w:r>
    </w:p>
    <w:p>
      <w:pPr>
        <w:pStyle w:val="Heading3"/>
      </w:pPr>
      <w:r>
        <w:t xml:space="preserve">Je cherche quoi, j'ouvre quel fichier</w:t>
      </w:r>
    </w:p>
    <w:p>
      <w:pPr/>
      <w:r>
        <w:t xml:space="preserve">Tout ce qui se règle est </w:t>
      </w:r>
      <w:r>
        <w:rPr>
          <w:b/>
        </w:rPr>
        <w:t xml:space="preserve">en tête de fichier</w:t>
      </w:r>
      <w:r>
        <w:t xml:space="preserve">, avant la première fonction. Jamais besoin de descendre dans le corps du code pour changer un paramètre.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Ce que je veux voir ou changer</w:t>
            </w:r>
          </w:p>
        </w:tc>
        <w:tc>
          <w:tcPr>
            <w:tcW w:w="3120" w:type="dxa"/>
            <w:shd w:val="clear" w:color="auto" w:fill="F2F2F2"/>
          </w:tcPr>
          <w:p>
            <w:pPr/>
            <w:r>
              <w:t xml:space="preserve">Fichier</w:t>
            </w:r>
          </w:p>
        </w:tc>
        <w:tc>
          <w:tcPr>
            <w:tcW w:w="3120" w:type="dxa"/>
            <w:shd w:val="clear" w:color="auto" w:fill="F2F2F2"/>
          </w:tcPr>
          <w:p>
            <w:pPr/>
            <w:r>
              <w:t xml:space="preserve">Ligne</w:t>
            </w:r>
          </w:p>
        </w:tc>
      </w:tr>
      <w:tr>
        <w:tc>
          <w:tcPr>
            <w:tcW w:w="3120" w:type="dxa"/>
          </w:tcPr>
          <w:p>
            <w:pPr/>
            <w:r>
              <w:t xml:space="preserve">Année cible</w:t>
            </w:r>
          </w:p>
        </w:tc>
        <w:tc>
          <w:tcPr>
            <w:tcW w:w="3120" w:type="dxa"/>
          </w:tcPr>
          <w:p>
            <w:pPr/>
            <w:r>
              <w:rPr>
                <w:rStyle w:val="CodeChar"/>
              </w:rPr>
              <w:t xml:space="preserve">outils/demande.py</w:t>
            </w:r>
          </w:p>
        </w:tc>
        <w:tc>
          <w:tcPr>
            <w:tcW w:w="3120" w:type="dxa"/>
          </w:tcPr>
          <w:p>
            <w:pPr/>
            <w:r>
              <w:t xml:space="preserve">24</w:t>
            </w:r>
          </w:p>
        </w:tc>
      </w:tr>
      <w:tr>
        <w:tc>
          <w:tcPr>
            <w:tcW w:w="3120" w:type="dxa"/>
          </w:tcPr>
          <w:p>
            <w:pPr/>
            <w:r>
              <w:t xml:space="preserve">FUD : clients, kVA, Θ</w:t>
            </w:r>
          </w:p>
        </w:tc>
        <w:tc>
          <w:tcPr>
            <w:tcW w:w="3120" w:type="dxa"/>
          </w:tcPr>
          <w:p>
            <w:pPr/>
            <w:r>
              <w:rPr>
                <w:rStyle w:val="CodeChar"/>
              </w:rPr>
              <w:t xml:space="preserve">outils/demande.py</w:t>
            </w:r>
            <w:r>
              <w:t xml:space="preserve"> — </w:t>
            </w:r>
            <w:r>
              <w:rPr>
                <w:rStyle w:val="CodeChar"/>
              </w:rPr>
              <w:t xml:space="preserve">PARAMS</w:t>
            </w:r>
          </w:p>
        </w:tc>
        <w:tc>
          <w:tcPr>
            <w:tcW w:w="3120" w:type="dxa"/>
          </w:tcPr>
          <w:p>
            <w:pPr/>
            <w:r>
              <w:t xml:space="preserve">26</w:t>
            </w:r>
          </w:p>
        </w:tc>
      </w:tr>
      <w:tr>
        <w:tc>
          <w:tcPr>
            <w:tcW w:w="3120" w:type="dxa"/>
          </w:tcPr>
          <w:p>
            <w:pPr/>
            <w:r>
              <w:t xml:space="preserve">Les trois jalons commerciaux</w:t>
            </w:r>
          </w:p>
        </w:tc>
        <w:tc>
          <w:tcPr>
            <w:tcW w:w="3120" w:type="dxa"/>
          </w:tcPr>
          <w:p>
            <w:pPr/>
            <w:r>
              <w:rPr>
                <w:rStyle w:val="CodeChar"/>
              </w:rPr>
              <w:t xml:space="preserve">outils/demande.py</w:t>
            </w:r>
            <w:r>
              <w:t xml:space="preserve"> — </w:t>
            </w:r>
            <w:r>
              <w:rPr>
                <w:rStyle w:val="CodeChar"/>
              </w:rPr>
              <w:t xml:space="preserve">CLIENTS</w:t>
            </w:r>
          </w:p>
        </w:tc>
        <w:tc>
          <w:tcPr>
            <w:tcW w:w="3120" w:type="dxa"/>
          </w:tcPr>
          <w:p>
            <w:pPr/>
            <w:r>
              <w:t xml:space="preserve">30</w:t>
            </w:r>
          </w:p>
        </w:tc>
      </w:tr>
      <w:tr>
        <w:tc>
          <w:tcPr>
            <w:tcW w:w="3120" w:type="dxa"/>
          </w:tcPr>
          <w:p>
            <w:pPr/>
            <w:r>
              <w:t xml:space="preserve">Seuil de chauffe 15 °C</w:t>
            </w:r>
          </w:p>
        </w:tc>
        <w:tc>
          <w:tcPr>
            <w:tcW w:w="3120" w:type="dxa"/>
          </w:tcPr>
          <w:p>
            <w:pPr/>
            <w:r>
              <w:rPr>
                <w:rStyle w:val="CodeChar"/>
              </w:rPr>
              <w:t xml:space="preserve">outils/demande.py</w:t>
            </w:r>
            <w:r>
              <w:t xml:space="preserve"> — </w:t>
            </w:r>
            <w:r>
              <w:rPr>
                <w:rStyle w:val="CodeChar"/>
              </w:rPr>
              <w:t xml:space="preserve">T_SEUIL</w:t>
            </w:r>
          </w:p>
        </w:tc>
        <w:tc>
          <w:tcPr>
            <w:tcW w:w="3120" w:type="dxa"/>
          </w:tcPr>
          <w:p>
            <w:pPr/>
            <w:r>
              <w:t xml:space="preserve">37</w:t>
            </w:r>
          </w:p>
        </w:tc>
      </w:tr>
      <w:tr>
        <w:tc>
          <w:tcPr>
            <w:tcW w:w="3120" w:type="dxa"/>
          </w:tcPr>
          <w:p>
            <w:pPr/>
            <w:r>
              <w:t xml:space="preserve">Noms des fichiers CSV</w:t>
            </w:r>
          </w:p>
        </w:tc>
        <w:tc>
          <w:tcPr>
            <w:tcW w:w="3120" w:type="dxa"/>
          </w:tcPr>
          <w:p>
            <w:pPr/>
            <w:r>
              <w:rPr>
                <w:rStyle w:val="CodeChar"/>
              </w:rPr>
              <w:t xml:space="preserve">outils/demande.py</w:t>
            </w:r>
            <w:r>
              <w:t xml:space="preserve"> — </w:t>
            </w:r>
            <w:r>
              <w:rPr>
                <w:rStyle w:val="CodeChar"/>
              </w:rPr>
              <w:t xml:space="preserve">FICHIERS</w:t>
            </w:r>
          </w:p>
        </w:tc>
        <w:tc>
          <w:tcPr>
            <w:tcW w:w="3120" w:type="dxa"/>
          </w:tcPr>
          <w:p>
            <w:pPr/>
            <w:r>
              <w:t xml:space="preserve">52</w:t>
            </w:r>
          </w:p>
        </w:tc>
      </w:tr>
      <w:tr>
        <w:tc>
          <w:tcPr>
            <w:tcW w:w="3120" w:type="dxa"/>
          </w:tcPr>
          <w:p>
            <w:pPr/>
            <w:r>
              <w:t xml:space="preserve">Les 4 cas RTE</w:t>
            </w:r>
          </w:p>
        </w:tc>
        <w:tc>
          <w:tcPr>
            <w:tcW w:w="3120" w:type="dxa"/>
          </w:tcPr>
          <w:p>
            <w:pPr/>
            <w:r>
              <w:rPr>
                <w:rStyle w:val="CodeChar"/>
              </w:rPr>
              <w:t xml:space="preserve">outils/demande.py</w:t>
            </w:r>
            <w:r>
              <w:t xml:space="preserve"> — </w:t>
            </w:r>
            <w:r>
              <w:rPr>
                <w:rStyle w:val="CodeChar"/>
              </w:rPr>
              <w:t xml:space="preserve">coefficient_meteo()</w:t>
            </w:r>
          </w:p>
        </w:tc>
        <w:tc>
          <w:tcPr>
            <w:tcW w:w="3120" w:type="dxa"/>
          </w:tcPr>
          <w:p>
            <w:pPr/>
            <w:r>
              <w:t xml:space="preserve">114</w:t>
            </w:r>
          </w:p>
        </w:tc>
      </w:tr>
      <w:tr>
        <w:tc>
          <w:tcPr>
            <w:tcW w:w="3120" w:type="dxa"/>
          </w:tcPr>
          <w:p>
            <w:pPr/>
            <w:r>
              <w:t xml:space="preserve">Tous les prix EEX (3 jalons, Base et Peak)</w:t>
            </w:r>
          </w:p>
        </w:tc>
        <w:tc>
          <w:tcPr>
            <w:tcW w:w="3120" w:type="dxa"/>
          </w:tcPr>
          <w:p>
            <w:pPr/>
            <w:r>
              <w:rPr>
                <w:rStyle w:val="CodeChar"/>
              </w:rPr>
              <w:t xml:space="preserve">outils/marche.py</w:t>
            </w:r>
            <w:r>
              <w:t xml:space="preserve"> — </w:t>
            </w:r>
            <w:r>
              <w:rPr>
                <w:rStyle w:val="CodeChar"/>
              </w:rPr>
              <w:t xml:space="preserve">EEX</w:t>
            </w:r>
          </w:p>
        </w:tc>
        <w:tc>
          <w:tcPr>
            <w:tcW w:w="3120" w:type="dxa"/>
          </w:tcPr>
          <w:p>
            <w:pPr/>
            <w:r>
              <w:t xml:space="preserve">34</w:t>
            </w:r>
          </w:p>
        </w:tc>
      </w:tr>
      <w:tr>
        <w:tc>
          <w:tcPr>
            <w:tcW w:w="3120" w:type="dxa"/>
          </w:tcPr>
          <w:p>
            <w:pPr/>
            <w:r>
              <w:t xml:space="preserve">Prime de risque, volatilité CRE</w:t>
            </w:r>
          </w:p>
        </w:tc>
        <w:tc>
          <w:tcPr>
            <w:tcW w:w="3120" w:type="dxa"/>
          </w:tcPr>
          <w:p>
            <w:pPr/>
            <w:r>
              <w:rPr>
                <w:rStyle w:val="CodeChar"/>
              </w:rPr>
              <w:t xml:space="preserve">outils/marche.py</w:t>
            </w:r>
          </w:p>
        </w:tc>
        <w:tc>
          <w:tcPr>
            <w:tcW w:w="3120" w:type="dxa"/>
          </w:tcPr>
          <w:p>
            <w:pPr/>
            <w:r>
              <w:t xml:space="preserve">27-28</w:t>
            </w:r>
          </w:p>
        </w:tc>
      </w:tr>
      <w:tr>
        <w:tc>
          <w:tcPr>
            <w:tcW w:w="3120" w:type="dxa"/>
          </w:tcPr>
          <w:p>
            <w:pPr/>
            <w:r>
              <w:t xml:space="preserve">Le calcul de b</w:t>
            </w:r>
          </w:p>
        </w:tc>
        <w:tc>
          <w:tcPr>
            <w:tcW w:w="3120" w:type="dxa"/>
          </w:tcPr>
          <w:p>
            <w:pPr/>
            <w:r>
              <w:rPr>
                <w:rStyle w:val="CodeChar"/>
              </w:rPr>
              <w:t xml:space="preserve">outils/marche.py</w:t>
            </w:r>
            <w:r>
              <w:t xml:space="preserve"> — </w:t>
            </w:r>
            <w:r>
              <w:rPr>
                <w:rStyle w:val="CodeChar"/>
              </w:rPr>
              <w:t xml:space="preserve">pente_prix_volume()</w:t>
            </w:r>
          </w:p>
        </w:tc>
        <w:tc>
          <w:tcPr>
            <w:tcW w:w="3120" w:type="dxa"/>
          </w:tcPr>
          <w:p>
            <w:pPr/>
            <w:r>
              <w:t xml:space="preserve">173</w:t>
            </w:r>
          </w:p>
        </w:tc>
      </w:tr>
      <w:tr>
        <w:tc>
          <w:tcPr>
            <w:tcW w:w="3120" w:type="dxa"/>
          </w:tcPr>
          <w:p>
            <w:pPr/>
            <w:r>
              <w:t xml:space="preserve">Level × Shape</w:t>
            </w:r>
          </w:p>
        </w:tc>
        <w:tc>
          <w:tcPr>
            <w:tcW w:w="3120" w:type="dxa"/>
          </w:tcPr>
          <w:p>
            <w:pPr/>
            <w:r>
              <w:rPr>
                <w:rStyle w:val="CodeChar"/>
              </w:rPr>
              <w:t xml:space="preserve">outils/marche.py</w:t>
            </w:r>
            <w:r>
              <w:t xml:space="preserve"> — </w:t>
            </w:r>
            <w:r>
              <w:rPr>
                <w:rStyle w:val="CodeChar"/>
              </w:rPr>
              <w:t xml:space="preserve">scenario_spot()</w:t>
            </w:r>
          </w:p>
        </w:tc>
        <w:tc>
          <w:tcPr>
            <w:tcW w:w="3120" w:type="dxa"/>
          </w:tcPr>
          <w:p>
            <w:pPr/>
            <w:r>
              <w:t xml:space="preserve">186</w:t>
            </w:r>
          </w:p>
        </w:tc>
      </w:tr>
      <w:tr>
        <w:tc>
          <w:tcPr>
            <w:tcW w:w="3120" w:type="dxa"/>
          </w:tcPr>
          <w:p>
            <w:pPr/>
            <w:r>
              <w:t xml:space="preserve">Années de scénario</w:t>
            </w:r>
          </w:p>
        </w:tc>
        <w:tc>
          <w:tcPr>
            <w:tcW w:w="3120" w:type="dxa"/>
          </w:tcPr>
          <w:p>
            <w:pPr/>
            <w:r>
              <w:rPr>
                <w:rStyle w:val="CodeChar"/>
              </w:rPr>
              <w:t xml:space="preserve">outils/couverture.py</w:t>
            </w:r>
            <w:r>
              <w:t xml:space="preserve"> — </w:t>
            </w:r>
            <w:r>
              <w:rPr>
                <w:rStyle w:val="CodeChar"/>
              </w:rPr>
              <w:t xml:space="preserve">ANNEES</w:t>
            </w:r>
          </w:p>
        </w:tc>
        <w:tc>
          <w:tcPr>
            <w:tcW w:w="3120" w:type="dxa"/>
          </w:tcPr>
          <w:p>
            <w:pPr/>
            <w:r>
              <w:t xml:space="preserve">25</w:t>
            </w:r>
          </w:p>
        </w:tc>
      </w:tr>
      <w:tr>
        <w:tc>
          <w:tcPr>
            <w:tcW w:w="3120" w:type="dxa"/>
          </w:tcPr>
          <w:p>
            <w:pPr/>
            <w:r>
              <w:t xml:space="preserve">Prix de vente, marge cible, plancher</w:t>
            </w:r>
          </w:p>
        </w:tc>
        <w:tc>
          <w:tcPr>
            <w:tcW w:w="3120" w:type="dxa"/>
          </w:tcPr>
          <w:p>
            <w:pPr/>
            <w:r>
              <w:rPr>
                <w:rStyle w:val="CodeChar"/>
              </w:rPr>
              <w:t xml:space="preserve">outils/couverture.py</w:t>
            </w:r>
          </w:p>
        </w:tc>
        <w:tc>
          <w:tcPr>
            <w:tcW w:w="3120" w:type="dxa"/>
          </w:tcPr>
          <w:p>
            <w:pPr/>
            <w:r>
              <w:t xml:space="preserve">28-30</w:t>
            </w:r>
          </w:p>
        </w:tc>
      </w:tr>
      <w:tr>
        <w:tc>
          <w:tcPr>
            <w:tcW w:w="3120" w:type="dxa"/>
          </w:tcPr>
          <w:p>
            <w:pPr/>
            <w:r>
              <w:t xml:space="preserve">Alpha retenu pour le T2</w:t>
            </w:r>
          </w:p>
        </w:tc>
        <w:tc>
          <w:tcPr>
            <w:tcW w:w="3120" w:type="dxa"/>
          </w:tcPr>
          <w:p>
            <w:pPr/>
            <w:r>
              <w:rPr>
                <w:rStyle w:val="CodeChar"/>
              </w:rPr>
              <w:t xml:space="preserve">outils/couverture.py</w:t>
            </w:r>
            <w:r>
              <w:t xml:space="preserve"> — </w:t>
            </w:r>
            <w:r>
              <w:rPr>
                <w:rStyle w:val="CodeChar"/>
              </w:rPr>
              <w:t xml:space="preserve">ALPHA_T2</w:t>
            </w:r>
          </w:p>
        </w:tc>
        <w:tc>
          <w:tcPr>
            <w:tcW w:w="3120" w:type="dxa"/>
          </w:tcPr>
          <w:p>
            <w:pPr/>
            <w:r>
              <w:t xml:space="preserve">31</w:t>
            </w:r>
          </w:p>
        </w:tc>
      </w:tr>
      <w:tr>
        <w:tc>
          <w:tcPr>
            <w:tcW w:w="3120" w:type="dxa"/>
          </w:tcPr>
          <w:p>
            <w:pPr/>
            <w:r>
              <w:t xml:space="preserve">Mix par défaut (cal / trimestres / +peak)</w:t>
            </w:r>
          </w:p>
        </w:tc>
        <w:tc>
          <w:tcPr>
            <w:tcW w:w="3120" w:type="dxa"/>
          </w:tcPr>
          <w:p>
            <w:pPr/>
            <w:r>
              <w:rPr>
                <w:rStyle w:val="CodeChar"/>
              </w:rPr>
              <w:t xml:space="preserve">outils/couverture.py</w:t>
            </w:r>
            <w:r>
              <w:t xml:space="preserve"> — </w:t>
            </w:r>
            <w:r>
              <w:rPr>
                <w:rStyle w:val="CodeChar"/>
              </w:rPr>
              <w:t xml:space="preserve">FORME</w:t>
            </w:r>
          </w:p>
        </w:tc>
        <w:tc>
          <w:tcPr>
            <w:tcW w:w="3120" w:type="dxa"/>
          </w:tcPr>
          <w:p>
            <w:pPr/>
            <w:r>
              <w:t xml:space="preserve">32</w:t>
            </w:r>
          </w:p>
        </w:tc>
      </w:tr>
      <w:tr>
        <w:tc>
          <w:tcPr>
            <w:tcW w:w="3120" w:type="dxa"/>
          </w:tcPr>
          <w:p>
            <w:pPr/>
            <w:r>
              <w:t xml:space="preserve">Le scénario de choc</w:t>
            </w:r>
          </w:p>
        </w:tc>
        <w:tc>
          <w:tcPr>
            <w:tcW w:w="3120" w:type="dxa"/>
          </w:tcPr>
          <w:p>
            <w:pPr/>
            <w:r>
              <w:rPr>
                <w:rStyle w:val="CodeChar"/>
              </w:rPr>
              <w:t xml:space="preserve">outils/couverture.py</w:t>
            </w:r>
          </w:p>
        </w:tc>
        <w:tc>
          <w:tcPr>
            <w:tcW w:w="3120" w:type="dxa"/>
          </w:tcPr>
          <w:p>
            <w:pPr/>
            <w:r>
              <w:t xml:space="preserve">38-39</w:t>
            </w:r>
          </w:p>
        </w:tc>
      </w:tr>
      <w:tr>
        <w:tc>
          <w:tcPr>
            <w:tcW w:w="3120" w:type="dxa"/>
          </w:tcPr>
          <w:p>
            <w:pPr/>
            <w:r>
              <w:t xml:space="preserve">Les six stratégies</w:t>
            </w:r>
          </w:p>
        </w:tc>
        <w:tc>
          <w:tcPr>
            <w:tcW w:w="3120" w:type="dxa"/>
          </w:tcPr>
          <w:p>
            <w:pPr/>
            <w:r>
              <w:rPr>
                <w:rStyle w:val="CodeChar"/>
              </w:rPr>
              <w:t xml:space="preserve">outils/couverture.py</w:t>
            </w:r>
            <w:r>
              <w:t xml:space="preserve"> — </w:t>
            </w:r>
            <w:r>
              <w:rPr>
                <w:rStyle w:val="CodeChar"/>
              </w:rPr>
              <w:t xml:space="preserve">STRATEGIES</w:t>
            </w:r>
          </w:p>
        </w:tc>
        <w:tc>
          <w:tcPr>
            <w:tcW w:w="3120" w:type="dxa"/>
          </w:tcPr>
          <w:p>
            <w:pPr/>
            <w:r>
              <w:t xml:space="preserve">41</w:t>
            </w:r>
          </w:p>
        </w:tc>
      </w:tr>
      <w:tr>
        <w:tc>
          <w:tcPr>
            <w:tcW w:w="3120" w:type="dxa"/>
          </w:tcPr>
          <w:p>
            <w:pPr/>
            <w:r>
              <w:t xml:space="preserve">Fenêtres de livraison des produits</w:t>
            </w:r>
          </w:p>
        </w:tc>
        <w:tc>
          <w:tcPr>
            <w:tcW w:w="3120" w:type="dxa"/>
          </w:tcPr>
          <w:p>
            <w:pPr/>
            <w:r>
              <w:rPr>
                <w:rStyle w:val="CodeChar"/>
              </w:rPr>
              <w:t xml:space="preserve">outils/couverture.py</w:t>
            </w:r>
            <w:r>
              <w:t xml:space="preserve"> — </w:t>
            </w:r>
            <w:r>
              <w:rPr>
                <w:rStyle w:val="CodeChar"/>
              </w:rPr>
              <w:t xml:space="preserve">fenetre()</w:t>
            </w:r>
          </w:p>
        </w:tc>
        <w:tc>
          <w:tcPr>
            <w:tcW w:w="3120" w:type="dxa"/>
          </w:tcPr>
          <w:p>
            <w:pPr/>
            <w:r>
              <w:t xml:space="preserve">54</w:t>
            </w:r>
          </w:p>
        </w:tc>
      </w:tr>
      <w:tr>
        <w:tc>
          <w:tcPr>
            <w:tcW w:w="3120" w:type="dxa"/>
          </w:tcPr>
          <w:p>
            <w:pPr/>
            <w:r>
              <w:t xml:space="preserve">Pourcentages → MW par produit</w:t>
            </w:r>
          </w:p>
        </w:tc>
        <w:tc>
          <w:tcPr>
            <w:tcW w:w="3120" w:type="dxa"/>
          </w:tcPr>
          <w:p>
            <w:pPr/>
            <w:r>
              <w:rPr>
                <w:rStyle w:val="CodeChar"/>
              </w:rPr>
              <w:t xml:space="preserve">outils/couverture.py</w:t>
            </w:r>
            <w:r>
              <w:t xml:space="preserve"> — </w:t>
            </w:r>
            <w:r>
              <w:rPr>
                <w:rStyle w:val="CodeChar"/>
              </w:rPr>
              <w:t xml:space="preserve">construire_mix()</w:t>
            </w:r>
          </w:p>
        </w:tc>
        <w:tc>
          <w:tcPr>
            <w:tcW w:w="3120" w:type="dxa"/>
          </w:tcPr>
          <w:p>
            <w:pPr/>
            <w:r>
              <w:t xml:space="preserve">85</w:t>
            </w:r>
          </w:p>
        </w:tc>
      </w:tr>
      <w:tr>
        <w:tc>
          <w:tcPr>
            <w:tcW w:w="3120" w:type="dxa"/>
          </w:tcPr>
          <w:p>
            <w:pPr/>
            <w:r>
              <w:t xml:space="preserve">Le calcul de marge</w:t>
            </w:r>
          </w:p>
        </w:tc>
        <w:tc>
          <w:tcPr>
            <w:tcW w:w="3120" w:type="dxa"/>
          </w:tcPr>
          <w:p>
            <w:pPr/>
            <w:r>
              <w:rPr>
                <w:rStyle w:val="CodeChar"/>
              </w:rPr>
              <w:t xml:space="preserve">outils/couverture.py</w:t>
            </w:r>
            <w:r>
              <w:t xml:space="preserve"> — </w:t>
            </w:r>
            <w:r>
              <w:rPr>
                <w:rStyle w:val="CodeChar"/>
              </w:rPr>
              <w:t xml:space="preserve">marge()</w:t>
            </w:r>
          </w:p>
        </w:tc>
        <w:tc>
          <w:tcPr>
            <w:tcW w:w="3120" w:type="dxa"/>
          </w:tcPr>
          <w:p>
            <w:pPr/>
            <w:r>
              <w:t xml:space="preserve">177</w:t>
            </w:r>
          </w:p>
        </w:tc>
      </w:tr>
      <w:tr>
        <w:tc>
          <w:tcPr>
            <w:tcW w:w="3120" w:type="dxa"/>
          </w:tcPr>
          <w:p>
            <w:pPr/>
            <w:r>
              <w:t xml:space="preserve">Stratégie T1 retenue, options du T2</w:t>
            </w:r>
          </w:p>
        </w:tc>
        <w:tc>
          <w:tcPr>
            <w:tcW w:w="3120" w:type="dxa"/>
          </w:tcPr>
          <w:p>
            <w:pPr/>
            <w:r>
              <w:rPr>
                <w:rStyle w:val="CodeChar"/>
              </w:rPr>
              <w:t xml:space="preserve">t2_decision.py</w:t>
            </w:r>
          </w:p>
        </w:tc>
        <w:tc>
          <w:tcPr>
            <w:tcW w:w="3120" w:type="dxa"/>
          </w:tcPr>
          <w:p>
            <w:pPr/>
            <w:r>
              <w:t xml:space="preserve">32-33</w:t>
            </w:r>
          </w:p>
        </w:tc>
      </w:tr>
      <w:tr>
        <w:tc>
          <w:tcPr>
            <w:tcW w:w="3120" w:type="dxa"/>
          </w:tcPr>
          <w:p>
            <w:pPr/>
            <w:r>
              <w:t xml:space="preserve">Température prévue, production solaire</w:t>
            </w:r>
          </w:p>
        </w:tc>
        <w:tc>
          <w:tcPr>
            <w:tcW w:w="3120" w:type="dxa"/>
          </w:tcPr>
          <w:p>
            <w:pPr/>
            <w:r>
              <w:rPr>
                <w:rStyle w:val="CodeChar"/>
              </w:rPr>
              <w:t xml:space="preserve">t3_spot.py</w:t>
            </w:r>
          </w:p>
        </w:tc>
        <w:tc>
          <w:tcPr>
            <w:tcW w:w="3120" w:type="dxa"/>
          </w:tcPr>
          <w:p>
            <w:pPr/>
            <w:r>
              <w:t xml:space="preserve">35, 37</w:t>
            </w:r>
          </w:p>
        </w:tc>
      </w:tr>
      <w:tr>
        <w:tc>
          <w:tcPr>
            <w:tcW w:w="3120" w:type="dxa"/>
          </w:tcPr>
          <w:p>
            <w:pPr/>
            <w:r>
              <w:t xml:space="preserve">Ce qui est déjà acheté</w:t>
            </w:r>
          </w:p>
        </w:tc>
        <w:tc>
          <w:tcPr>
            <w:tcW w:w="3120" w:type="dxa"/>
          </w:tcPr>
          <w:p>
            <w:pPr/>
            <w:r>
              <w:rPr>
                <w:rStyle w:val="CodeChar"/>
              </w:rPr>
              <w:t xml:space="preserve">t3_spot.py</w:t>
            </w:r>
            <w:r>
              <w:t xml:space="preserve"> — </w:t>
            </w:r>
            <w:r>
              <w:rPr>
                <w:rStyle w:val="CodeChar"/>
              </w:rPr>
              <w:t xml:space="preserve">POSITION</w:t>
            </w:r>
          </w:p>
        </w:tc>
        <w:tc>
          <w:tcPr>
            <w:tcW w:w="3120" w:type="dxa"/>
          </w:tcPr>
          <w:p>
            <w:pPr/>
            <w:r>
              <w:t xml:space="preserve">44</w:t>
            </w:r>
          </w:p>
        </w:tc>
      </w:tr>
      <w:tr>
        <w:tc>
          <w:tcPr>
            <w:tcW w:w="3120" w:type="dxa"/>
          </w:tcPr>
          <w:p>
            <w:pPr/>
            <w:r>
              <w:t xml:space="preserve">⚠️ Production solaire annuelle</w:t>
            </w:r>
          </w:p>
        </w:tc>
        <w:tc>
          <w:tcPr>
            <w:tcW w:w="3120" w:type="dxa"/>
          </w:tcPr>
          <w:p>
            <w:pPr/>
            <w:r>
              <w:rPr>
                <w:rStyle w:val="CodeChar"/>
              </w:rPr>
              <w:t xml:space="preserve">t3_spot.py</w:t>
            </w:r>
            <w:r>
              <w:t xml:space="preserve"> — </w:t>
            </w:r>
            <w:r>
              <w:rPr>
                <w:rStyle w:val="CodeChar"/>
              </w:rPr>
              <w:t xml:space="preserve">SOLAIRE_ANNUEL_MWH</w:t>
            </w:r>
          </w:p>
        </w:tc>
        <w:tc>
          <w:tcPr>
            <w:tcW w:w="3120" w:type="dxa"/>
          </w:tcPr>
          <w:p>
            <w:pPr/>
            <w:r>
              <w:t xml:space="preserve">40</w:t>
            </w:r>
          </w:p>
        </w:tc>
      </w:tr>
      <w:tr>
        <w:tc>
          <w:tcPr>
            <w:tcW w:w="3120" w:type="dxa"/>
          </w:tcPr>
          <w:p>
            <w:pPr/>
            <w:r>
              <w:t xml:space="preserve">⚠️ Prix de clearing</w:t>
            </w:r>
          </w:p>
        </w:tc>
        <w:tc>
          <w:tcPr>
            <w:tcW w:w="3120" w:type="dxa"/>
          </w:tcPr>
          <w:p>
            <w:pPr/>
            <w:r>
              <w:rPr>
                <w:rStyle w:val="CodeChar"/>
              </w:rPr>
              <w:t xml:space="preserve">t3_spot.py</w:t>
            </w:r>
            <w:r>
              <w:t xml:space="preserve"> — </w:t>
            </w:r>
            <w:r>
              <w:rPr>
                <w:rStyle w:val="CodeChar"/>
              </w:rPr>
              <w:t xml:space="preserve">PRIX_CLEARING</w:t>
            </w:r>
          </w:p>
        </w:tc>
        <w:tc>
          <w:tcPr>
            <w:tcW w:w="3120" w:type="dxa"/>
          </w:tcPr>
          <w:p>
            <w:pPr/>
            <w:r>
              <w:t xml:space="preserve">52</w:t>
            </w:r>
          </w:p>
        </w:tc>
      </w:tr>
    </w:tbl>
    <w:p>
      <w:pPr/>
      <w:r>
        <w:t xml:space="preserve">Les deux dernières lignes sont à </w:t>
      </w:r>
      <w:r>
        <w:rPr>
          <w:rStyle w:val="CodeChar"/>
        </w:rPr>
        <w:t xml:space="preserve">None</w:t>
      </w:r>
      <w:r>
        <w:t xml:space="preserve"> : ce sont les deux informations qui manquent pour terminer le T3.</w:t>
      </w:r>
    </w:p>
    <w:p>
      <w:pPr>
        <w:pStyle w:val="Heading3"/>
      </w:pPr>
      <w:r>
        <w:t xml:space="preserve">Ce qui est actualisé à chaque jalon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Donnée</w:t>
            </w:r>
          </w:p>
        </w:tc>
        <w:tc>
          <w:tcPr>
            <w:tcW w:w="2340" w:type="dxa"/>
            <w:shd w:val="clear" w:color="auto" w:fill="F2F2F2"/>
          </w:tcPr>
          <w:p>
            <w:pPr/>
            <w:r>
              <w:t xml:space="preserve">T1 (22/09)</w:t>
            </w:r>
          </w:p>
        </w:tc>
        <w:tc>
          <w:tcPr>
            <w:tcW w:w="2340" w:type="dxa"/>
            <w:shd w:val="clear" w:color="auto" w:fill="F2F2F2"/>
          </w:tcPr>
          <w:p>
            <w:pPr/>
            <w:r>
              <w:t xml:space="preserve">T2 (01/12)</w:t>
            </w:r>
          </w:p>
        </w:tc>
        <w:tc>
          <w:tcPr>
            <w:tcW w:w="2340" w:type="dxa"/>
            <w:shd w:val="clear" w:color="auto" w:fill="F2F2F2"/>
          </w:tcPr>
          <w:p>
            <w:pPr/>
            <w:r>
              <w:t xml:space="preserve">T3 (31/12)</w:t>
            </w:r>
          </w:p>
        </w:tc>
      </w:tr>
      <w:tr>
        <w:tc>
          <w:tcPr>
            <w:tcW w:w="2340" w:type="dxa"/>
          </w:tcPr>
          <w:p>
            <w:pPr/>
            <w:r>
              <w:t xml:space="preserve">Prix EEX</w:t>
            </w:r>
          </w:p>
        </w:tc>
        <w:tc>
          <w:tcPr>
            <w:tcW w:w="2340" w:type="dxa"/>
          </w:tcPr>
          <w:p>
            <w:pPr/>
            <w:r>
              <w:t xml:space="preserve">83,31</w:t>
            </w:r>
          </w:p>
        </w:tc>
        <w:tc>
          <w:tcPr>
            <w:tcW w:w="2340" w:type="dxa"/>
          </w:tcPr>
          <w:p>
            <w:pPr/>
            <w:r>
              <w:t xml:space="preserve">73,70</w:t>
            </w:r>
          </w:p>
        </w:tc>
        <w:tc>
          <w:tcPr>
            <w:tcW w:w="2340" w:type="dxa"/>
          </w:tcPr>
          <w:p>
            <w:pPr/>
            <w:r>
              <w:t xml:space="preserve">78,37</w:t>
            </w:r>
          </w:p>
        </w:tc>
      </w:tr>
      <w:tr>
        <w:tc>
          <w:tcPr>
            <w:tcW w:w="2340" w:type="dxa"/>
          </w:tcPr>
          <w:p>
            <w:pPr/>
            <w:r>
              <w:t xml:space="preserve">Effectifs clients</w:t>
            </w:r>
          </w:p>
        </w:tc>
        <w:tc>
          <w:tcPr>
            <w:tcW w:w="2340" w:type="dxa"/>
          </w:tcPr>
          <w:p>
            <w:pPr/>
            <w:r>
              <w:t xml:space="preserve">200 000 / 5 000</w:t>
            </w:r>
          </w:p>
        </w:tc>
        <w:tc>
          <w:tcPr>
            <w:tcW w:w="2340" w:type="dxa"/>
          </w:tcPr>
          <w:p>
            <w:pPr/>
            <w:r>
              <w:t xml:space="preserve">188 200 / 4 585</w:t>
            </w:r>
          </w:p>
        </w:tc>
        <w:tc>
          <w:tcPr>
            <w:tcW w:w="2340" w:type="dxa"/>
          </w:tcPr>
          <w:p>
            <w:pPr/>
            <w:r>
              <w:t xml:space="preserve">191 531 / 4 745</w:t>
            </w:r>
          </w:p>
        </w:tc>
      </w:tr>
      <w:tr>
        <w:tc>
          <w:tcPr>
            <w:tcW w:w="2340" w:type="dxa"/>
          </w:tcPr>
          <w:p>
            <w:pPr/>
            <w:r>
              <w:t xml:space="preserve">Volume 2027</w:t>
            </w:r>
          </w:p>
        </w:tc>
        <w:tc>
          <w:tcPr>
            <w:tcW w:w="2340" w:type="dxa"/>
          </w:tcPr>
          <w:p>
            <w:pPr/>
            <w:r>
              <w:t xml:space="preserve">536 627</w:t>
            </w:r>
          </w:p>
        </w:tc>
        <w:tc>
          <w:tcPr>
            <w:tcW w:w="2340" w:type="dxa"/>
          </w:tcPr>
          <w:p>
            <w:pPr/>
            <w:r>
              <w:t xml:space="preserve">501 962</w:t>
            </w:r>
          </w:p>
        </w:tc>
        <w:tc>
          <w:tcPr>
            <w:tcW w:w="2340" w:type="dxa"/>
          </w:tcPr>
          <w:p>
            <w:pPr/>
            <w:r>
              <w:t xml:space="preserve">512 820 MWh</w:t>
            </w:r>
          </w:p>
        </w:tc>
      </w:tr>
      <w:tr>
        <w:tc>
          <w:tcPr>
            <w:tcW w:w="2340" w:type="dxa"/>
          </w:tcPr>
          <w:p>
            <w:pPr/>
            <w:r>
              <w:t xml:space="preserve">Niveau des scénarios</w:t>
            </w:r>
          </w:p>
        </w:tc>
        <w:tc>
          <w:tcPr>
            <w:tcW w:w="2340" w:type="dxa"/>
          </w:tcPr>
          <w:p>
            <w:pPr/>
            <w:r>
              <w:t xml:space="preserve">ancré sur 83,31</w:t>
            </w:r>
          </w:p>
        </w:tc>
        <w:tc>
          <w:tcPr>
            <w:tcW w:w="2340" w:type="dxa"/>
          </w:tcPr>
          <w:p>
            <w:pPr/>
            <w:r>
              <w:rPr>
                <w:b/>
              </w:rPr>
              <w:t xml:space="preserve">ré-ancré sur 73,70</w:t>
            </w:r>
          </w:p>
        </w:tc>
        <w:tc>
          <w:tcPr>
            <w:tcW w:w="2340" w:type="dxa"/>
          </w:tcPr>
          <w:p>
            <w:pPr/>
            <w:r>
              <w:t xml:space="preserve">—</w:t>
            </w:r>
          </w:p>
        </w:tc>
      </w:tr>
      <w:tr>
        <w:tc>
          <w:tcPr>
            <w:tcW w:w="2340" w:type="dxa"/>
          </w:tcPr>
          <w:p>
            <w:pPr/>
            <w:r>
              <w:t xml:space="preserve">Probabilités</w:t>
            </w:r>
          </w:p>
        </w:tc>
        <w:tc>
          <w:tcPr>
            <w:tcW w:w="2340" w:type="dxa"/>
          </w:tcPr>
          <w:p>
            <w:pPr/>
            <w:r>
              <w:t xml:space="preserve">28/28/28/15 %</w:t>
            </w:r>
          </w:p>
        </w:tc>
        <w:tc>
          <w:tcPr>
            <w:tcW w:w="2340" w:type="dxa"/>
          </w:tcPr>
          <w:p>
            <w:pPr/>
            <w:r>
              <w:rPr>
                <w:b/>
              </w:rPr>
              <w:t xml:space="preserve">28/34/35/2 %</w:t>
            </w:r>
          </w:p>
        </w:tc>
        <w:tc>
          <w:tcPr>
            <w:tcW w:w="2340" w:type="dxa"/>
          </w:tcPr>
          <w:p>
            <w:pPr/>
            <w:r>
              <w:t xml:space="preserve">—</w:t>
            </w:r>
          </w:p>
        </w:tc>
      </w:tr>
      <w:tr>
        <w:tc>
          <w:tcPr>
            <w:tcW w:w="2340" w:type="dxa"/>
          </w:tcPr>
          <w:p>
            <w:pPr/>
            <w:r>
              <w:t xml:space="preserve">Position détenue</w:t>
            </w:r>
          </w:p>
        </w:tc>
        <w:tc>
          <w:tcPr>
            <w:tcW w:w="2340" w:type="dxa"/>
          </w:tcPr>
          <w:p>
            <w:pPr/>
            <w:r>
              <w:t xml:space="preserve">—</w:t>
            </w:r>
          </w:p>
        </w:tc>
        <w:tc>
          <w:tcPr>
            <w:tcW w:w="2340" w:type="dxa"/>
          </w:tcPr>
          <w:p>
            <w:pPr/>
            <w:r>
              <w:t xml:space="preserve">T1 figé</w:t>
            </w:r>
          </w:p>
        </w:tc>
        <w:tc>
          <w:tcPr>
            <w:tcW w:w="2340" w:type="dxa"/>
          </w:tcPr>
          <w:p>
            <w:pPr/>
            <w:r>
              <w:t xml:space="preserve">T1 + T2 figés</w:t>
            </w:r>
          </w:p>
        </w:tc>
      </w:tr>
    </w:tbl>
    <w:p>
      <w:pPr/>
      <w:r>
        <w:rPr>
          <w:b/>
        </w:rPr>
        <w:t xml:space="preserve">Ce qui ne bouge jamais, et c'est volontaire</w:t>
      </w:r>
      <w:r>
        <w:t xml:space="preserve"> : les coefficients de profil Enedis et les gradients (ils décrivent un client, pas un marché), la température normale, les années historiques, la pente </w:t>
      </w:r>
      <w:r>
        <w:rPr>
          <w:rStyle w:val="CodeChar"/>
        </w:rPr>
        <w:t xml:space="preserve">b = +2,451</w:t>
      </w:r>
      <w:r>
        <w:t xml:space="preserve">, et les quatre paramètres du Conseil.</w:t>
      </w:r>
    </w:p>
    <w:p>
      <w:pPr/>
      <w:r>
        <w:t xml:space="preserve">Deux réserves à connaître. </w:t>
      </w:r>
      <w:r>
        <w:rPr>
          <w:rStyle w:val="CodeChar"/>
          <w:b/>
        </w:rPr>
        <w:t xml:space="preserve">b</w:t>
      </w:r>
      <w:r>
        <w:rPr>
          <w:b/>
        </w:rPr>
        <w:t xml:space="preserve"> n'est jamais réestimé</w:t>
      </w:r>
      <w:r>
        <w:t xml:space="preserve"> : calculé une fois sur 454 jours d'hiver, il ne tient pas compte de l'hiver 2026. Défendable, puisqu'il décrit une relation structurelle et non un prix. Et </w:t>
      </w:r>
      <w:r>
        <w:rPr>
          <w:b/>
        </w:rPr>
        <w:t xml:space="preserve">au T3 les scénarios ne sont pas ré-ancrés sur 78,37</w:t>
      </w:r>
      <w:r>
        <w:t xml:space="preserve"> : </w:t>
      </w:r>
      <w:r>
        <w:rPr>
          <w:rStyle w:val="CodeChar"/>
        </w:rPr>
        <w:t xml:space="preserve">t3_spot.py</w:t>
      </w:r>
      <w:r>
        <w:t xml:space="preserve"> raisonne sur le volume à température normale et les prix réels, ce qui en fait un </w:t>
      </w:r>
      <w:r>
        <w:rPr>
          <w:b/>
        </w:rPr>
        <w:t xml:space="preserve">rééquilibrage de volume</w:t>
      </w:r>
      <w:r>
        <w:t xml:space="preserve"> et non une ré-optimisation de marge. C'est la lecture littérale de l'objectif 1 (</w:t>
      </w:r>
      <w:r>
        <w:rPr>
          <w:i/>
        </w:rPr>
        <w:t xml:space="preserve">evaluate what you should buy/sell</w:t>
      </w:r>
      <w:r>
        <w:t xml:space="preserve">), pas une décision à la façon du §4.4.</w:t>
      </w:r>
    </w:p>
    <w:p>
      <w:pPr>
        <w:pStyle w:val="Heading2"/>
      </w:pPr>
      <w:r>
        <w:t xml:space="preserve">Étapes 1 et 2 — Le profil Enedis et le FUD</w:t>
      </w:r>
    </w:p>
    <w:p>
      <w:pPr/>
      <w:r>
        <w:t xml:space="preserve">Un profil Enedis est une </w:t>
      </w:r>
      <w:r>
        <w:rPr>
          <w:b/>
        </w:rPr>
        <w:t xml:space="preserve">forme sans unité</w:t>
      </w:r>
      <w:r>
        <w:t xml:space="preserve"> ; le FUD est l'échelle qui la transforme en kilowatts.</w:t>
      </w:r>
    </w:p>
    <w:p>
      <w:pPr>
        <w:pStyle w:val="Heading3"/>
      </w:pPr>
      <w:r>
        <w:t xml:space="preserve">La théorie</w:t>
      </w:r>
    </w:p>
    <w:p>
      <w:pPr/>
      <w:r>
        <w:t xml:space="preserve">Enedis publie, pour chaque catégorie de client, une courbe de coefficients au pas demi-horaire qui dit comment un client moyen de cette catégorie répartit sa consommation dans l'année. Ces coefficients n'ont pas d'unité : ils décrivent une forme, pas un niveau.</w:t>
      </w:r>
    </w:p>
    <w:p>
      <w:pPr/>
      <w:r>
        <w:t xml:space="preserve">Pour obtenir des kW il faut une échelle. Enedis la définit par le </w:t>
      </w:r>
      <w:r>
        <w:rPr>
          <w:b/>
        </w:rPr>
        <w:t xml:space="preserve">Facteur d'Usage par Défaut</w:t>
      </w:r>
      <w:r>
        <w:t xml:space="preserve"> :</w:t>
      </w:r>
    </w:p>
    <w:p>
      <w:pPr>
        <w:pStyle w:val="Code"/>
      </w:pPr>
      <w:bookmarkStart w:id="1" w:name="bongo_lang_latex_1"/>
      <w:bookmarkEnd w:id="1"/>
      <w:r>
        <w:t xml:space="preserve">\mathrm{FUD} = P_s \times \Theta</w:t>
      </w:r>
    </w:p>
    <w:p>
      <w:pPr/>
      <w:r>
        <w:t xml:space="preserve">où </w:t>
      </w:r>
      <w:r>
        <w:rPr>
          <w:rStyle w:val="CodeChar"/>
        </w:rPr>
        <w:t xml:space="preserve">Ps</w:t>
      </w:r>
      <w:r>
        <w:t xml:space="preserve"> est la puissance souscrite en kVA et </w:t>
      </w:r>
      <w:r>
        <w:rPr>
          <w:rStyle w:val="CodeChar"/>
        </w:rPr>
        <w:t xml:space="preserve">Θ</w:t>
      </w:r>
      <w:r>
        <w:t xml:space="preserve"> un coefficient publié par profil (document Enedis-NOI-NUM_09E). </w:t>
      </w:r>
      <w:r>
        <w:rPr>
          <w:rStyle w:val="CodeChar"/>
        </w:rPr>
        <w:t xml:space="preserve">Θ</w:t>
      </w:r>
      <w:r>
        <w:t xml:space="preserve"> est le taux d'utilisation moyen de la puissance souscrite.</w:t>
      </w:r>
    </w:p>
    <w:p>
      <w:pPr/>
      <w:r>
        <w:t xml:space="preserve">Pour un client déjà en portefeuille, dont on connaît la consommation passée, on utiliserait le FUR (Facteur d'Usage Réel). Ici le portefeuille est fictif et sans historique, donc </w:t>
      </w:r>
      <w:r>
        <w:rPr>
          <w:b/>
        </w:rPr>
        <w:t xml:space="preserve">FUD</w:t>
      </w:r>
      <w:r>
        <w:t xml:space="preserve">. C'est le premier point à savoir justifier.</w:t>
      </w:r>
    </w:p>
    <w:p>
      <w:pPr>
        <w:pStyle w:val="Heading3"/>
      </w:pPr>
      <w:r>
        <w:t xml:space="preserve">Les chiffres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Profil</w:t>
            </w:r>
          </w:p>
        </w:tc>
        <w:tc>
          <w:tcPr>
            <w:tcW w:w="1560" w:type="dxa"/>
            <w:shd w:val="clear" w:color="auto" w:fill="F2F2F2"/>
          </w:tcPr>
          <w:p>
            <w:pPr/>
            <w:r>
              <w:t xml:space="preserve">Clients</w:t>
            </w:r>
          </w:p>
        </w:tc>
        <w:tc>
          <w:tcPr>
            <w:tcW w:w="1560" w:type="dxa"/>
            <w:shd w:val="clear" w:color="auto" w:fill="F2F2F2"/>
          </w:tcPr>
          <w:p>
            <w:pPr/>
            <w:r>
              <w:t xml:space="preserve">Ps (kVA)</w:t>
            </w:r>
          </w:p>
        </w:tc>
        <w:tc>
          <w:tcPr>
            <w:tcW w:w="1560" w:type="dxa"/>
            <w:shd w:val="clear" w:color="auto" w:fill="F2F2F2"/>
          </w:tcPr>
          <w:p>
            <w:pPr/>
            <w:r>
              <w:t xml:space="preserve">Θ</w:t>
            </w:r>
          </w:p>
        </w:tc>
        <w:tc>
          <w:tcPr>
            <w:tcW w:w="1560" w:type="dxa"/>
            <w:shd w:val="clear" w:color="auto" w:fill="F2F2F2"/>
          </w:tcPr>
          <w:p>
            <w:pPr/>
            <w:r>
              <w:t xml:space="preserve">FUD (kW)</w:t>
            </w:r>
          </w:p>
        </w:tc>
        <w:tc>
          <w:tcPr>
            <w:tcW w:w="1560" w:type="dxa"/>
            <w:shd w:val="clear" w:color="auto" w:fill="F2F2F2"/>
          </w:tcPr>
          <w:p>
            <w:pPr/>
            <w:r>
              <w:t xml:space="preserve">Puissance de référence</w:t>
            </w:r>
          </w:p>
        </w:tc>
      </w:tr>
      <w:tr>
        <w:tc>
          <w:tcPr>
            <w:tcW w:w="1560" w:type="dxa"/>
          </w:tcPr>
          <w:p>
            <w:pPr/>
            <w:r>
              <w:t xml:space="preserve">RES1</w:t>
            </w:r>
          </w:p>
        </w:tc>
        <w:tc>
          <w:tcPr>
            <w:tcW w:w="1560" w:type="dxa"/>
          </w:tcPr>
          <w:p>
            <w:pPr/>
            <w:r>
              <w:t xml:space="preserve">200 000</w:t>
            </w:r>
          </w:p>
        </w:tc>
        <w:tc>
          <w:tcPr>
            <w:tcW w:w="1560" w:type="dxa"/>
          </w:tcPr>
          <w:p>
            <w:pPr/>
            <w:r>
              <w:t xml:space="preserve">4,5</w:t>
            </w:r>
          </w:p>
        </w:tc>
        <w:tc>
          <w:tcPr>
            <w:tcW w:w="1560" w:type="dxa"/>
          </w:tcPr>
          <w:p>
            <w:pPr/>
            <w:r>
              <w:t xml:space="preserve">0,05210</w:t>
            </w:r>
          </w:p>
        </w:tc>
        <w:tc>
          <w:tcPr>
            <w:tcW w:w="1560" w:type="dxa"/>
          </w:tcPr>
          <w:p>
            <w:pPr/>
            <w:r>
              <w:t xml:space="preserve">0,23445</w:t>
            </w:r>
          </w:p>
        </w:tc>
        <w:tc>
          <w:tcPr>
            <w:tcW w:w="1560" w:type="dxa"/>
          </w:tcPr>
          <w:p>
            <w:pPr/>
            <w:r>
              <w:t xml:space="preserve">46 890 kW</w:t>
            </w:r>
          </w:p>
        </w:tc>
      </w:tr>
      <w:tr>
        <w:tc>
          <w:tcPr>
            <w:tcW w:w="1560" w:type="dxa"/>
          </w:tcPr>
          <w:p>
            <w:pPr/>
            <w:r>
              <w:t xml:space="preserve">PRO1</w:t>
            </w:r>
          </w:p>
        </w:tc>
        <w:tc>
          <w:tcPr>
            <w:tcW w:w="1560" w:type="dxa"/>
          </w:tcPr>
          <w:p>
            <w:pPr/>
            <w:r>
              <w:t xml:space="preserve">5 000</w:t>
            </w:r>
          </w:p>
        </w:tc>
        <w:tc>
          <w:tcPr>
            <w:tcW w:w="1560" w:type="dxa"/>
          </w:tcPr>
          <w:p>
            <w:pPr/>
            <w:r>
              <w:t xml:space="preserve">36,0</w:t>
            </w:r>
          </w:p>
        </w:tc>
        <w:tc>
          <w:tcPr>
            <w:tcW w:w="1560" w:type="dxa"/>
          </w:tcPr>
          <w:p>
            <w:pPr/>
            <w:r>
              <w:t xml:space="preserve">0,08004</w:t>
            </w:r>
          </w:p>
        </w:tc>
        <w:tc>
          <w:tcPr>
            <w:tcW w:w="1560" w:type="dxa"/>
          </w:tcPr>
          <w:p>
            <w:pPr/>
            <w:r>
              <w:t xml:space="preserve">2,88144</w:t>
            </w:r>
          </w:p>
        </w:tc>
        <w:tc>
          <w:tcPr>
            <w:tcW w:w="1560" w:type="dxa"/>
          </w:tcPr>
          <w:p>
            <w:pPr/>
            <w:r>
              <w:t xml:space="preserve">14 407 kW</w:t>
            </w:r>
          </w:p>
        </w:tc>
      </w:tr>
    </w:tbl>
    <w:p>
      <w:pPr/>
      <w:r>
        <w:t xml:space="preserve">Un client PRO1 pèse 12 fois un client RES1. Sur l'année, cela donne </w:t>
      </w:r>
      <w:r>
        <w:rPr>
          <w:b/>
        </w:rPr>
        <w:t xml:space="preserve">76,7 % de l'énergie pour RES1 et 23,3 % pour PRO1</w:t>
      </w:r>
      <w:r>
        <w:t xml:space="preserve">, parce que les deux profils n'ont pas la même forme (PRO1 consomme le jour, RES1 le soir).</w:t>
      </w:r>
    </w:p>
    <w:p>
      <w:pPr>
        <w:pStyle w:val="Heading3"/>
      </w:pPr>
      <w:r>
        <w:t xml:space="preserve">Dans le code</w:t>
      </w:r>
    </w:p>
    <w:p>
      <w:pPr>
        <w:pStyle w:val="Code"/>
      </w:pPr>
      <w:bookmarkStart w:id="2" w:name="bongo_lang_python_2"/>
      <w:bookmarkEnd w:id="2"/>
      <w:r>
        <w:t xml:space="preserve">PARAMS = {</w:t>
        <w:br/>
        <w:t xml:space="preserve">    "RES1": {"nb_clients": 200_000, "puissance_souscrite": 4.5, "theta": 0.0521},</w:t>
        <w:br/>
        <w:t xml:space="preserve">    "PRO1": {"nb_clients": 5_000, "puissance_souscrite": 36.0, "theta": 0.08004},</w:t>
        <w:br/>
        <w:t xml:space="preserve">}</w:t>
        <w:br/>
        <w:br/>
        <w:t xml:space="preserve">def fud(profil):</w:t>
        <w:br/>
        <w:t xml:space="preserve">    p = PARAMS[profil]</w:t>
        <w:br/>
        <w:t xml:space="preserve">    return p["puissance_souscrite"] * p["theta"]</w:t>
      </w:r>
    </w:p>
    <w:p>
      <w:pPr/>
      <w:r>
        <w:t xml:space="preserve">Le 1er décembre, le service commercial revoit sa prévision à la baisse : </w:t>
      </w:r>
      <w:r>
        <w:rPr>
          <w:b/>
        </w:rPr>
        <w:t xml:space="preserve">188 200 clients RES1 au lieu de 200 000</w:t>
      </w:r>
      <w:r>
        <w:t xml:space="preserve">, et </w:t>
      </w:r>
      <w:r>
        <w:rPr>
          <w:b/>
        </w:rPr>
        <w:t xml:space="preserve">4 585 PRO1 au lieu de 5 000</w:t>
      </w:r>
      <w:r>
        <w:t xml:space="preserve">.</w:t>
      </w:r>
    </w:p>
    <w:p>
      <w:pPr/>
      <w:r>
        <w:t xml:space="preserve">Il n'y a rien à recalculer, parce que deux fois moins de clients consomment exactement deux fois moins, à chaque instant. Il suffit donc de multiplier la courbe par le </w:t>
      </w:r>
      <w:r>
        <w:rPr>
          <w:b/>
        </w:rPr>
        <w:t xml:space="preserve">rapport des effectifs</w:t>
      </w:r>
      <w:r>
        <w:t xml:space="preserve"> : </w:t>
      </w:r>
      <w:r>
        <w:rPr>
          <w:rStyle w:val="CodeChar"/>
        </w:rPr>
        <w:t xml:space="preserve">188 200 / 200 000 = 0,941</w:t>
      </w:r>
      <w:r>
        <w:t xml:space="preserve"> pour RES1, et </w:t>
      </w:r>
      <w:r>
        <w:rPr>
          <w:rStyle w:val="CodeChar"/>
        </w:rPr>
        <w:t xml:space="preserve">4 585 / 5 000 = 0,917</w:t>
      </w:r>
      <w:r>
        <w:t xml:space="preserve"> pour PRO1. Ces deux facteurs s'appliquent à tous les pas de temps de l'année — à 3 h du matin le 14 juillet comme à 19 h le 7 janvier.</w:t>
      </w:r>
    </w:p>
    <w:p>
      <w:pPr>
        <w:pStyle w:val="Code"/>
      </w:pPr>
      <w:bookmarkStart w:id="3" w:name="bongo_lang_python_3"/>
      <w:bookmarkEnd w:id="3"/>
      <w:r>
        <w:t xml:space="preserve">REVISION_T2 = {"RES1": -0.059, "PRO1": -0.083}</w:t>
        <w:br/>
        <w:br/>
        <w:t xml:space="preserve">def reviser_t2(df):</w:t>
        <w:br/>
        <w:t xml:space="preserve">    out = df.copy()</w:t>
        <w:br/>
        <w:t xml:space="preserve">    for profil, variation in REVISION_T2.items():</w:t>
        <w:br/>
        <w:t xml:space="preserve">        for col in (f"P_{profil}_kW", f"P_dyn_{profil}_kW"):</w:t>
        <w:br/>
        <w:t xml:space="preserve">            out[col] = df[col] * (1 + variation)</w:t>
        <w:br/>
        <w:t xml:space="preserve">    return _totaliser(out)</w:t>
      </w:r>
    </w:p>
    <w:p>
      <w:pPr>
        <w:pStyle w:val="Heading3"/>
      </w:pPr>
      <w:r>
        <w:t xml:space="preserve">Ce qu'il faut savoir dire</w:t>
      </w:r>
    </w:p>
    <w:p>
      <w:pPr>
        <w:pStyle w:val="ListParagraph"/>
        <w:numPr>
          <w:ilvl w:val="0"/>
          <w:numId w:val="2"/>
        </w:numPr>
      </w:pPr>
      <w:r>
        <w:rPr>
          <w:b/>
        </w:rPr>
        <w:t xml:space="preserve">Pourquoi FUD et pas FUR</w:t>
      </w:r>
      <w:r>
        <w:t xml:space="preserve"> : pas d'historique de consommation sur ce portefeuille.</w:t>
      </w:r>
    </w:p>
    <w:p>
      <w:pPr>
        <w:pStyle w:val="ListParagraph"/>
        <w:numPr>
          <w:ilvl w:val="0"/>
          <w:numId w:val="2"/>
        </w:numPr>
      </w:pPr>
      <w:r>
        <w:rPr>
          <w:b/>
        </w:rPr>
        <w:t xml:space="preserve">D'où viennent les Θ</w:t>
      </w:r>
      <w:r>
        <w:t xml:space="preserve"> : ce ne sont pas des valeurs inventées, elles sont lues dans le barème Enedis, profil par profil.</w:t>
      </w:r>
    </w:p>
    <w:p>
      <w:pPr>
        <w:pStyle w:val="ListParagraph"/>
        <w:numPr>
          <w:ilvl w:val="0"/>
          <w:numId w:val="2"/>
        </w:numPr>
      </w:pPr>
      <w:r>
        <w:rPr>
          <w:b/>
        </w:rPr>
        <w:t xml:space="preserve">Pourquoi −5,96 % de clients donne −6,46 % d'énergie</w:t>
      </w:r>
      <w:r>
        <w:t xml:space="preserve"> : PRO1 ne pèse que 2,4 % des clients, mais 23,3 % de l'énergie. Comptée en nombre de clients, sa baisse de 8,3 % ne change presque rien ; comptée en énergie, elle compte dix fois plus lourd. D'où 0,976 × (−5,9) + 0,024 × (−8,3) = −5,96 % en clients, contre 0,767 × (−5,9) + 0,233 × (−8,3) = −6,46 % en énergie : ce sont les deux mêmes pourcentages, pondérés différemment. C'est exactement le genre de détail qu'on vous demandera.</w:t>
      </w:r>
    </w:p>
    <w:p>
      <w:pPr>
        <w:pStyle w:val="Heading2"/>
      </w:pPr>
      <w:r>
        <w:t xml:space="preserve">Étape 3 — Charger et aligner les données</w:t>
      </w:r>
    </w:p>
    <w:p>
      <w:pPr/>
      <w:r>
        <w:t xml:space="preserve">Quatre fichiers, deux séparateurs, deux résolutions : tout le travail consiste à les </w:t>
      </w:r>
      <w:r>
        <w:rPr>
          <w:b/>
        </w:rPr>
        <w:t xml:space="preserve">joindre sur l'horodate</w:t>
      </w:r>
      <w:r>
        <w:t xml:space="preserve"> plutôt qu'à les coller côte à côte.</w:t>
      </w:r>
    </w:p>
    <w:p>
      <w:pPr/>
      <w:r>
        <w:t xml:space="preserve">L'</w:t>
      </w:r>
      <w:r>
        <w:rPr>
          <w:b/>
        </w:rPr>
        <w:t xml:space="preserve">horodate</w:t>
      </w:r>
      <w:r>
        <w:t xml:space="preserve"> — c'est le nom de la colonne chez Enedis, </w:t>
      </w:r>
      <w:r>
        <w:rPr>
          <w:rStyle w:val="CodeChar"/>
        </w:rPr>
        <w:t xml:space="preserve">HORODATE</w:t>
      </w:r>
      <w:r>
        <w:t xml:space="preserve"> — est la date et l'heure de début de chaque pas de temps, fuseau compris. </w:t>
      </w:r>
      <w:r>
        <w:rPr>
          <w:rStyle w:val="CodeChar"/>
        </w:rPr>
        <w:t xml:space="preserve">2025-01-07T18:30:00+01:00</w:t>
      </w:r>
      <w:r>
        <w:t xml:space="preserve"> désigne la demi-heure qui va de 18h30 à 19h00, en heure d'hiver française. C'est la seule chose que les quatre fichiers ont en commun, donc la clé qui permet de les rapprocher.</w:t>
      </w:r>
    </w:p>
    <w:p>
      <w:pPr>
        <w:pStyle w:val="Heading3"/>
      </w:pPr>
      <w:r>
        <w:t xml:space="preserve">Ce qu'on charge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Fichier</w:t>
            </w:r>
          </w:p>
        </w:tc>
        <w:tc>
          <w:tcPr>
            <w:tcW w:w="3120" w:type="dxa"/>
            <w:shd w:val="clear" w:color="auto" w:fill="F2F2F2"/>
          </w:tcPr>
          <w:p>
            <w:pPr/>
            <w:r>
              <w:t xml:space="preserve">Séparateur</w:t>
            </w:r>
          </w:p>
        </w:tc>
        <w:tc>
          <w:tcPr>
            <w:tcW w:w="3120" w:type="dxa"/>
            <w:shd w:val="clear" w:color="auto" w:fill="F2F2F2"/>
          </w:tcPr>
          <w:p>
            <w:pPr/>
            <w:r>
              <w:t xml:space="preserve">Ce qu'on en tire</w:t>
            </w:r>
          </w:p>
        </w:tc>
      </w:tr>
      <w:tr>
        <w:tc>
          <w:tcPr>
            <w:tcW w:w="3120" w:type="dxa"/>
          </w:tcPr>
          <w:p>
            <w:pPr/>
            <w:r>
              <w:rPr>
                <w:rStyle w:val="CodeChar"/>
              </w:rPr>
              <w:t xml:space="preserve">RES1_BASE.csv</w:t>
            </w:r>
            <w:r>
              <w:t xml:space="preserve">, </w:t>
            </w:r>
            <w:r>
              <w:rPr>
                <w:rStyle w:val="CodeChar"/>
              </w:rPr>
              <w:t xml:space="preserve">PRO1_BASE.csv</w:t>
            </w:r>
          </w:p>
        </w:tc>
        <w:tc>
          <w:tcPr>
            <w:tcW w:w="3120" w:type="dxa"/>
          </w:tcPr>
          <w:p>
            <w:pPr/>
            <w:r>
              <w:t xml:space="preserve">virgule</w:t>
            </w:r>
          </w:p>
        </w:tc>
        <w:tc>
          <w:tcPr>
            <w:tcW w:w="3120" w:type="dxa"/>
          </w:tcPr>
          <w:p>
            <w:pPr/>
            <w:r>
              <w:rPr>
                <w:rStyle w:val="CodeChar"/>
              </w:rPr>
              <w:t xml:space="preserve">COEFFICIENT_PREPARE</w:t>
            </w:r>
            <w:r>
              <w:t xml:space="preserve"> (30 min) et </w:t>
            </w:r>
            <w:r>
              <w:rPr>
                <w:rStyle w:val="CodeChar"/>
              </w:rPr>
              <w:t xml:space="preserve">COEFFICIENT_DYNAMIQUE</w:t>
            </w:r>
            <w:r>
              <w:t xml:space="preserve"> (15 min)</w:t>
            </w:r>
          </w:p>
        </w:tc>
      </w:tr>
      <w:tr>
        <w:tc>
          <w:tcPr>
            <w:tcW w:w="3120" w:type="dxa"/>
          </w:tcPr>
          <w:p>
            <w:pPr/>
            <w:r>
              <w:rPr>
                <w:rStyle w:val="CodeChar"/>
              </w:rPr>
              <w:t xml:space="preserve">gradients.csv</w:t>
            </w:r>
          </w:p>
        </w:tc>
        <w:tc>
          <w:tcPr>
            <w:tcW w:w="3120" w:type="dxa"/>
          </w:tcPr>
          <w:p>
            <w:pPr/>
            <w:r>
              <w:t xml:space="preserve">point-virgule</w:t>
            </w:r>
          </w:p>
        </w:tc>
        <w:tc>
          <w:tcPr>
            <w:tcW w:w="3120" w:type="dxa"/>
          </w:tcPr>
          <w:p>
            <w:pPr/>
            <w:r>
              <w:rPr>
                <w:rStyle w:val="CodeChar"/>
              </w:rPr>
              <w:t xml:space="preserve">RES1_BASE</w:t>
            </w:r>
            <w:r>
              <w:t xml:space="preserve">, </w:t>
            </w:r>
            <w:r>
              <w:rPr>
                <w:rStyle w:val="CodeChar"/>
              </w:rPr>
              <w:t xml:space="preserve">PRO1_BASE</w:t>
            </w:r>
            <w:r>
              <w:t xml:space="preserve"> = gradient de thermosensibilité, en %/°C</w:t>
            </w:r>
          </w:p>
        </w:tc>
      </w:tr>
      <w:tr>
        <w:tc>
          <w:tcPr>
            <w:tcW w:w="3120" w:type="dxa"/>
          </w:tcPr>
          <w:p>
            <w:pPr/>
            <w:r>
              <w:rPr>
                <w:rStyle w:val="CodeChar"/>
              </w:rPr>
              <w:t xml:space="preserve">temperature_2025.csv</w:t>
            </w:r>
          </w:p>
        </w:tc>
        <w:tc>
          <w:tcPr>
            <w:tcW w:w="3120" w:type="dxa"/>
          </w:tcPr>
          <w:p>
            <w:pPr/>
            <w:r>
              <w:t xml:space="preserve">virgule</w:t>
            </w:r>
          </w:p>
        </w:tc>
        <w:tc>
          <w:tcPr>
            <w:tcW w:w="3120" w:type="dxa"/>
          </w:tcPr>
          <w:p>
            <w:pPr/>
            <w:r>
              <w:t xml:space="preserve">température réalisée et température normale, lissées</w:t>
            </w:r>
          </w:p>
        </w:tc>
      </w:tr>
    </w:tbl>
    <w:p>
      <w:pPr/>
      <w:r>
        <w:t xml:space="preserve">Un coefficient de profil répond à une seule question : </w:t>
      </w:r>
      <w:r>
        <w:rPr>
          <w:b/>
        </w:rPr>
        <w:t xml:space="preserve">à cet instant, un client moyen de cette classe consomme combien de fois sa consommation moyenne de l'année ?</w:t>
      </w:r>
      <w:r>
        <w:t xml:space="preserve"> C'est un multiplicateur sans unité — </w:t>
      </w:r>
      <w:r>
        <w:rPr>
          <w:rStyle w:val="CodeChar"/>
        </w:rPr>
        <w:t xml:space="preserve">1</w:t>
      </w:r>
      <w:r>
        <w:t xml:space="preserve"> veut dire « exactement sa moyenne », </w:t>
      </w:r>
      <w:r>
        <w:rPr>
          <w:rStyle w:val="CodeChar"/>
        </w:rPr>
        <w:t xml:space="preserve">2</w:t>
      </w:r>
      <w:r>
        <w:t xml:space="preserve"> « le double », </w:t>
      </w:r>
      <w:r>
        <w:rPr>
          <w:rStyle w:val="CodeChar"/>
        </w:rPr>
        <w:t xml:space="preserve">0,5</w:t>
      </w:r>
      <w:r>
        <w:t xml:space="preserve"> « la moitié ». Enedis mesure un échantillon de clients de la classe et normalise la courbe pour que sa moyenne annuelle vaille 1 : le coefficient ne porte donc </w:t>
      </w:r>
      <w:r>
        <w:rPr>
          <w:b/>
        </w:rPr>
        <w:t xml:space="preserve">que la forme</w:t>
      </w:r>
      <w:r>
        <w:t xml:space="preserve">, jamais le niveau. Celui de RES1 va de 0,49 un matin de juin à 2,01 le 29 décembre à 19h30, soit un rapport de 4 entre le creux et la pointe.</w:t>
      </w:r>
    </w:p>
    <w:p>
      <w:pPr/>
      <w:r>
        <w:t xml:space="preserve">Le fichier Enedis contient </w:t>
      </w:r>
      <w:r>
        <w:rPr>
          <w:b/>
        </w:rPr>
        <w:t xml:space="preserve">trois</w:t>
      </w:r>
      <w:r>
        <w:t xml:space="preserve"> colonnes de coefficients, pas une :</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Colonne</w:t>
            </w:r>
          </w:p>
        </w:tc>
        <w:tc>
          <w:tcPr>
            <w:tcW w:w="2340" w:type="dxa"/>
            <w:shd w:val="clear" w:color="auto" w:fill="F2F2F2"/>
          </w:tcPr>
          <w:p>
            <w:pPr/>
            <w:r>
              <w:t xml:space="preserve">Résolution réelle</w:t>
            </w:r>
          </w:p>
        </w:tc>
        <w:tc>
          <w:tcPr>
            <w:tcW w:w="2340" w:type="dxa"/>
            <w:shd w:val="clear" w:color="auto" w:fill="F2F2F2"/>
          </w:tcPr>
          <w:p>
            <w:pPr/>
            <w:r>
              <w:t xml:space="preserve">Moyenne 2025</w:t>
            </w:r>
          </w:p>
        </w:tc>
        <w:tc>
          <w:tcPr>
            <w:tcW w:w="2340" w:type="dxa"/>
            <w:shd w:val="clear" w:color="auto" w:fill="F2F2F2"/>
          </w:tcPr>
          <w:p>
            <w:pPr/>
            <w:r>
              <w:t xml:space="preserve">Disponible</w:t>
            </w:r>
          </w:p>
        </w:tc>
      </w:tr>
      <w:tr>
        <w:tc>
          <w:tcPr>
            <w:tcW w:w="2340" w:type="dxa"/>
          </w:tcPr>
          <w:p>
            <w:pPr/>
            <w:r>
              <w:rPr>
                <w:rStyle w:val="CodeChar"/>
              </w:rPr>
              <w:t xml:space="preserve">COEFFICIENT_PREPARE</w:t>
            </w:r>
          </w:p>
        </w:tc>
        <w:tc>
          <w:tcPr>
            <w:tcW w:w="2340" w:type="dxa"/>
          </w:tcPr>
          <w:p>
            <w:pPr/>
            <w:r>
              <w:t xml:space="preserve">30 min</w:t>
            </w:r>
          </w:p>
        </w:tc>
        <w:tc>
          <w:tcPr>
            <w:tcW w:w="2340" w:type="dxa"/>
          </w:tcPr>
          <w:p>
            <w:pPr/>
            <w:r>
              <w:rPr>
                <w:b/>
              </w:rPr>
              <w:t xml:space="preserve">1,0021</w:t>
            </w:r>
          </w:p>
        </w:tc>
        <w:tc>
          <w:tcPr>
            <w:tcW w:w="2340" w:type="dxa"/>
          </w:tcPr>
          <w:p>
            <w:pPr/>
            <w:r>
              <w:rPr>
                <w:b/>
              </w:rPr>
              <w:t xml:space="preserve">à l'avance</w:t>
            </w:r>
          </w:p>
        </w:tc>
      </w:tr>
      <w:tr>
        <w:tc>
          <w:tcPr>
            <w:tcW w:w="2340" w:type="dxa"/>
          </w:tcPr>
          <w:p>
            <w:pPr/>
            <w:r>
              <w:rPr>
                <w:rStyle w:val="CodeChar"/>
              </w:rPr>
              <w:t xml:space="preserve">COEFFICIENT_AJUSTE</w:t>
            </w:r>
          </w:p>
        </w:tc>
        <w:tc>
          <w:tcPr>
            <w:tcW w:w="2340" w:type="dxa"/>
          </w:tcPr>
          <w:p>
            <w:pPr/>
            <w:r>
              <w:t xml:space="preserve">30 min</w:t>
            </w:r>
          </w:p>
        </w:tc>
        <w:tc>
          <w:tcPr>
            <w:tcW w:w="2340" w:type="dxa"/>
          </w:tcPr>
          <w:p>
            <w:pPr/>
            <w:r>
              <w:t xml:space="preserve">0,9959</w:t>
            </w:r>
          </w:p>
        </w:tc>
        <w:tc>
          <w:tcPr>
            <w:tcW w:w="2340" w:type="dxa"/>
          </w:tcPr>
          <w:p>
            <w:pPr/>
            <w:r>
              <w:t xml:space="preserve">après coup</w:t>
            </w:r>
          </w:p>
        </w:tc>
      </w:tr>
      <w:tr>
        <w:tc>
          <w:tcPr>
            <w:tcW w:w="2340" w:type="dxa"/>
          </w:tcPr>
          <w:p>
            <w:pPr/>
            <w:r>
              <w:rPr>
                <w:rStyle w:val="CodeChar"/>
              </w:rPr>
              <w:t xml:space="preserve">COEFFICIENT_DYNAMIQUE</w:t>
            </w:r>
          </w:p>
        </w:tc>
        <w:tc>
          <w:tcPr>
            <w:tcW w:w="2340" w:type="dxa"/>
          </w:tcPr>
          <w:p>
            <w:pPr/>
            <w:r>
              <w:t xml:space="preserve">15 min</w:t>
            </w:r>
          </w:p>
        </w:tc>
        <w:tc>
          <w:tcPr>
            <w:tcW w:w="2340" w:type="dxa"/>
          </w:tcPr>
          <w:p>
            <w:pPr/>
            <w:r>
              <w:t xml:space="preserve">0,8772</w:t>
            </w:r>
          </w:p>
        </w:tc>
        <w:tc>
          <w:tcPr>
            <w:tcW w:w="2340" w:type="dxa"/>
          </w:tcPr>
          <w:p>
            <w:pPr/>
            <w:r>
              <w:t xml:space="preserve">après coup</w:t>
            </w:r>
          </w:p>
        </w:tc>
      </w:tr>
    </w:tbl>
    <w:p>
      <w:pPr/>
      <w:r>
        <w:t xml:space="preserve">On prend le </w:t>
      </w:r>
      <w:r>
        <w:rPr>
          <w:b/>
        </w:rPr>
        <w:t xml:space="preserve">préparé</w:t>
      </w:r>
      <w:r>
        <w:t xml:space="preserve"> pour deux raisons. D'abord, c'est le seul qui existe </w:t>
      </w:r>
      <w:r>
        <w:rPr>
          <w:i/>
        </w:rPr>
        <w:t xml:space="preserve">avant</w:t>
      </w:r>
      <w:r>
        <w:t xml:space="preserve"> la période : les deux autres sont des corrections établies une fois les relevés consolidés, donc inutilisables pour prévoir 2027. Ensuite, c'est celui qui est normalisé autour de 1, ce qui fait de </w:t>
      </w:r>
      <w:r>
        <w:rPr>
          <w:rStyle w:val="CodeChar"/>
        </w:rPr>
        <w:t xml:space="preserve">N × FUD</w:t>
      </w:r>
      <w:r>
        <w:t xml:space="preserve"> la puissance moyenne du portefeuille. Le dynamique, lui, tourne autour de 0,877 : l'utiliser tel quel donnerait 360 299 MWh au lieu de 411 616, soit </w:t>
      </w:r>
      <w:r>
        <w:rPr>
          <w:b/>
        </w:rPr>
        <w:t xml:space="preserve">12,5 % du volume envolé</w:t>
      </w:r>
      <w:r>
        <w:t xml:space="preserve">.</w:t>
      </w:r>
    </w:p>
    <w:p>
      <w:pPr/>
      <w:r>
        <w:t xml:space="preserve">Reste un problème à régler : le préparé est au pas de 30 minutes, le dynamique au quart d'heure.</w:t>
      </w:r>
    </w:p>
    <w:p>
      <w:pPr>
        <w:pStyle w:val="Heading3"/>
      </w:pPr>
      <w:r>
        <w:t xml:space="preserve">Affiner sans changer le niveau</w:t>
      </w:r>
    </w:p>
    <w:p>
      <w:pPr/>
      <w:r>
        <w:t xml:space="preserve">Le coefficient préparé donne </w:t>
      </w:r>
      <w:r>
        <w:rPr>
          <w:b/>
        </w:rPr>
        <w:t xml:space="preserve">une valeur par demi-heure</w:t>
      </w:r>
      <w:r>
        <w:t xml:space="preserve">, le dynamique </w:t>
      </w:r>
      <w:r>
        <w:rPr>
          <w:b/>
        </w:rPr>
        <w:t xml:space="preserve">deux valeurs par demi-heure</w:t>
      </w:r>
      <w:r>
        <w:t xml:space="preserve"> (une par quart d'heure). On veut la finesse du second sans toucher au niveau du premier : on lui emprunte donc uniquement </w:t>
      </w:r>
      <w:r>
        <w:rPr>
          <w:b/>
        </w:rPr>
        <w:t xml:space="preserve">sa façon de répartir la demi-heure entre ses deux quarts d'heure</w:t>
      </w:r>
      <w:r>
        <w:t xml:space="preserve">, et on applique cette répartition au préparé.</w:t>
      </w:r>
    </w:p>
    <w:p>
      <w:pPr>
        <w:pStyle w:val="Code"/>
      </w:pPr>
      <w:bookmarkStart w:id="4" w:name="bongo_lang_python_4"/>
      <w:bookmarkEnd w:id="4"/>
      <w:r>
        <w:t xml:space="preserve">def affiner_au_quart_heure(demi_horaire, quart_horaire):</w:t>
        <w:br/>
        <w:t xml:space="preserve">    demi_heure = quart_horaire.index.tz_convert("UTC").floor("30min")</w:t>
        <w:br/>
        <w:t xml:space="preserve">    ratio = quart_horaire / quart_horaire.groupby(demi_heure).transform("mean")</w:t>
        <w:br/>
        <w:t xml:space="preserve">    return demi_horaire * ratio</w:t>
      </w:r>
    </w:p>
    <w:p>
      <w:pPr/>
      <w:r>
        <w:t xml:space="preserve">Le ratio vaut </w:t>
      </w:r>
      <w:r>
        <w:rPr>
          <w:b/>
        </w:rPr>
        <w:t xml:space="preserve">1 en moyenne sur chaque demi-heure</w:t>
      </w:r>
      <w:r>
        <w:t xml:space="preserve">, donc l'énergie est conservée exactement : on ne fait que la redistribuer entre les deux quarts d'heure. C'est la seule façon honnête de passer de 30 min à 15 min.</w:t>
      </w:r>
    </w:p>
    <w:p>
      <w:pPr>
        <w:pStyle w:val="Heading3"/>
      </w:pPr>
      <w:r>
        <w:t xml:space="preserve">Le fuseau horaire</w:t>
      </w:r>
    </w:p>
    <w:p>
      <w:pPr>
        <w:pStyle w:val="Code"/>
      </w:pPr>
      <w:bookmarkStart w:id="5" w:name="bongo_lang_python_5"/>
      <w:bookmarkEnd w:id="5"/>
      <w:r>
        <w:t xml:space="preserve">def _horodate(serie):</w:t>
        <w:br/>
        <w:t xml:space="preserve">    return pd.to_datetime(serie, format="ISO8601", utc=True).dt.tz_convert("Europe/Paris")</w:t>
      </w:r>
    </w:p>
    <w:p>
      <w:pPr/>
      <w:r>
        <w:t xml:space="preserve">Chaque horodate </w:t>
      </w:r>
      <w:r>
        <w:rPr>
          <w:b/>
        </w:rPr>
        <w:t xml:space="preserve">garde son fuseau</w:t>
      </w:r>
      <w:r>
        <w:t xml:space="preserve"> au lieu d'être une simple date-heure. C'est indispensable à cause des changements d'heure : dans la nuit d'octobre, </w:t>
      </w:r>
      <w:r>
        <w:rPr>
          <w:b/>
        </w:rPr>
        <w:t xml:space="preserve">2h30 arrive deux fois</w:t>
      </w:r>
      <w:r>
        <w:t xml:space="preserve">, et une date-heure sans fuseau ne permet pas de distinguer la première de la seconde ; dans la nuit de mars, 2h30 n'existe pas du tout. Sans fuseau, on se retrouve avec 35 096 lignes au lieu de 35 040 et des doublons invisibles à l'œil. C'est aussi pourquoi le </w:t>
      </w:r>
      <w:r>
        <w:rPr>
          <w:rStyle w:val="CodeChar"/>
        </w:rPr>
        <w:t xml:space="preserve">.floor("30min")</w:t>
      </w:r>
      <w:r>
        <w:t xml:space="preserve"> ci-dessus travaille en UTC : pandas refuse d'arrondir une heure ambiguë, et en UTC l'ambiguïté n'existe pas.</w:t>
      </w:r>
    </w:p>
    <w:p>
      <w:pPr/>
      <w:r>
        <w:t xml:space="preserve">Au passage : 35 040 = 365 × 96, soit 96 pas de 15 minutes par jour.</w:t>
      </w:r>
    </w:p>
    <w:p>
      <w:pPr>
        <w:pStyle w:val="Heading3"/>
      </w:pPr>
      <w:r>
        <w:t xml:space="preserve">La jointure, et pourquoi c'est le point crucial</w:t>
      </w:r>
    </w:p>
    <w:p>
      <w:pPr>
        <w:pStyle w:val="Code"/>
      </w:pPr>
      <w:bookmarkStart w:id="6" w:name="bongo_lang_python_6"/>
      <w:bookmarkEnd w:id="6"/>
      <w:r>
        <w:t xml:space="preserve">def construire_base():</w:t>
        <w:br/>
        <w:t xml:space="preserve">    df = charger_coefficients("RES1")</w:t>
        <w:br/>
        <w:t xml:space="preserve">    for autre in (charger_coefficients("PRO1"), charger_gradients(), charger_temperatures()):</w:t>
        <w:br/>
        <w:t xml:space="preserve">        df = df.merge(autre, on="HORODATE", how="inner")</w:t>
        <w:br/>
        <w:t xml:space="preserve">    return df.set_index("HORODATE").sort_index()</w:t>
      </w:r>
    </w:p>
    <w:p>
      <w:pPr/>
      <w:r>
        <w:rPr>
          <w:rStyle w:val="CodeChar"/>
        </w:rPr>
        <w:t xml:space="preserve">merge(on="HORODATE")</w:t>
      </w:r>
      <w:r>
        <w:t xml:space="preserve"> veut dire : </w:t>
      </w:r>
      <w:r>
        <w:rPr>
          <w:b/>
        </w:rPr>
        <w:t xml:space="preserve">aligne les lignes qui portent la même horodate</w:t>
      </w:r>
      <w:r>
        <w:t xml:space="preserve">. Une concaténation par position dirait au contraire « première ligne avec première ligne, deuxième avec deuxième » — et c'est exactement ce que fait un copier-coller dans Excel.</w:t>
      </w:r>
    </w:p>
    <w:p>
      <w:pPr/>
      <w:r>
        <w:t xml:space="preserve">Sur ces données, la différence est fatale. Ouvre </w:t>
      </w:r>
      <w:r>
        <w:rPr>
          <w:rStyle w:val="CodeChar"/>
        </w:rPr>
        <w:t xml:space="preserve">temperature_2025.csv</w:t>
      </w:r>
      <w:r>
        <w:t xml:space="preserve"> : sa première ligne de données est le </w:t>
      </w:r>
      <w:r>
        <w:rPr>
          <w:b/>
        </w:rPr>
        <w:t xml:space="preserve">31 décembre à 23h45</w:t>
      </w:r>
      <w:r>
        <w:t xml:space="preserve">, sa dernière le </w:t>
      </w:r>
      <w:r>
        <w:rPr>
          <w:b/>
        </w:rPr>
        <w:t xml:space="preserve">1er janvier à 00h00</w:t>
      </w:r>
      <w:r>
        <w:t xml:space="preserve">. Le fichier est trié à l'envers. Collé par position à côté des coefficients Enedis — qui, eux, commencent au 1er janvier — il met les températures de fin décembre en face du début janvier, et ainsi de suite sur toute l'année.</w:t>
      </w:r>
    </w:p>
    <w:p>
      <w:pPr/>
      <w:r>
        <w:t xml:space="preserve">Le piège, c'est que </w:t>
      </w:r>
      <w:r>
        <w:rPr>
          <w:b/>
        </w:rPr>
        <w:t xml:space="preserve">le résultat reste plausible</w:t>
      </w:r>
      <w:r>
        <w:t xml:space="preserve"> : on obtient des courbes, des saisons, des hivers froids. Rien ne saute aux yeux. C'est l'erreur du classeur Excel du prof, et une jointure sur l'horodate y est immunisée par construction : si une ligne n'a pas de correspondante, elle disparaît au lieu de se tromper de voisine.</w:t>
      </w:r>
    </w:p>
    <w:p>
      <w:pPr/>
      <w:r>
        <w:t xml:space="preserve">Les fichiers de prix historiques posent un autre problème : </w:t>
      </w:r>
      <w:r>
        <w:rPr>
          <w:b/>
        </w:rPr>
        <w:t xml:space="preserve">ENTSO-E a changé son format d'export entre 2021 et 2024</w:t>
      </w:r>
      <w:r>
        <w:t xml:space="preserve">. Les deux premières lignes de chaque fichier suffisent à le voir.</w:t>
      </w:r>
    </w:p>
    <w:p>
      <w:pPr>
        <w:pStyle w:val="Code"/>
      </w:pPr>
      <w:bookmarkStart w:id="7" w:name="bongo_lang_text_7"/>
      <w:bookmarkEnd w:id="7"/>
      <w:r>
        <w:t xml:space="preserve">2021 : "MTU (CET/CEST)","Day-ahead Price [EUR/MWh]","Currency","BZN|FR"</w:t>
        <w:br/>
        <w:t xml:space="preserve">       "01.01.2021 00:00 - 01.01.2021 01:00","50.87","EUR"</w:t>
        <w:br/>
        <w:br/>
        <w:t xml:space="preserve">2024 : "MTU (UTC),""Area"",""Sequence"",""Day-ahead Price (EUR/MWh)"",..."</w:t>
        <w:br/>
        <w:t xml:space="preserve">       "01/01/2024 00:00:00 - 01/01/2024 01:00:00,""BZN|FR"",..."</w:t>
      </w:r>
    </w:p>
    <w:p>
      <w:pPr/>
      <w:r>
        <w:t xml:space="preserve">Trois différences, toutes piégeuses :</w:t>
      </w:r>
    </w:p>
    <w:p>
      <w:pPr>
        <w:pStyle w:val="ListParagraph"/>
        <w:numPr>
          <w:ilvl w:val="0"/>
          <w:numId w:val="3"/>
        </w:numPr>
      </w:pPr>
      <w:r>
        <w:rPr>
          <w:b/>
        </w:rPr>
        <w:t xml:space="preserve">Les guillemets.</w:t>
      </w:r>
      <w:r>
        <w:t xml:space="preserve"> En 2024, la ligne entière est entourée de guillemets et ceux de l'intérieur sont doublés. Résultat : pandas lit tout le fichier comme </w:t>
      </w:r>
      <w:r>
        <w:rPr>
          <w:b/>
        </w:rPr>
        <w:t xml:space="preserve">une seule colonne</w:t>
      </w:r>
      <w:r>
        <w:t xml:space="preserve">. Le code détecte ce cas et relit le fichier une deuxième fois après avoir défait cet emballage.</w:t>
      </w:r>
    </w:p>
    <w:p>
      <w:pPr>
        <w:pStyle w:val="ListParagraph"/>
        <w:numPr>
          <w:ilvl w:val="0"/>
          <w:numId w:val="3"/>
        </w:numPr>
      </w:pPr>
      <w:r>
        <w:rPr>
          <w:b/>
        </w:rPr>
        <w:t xml:space="preserve">La date.</w:t>
      </w:r>
      <w:r>
        <w:t xml:space="preserve"> </w:t>
      </w:r>
      <w:r>
        <w:rPr>
          <w:rStyle w:val="CodeChar"/>
        </w:rPr>
        <w:t xml:space="preserve">01.01.2021 00:00</w:t>
      </w:r>
      <w:r>
        <w:t xml:space="preserve"> (points, sans secondes) contre </w:t>
      </w:r>
      <w:r>
        <w:rPr>
          <w:rStyle w:val="CodeChar"/>
        </w:rPr>
        <w:t xml:space="preserve">01/01/2024 00:00:00</w:t>
      </w:r>
      <w:r>
        <w:t xml:space="preserve"> (barres, avec secondes). Le code essaie les formats connus l'un après l'autre et garde le premier qui convertit toutes les lignes sans échec.</w:t>
      </w:r>
    </w:p>
    <w:p>
      <w:pPr>
        <w:pStyle w:val="ListParagraph"/>
        <w:numPr>
          <w:ilvl w:val="0"/>
          <w:numId w:val="3"/>
        </w:numPr>
      </w:pPr>
      <w:r>
        <w:rPr>
          <w:b/>
        </w:rPr>
        <w:t xml:space="preserve">Le fuseau.</w:t>
      </w:r>
      <w:r>
        <w:t xml:space="preserve"> </w:t>
      </w:r>
      <w:r>
        <w:rPr>
          <w:rStyle w:val="CodeChar"/>
        </w:rPr>
        <w:t xml:space="preserve">MTU (CET/CEST)</w:t>
      </w:r>
      <w:r>
        <w:t xml:space="preserve"> signifie heure de Paris, </w:t>
      </w:r>
      <w:r>
        <w:rPr>
          <w:rStyle w:val="CodeChar"/>
        </w:rPr>
        <w:t xml:space="preserve">MTU (UTC)</w:t>
      </w:r>
      <w:r>
        <w:t xml:space="preserve"> heure universelle — deux heures d'écart en été. Le code lit le fuseau </w:t>
      </w:r>
      <w:r>
        <w:rPr>
          <w:b/>
        </w:rPr>
        <w:t xml:space="preserve">dans le titre de la colonne</w:t>
      </w:r>
      <w:r>
        <w:t xml:space="preserve">, parce que c'est la seule indication fiable du fichier.</w:t>
      </w:r>
    </w:p>
    <w:p>
      <w:pPr/>
      <w:r>
        <w:t xml:space="preserve">Rien de tout cela n'est intellectuellement passionnant, mais une erreur de fuseau décale une année entière de prix d'une heure : la pointe du soir se retrouve en face de la consommation de l'après-midi, et la régression prix-volume de l'étape 8 est fausse sans que rien ne casse.</w:t>
      </w:r>
    </w:p>
    <w:p>
      <w:pPr>
        <w:pStyle w:val="Heading3"/>
      </w:pPr>
      <w:r>
        <w:t xml:space="preserve">Ce qu'il faut savoir dire</w:t>
      </w:r>
    </w:p>
    <w:p>
      <w:pPr>
        <w:pStyle w:val="ListParagraph"/>
        <w:numPr>
          <w:ilvl w:val="0"/>
          <w:numId w:val="4"/>
        </w:numPr>
      </w:pPr>
      <w:r>
        <w:t xml:space="preserve">Pourquoi le coefficient </w:t>
      </w:r>
      <w:r>
        <w:rPr>
          <w:b/>
        </w:rPr>
        <w:t xml:space="preserve">préparé</w:t>
      </w:r>
      <w:r>
        <w:t xml:space="preserve"> est le bon pour de la prévision.</w:t>
      </w:r>
    </w:p>
    <w:p>
      <w:pPr>
        <w:pStyle w:val="ListParagraph"/>
        <w:numPr>
          <w:ilvl w:val="0"/>
          <w:numId w:val="4"/>
        </w:numPr>
      </w:pPr>
      <w:r>
        <w:t xml:space="preserve">Pourquoi l'affinage au quart d'heure </w:t>
      </w:r>
      <w:r>
        <w:rPr>
          <w:b/>
        </w:rPr>
        <w:t xml:space="preserve">conserve l'énergie</w:t>
      </w:r>
      <w:r>
        <w:t xml:space="preserve"> (le ratio moyen vaut 1).</w:t>
      </w:r>
    </w:p>
    <w:p>
      <w:pPr>
        <w:pStyle w:val="ListParagraph"/>
        <w:numPr>
          <w:ilvl w:val="0"/>
          <w:numId w:val="4"/>
        </w:numPr>
      </w:pPr>
      <w:r>
        <w:t xml:space="preserve">Pourquoi on joint sur l'horodate : donner l'exemple des températures inversées, c'est l'argument le plus parlant du dossier.</w:t>
      </w:r>
    </w:p>
    <w:p>
      <w:pPr>
        <w:pStyle w:val="Heading2"/>
      </w:pPr>
      <w:r>
        <w:t xml:space="preserve">Étapes 4 et 5 — Le coefficient météo et la charge</w:t>
      </w:r>
    </w:p>
    <w:p>
      <w:pPr/>
      <w:r>
        <w:t xml:space="preserve">Le coefficient météo corrige le profil de l'écart entre température réalisée et température normale, </w:t>
      </w:r>
      <w:r>
        <w:rPr>
          <w:b/>
        </w:rPr>
        <w:t xml:space="preserve">mais seulement sous le seuil de chauffe de 15 °C</w:t>
      </w:r>
      <w:r>
        <w:t xml:space="preserve">.</w:t>
      </w:r>
    </w:p>
    <w:p>
      <w:pPr>
        <w:pStyle w:val="Heading3"/>
      </w:pPr>
      <w:r>
        <w:t xml:space="preserve">La théorie</w:t>
      </w:r>
    </w:p>
    <w:p>
      <w:pPr/>
      <w:r>
        <w:t xml:space="preserve">Une partie du parc français se chauffe à l'électricité : quand il fait plus froid que la normale, la consommation monte. RTE quantifie cette </w:t>
      </w:r>
      <w:r>
        <w:rPr>
          <w:b/>
        </w:rPr>
        <w:t xml:space="preserve">thermosensibilité</w:t>
      </w:r>
      <w:r>
        <w:t xml:space="preserve"> par un gradient en %/°C, qui dépend du profil, de l'heure et de la saison. Fait important : </w:t>
      </w:r>
      <w:r>
        <w:rPr>
          <w:b/>
        </w:rPr>
        <w:t xml:space="preserve">les gradients sont nuls d'avril à octobre</w:t>
      </w:r>
      <w:r>
        <w:t xml:space="preserve"> — pas de chauffage, pas de sensibilité.</w:t>
      </w:r>
    </w:p>
    <w:p>
      <w:pPr/>
      <w:r>
        <w:rPr>
          <w:rStyle w:val="CodeChar"/>
          <w:b/>
        </w:rPr>
        <w:t xml:space="preserve">g</w:t>
      </w:r>
      <w:r>
        <w:rPr>
          <w:b/>
        </w:rPr>
        <w:t xml:space="preserve"> est ce gradient.</w:t>
      </w:r>
      <w:r>
        <w:t xml:space="preserve"> Il est lu dans </w:t>
      </w:r>
      <w:r>
        <w:rPr>
          <w:rStyle w:val="CodeChar"/>
        </w:rPr>
        <w:t xml:space="preserve">gradients.csv</w:t>
      </w:r>
      <w:r>
        <w:t xml:space="preserve"> (colonnes </w:t>
      </w:r>
      <w:r>
        <w:rPr>
          <w:rStyle w:val="CodeChar"/>
        </w:rPr>
        <w:t xml:space="preserve">RES1_BASE</w:t>
      </w:r>
      <w:r>
        <w:t xml:space="preserve"> et </w:t>
      </w:r>
      <w:r>
        <w:rPr>
          <w:rStyle w:val="CodeChar"/>
        </w:rPr>
        <w:t xml:space="preserve">PRO1_BASE</w:t>
      </w:r>
      <w:r>
        <w:t xml:space="preserve">) et porte le nom </w:t>
      </w:r>
      <w:r>
        <w:rPr>
          <w:rStyle w:val="CodeChar"/>
        </w:rPr>
        <w:t xml:space="preserve">grad_RES1</w:t>
      </w:r>
      <w:r>
        <w:t xml:space="preserve"> / </w:t>
      </w:r>
      <w:r>
        <w:rPr>
          <w:rStyle w:val="CodeChar"/>
        </w:rPr>
        <w:t xml:space="preserve">grad_PRO1</w:t>
      </w:r>
      <w:r>
        <w:t xml:space="preserve"> dans le code. Attention à son unité : il est exprimé </w:t>
      </w:r>
      <w:r>
        <w:rPr>
          <w:b/>
        </w:rPr>
        <w:t xml:space="preserve">en fraction par degré</w:t>
      </w:r>
      <w:r>
        <w:t xml:space="preserve">, pas en pourcentage. </w:t>
      </w:r>
      <w:r>
        <w:rPr>
          <w:rStyle w:val="CodeChar"/>
        </w:rPr>
        <w:t xml:space="preserve">0,0172</w:t>
      </w:r>
      <w:r>
        <w:t xml:space="preserve"> veut dire 1,72 % de consommation en plus par degré perdu — c'est ce qui permet d'écrire </w:t>
      </w:r>
      <w:r>
        <w:rPr>
          <w:rStyle w:val="CodeChar"/>
        </w:rPr>
        <w:t xml:space="preserve">1 + g × ΔT</w:t>
      </w:r>
      <w:r>
        <w:t xml:space="preserve"> directement, sans diviser par 100.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Profil</w:t>
            </w:r>
          </w:p>
        </w:tc>
        <w:tc>
          <w:tcPr>
            <w:tcW w:w="2340" w:type="dxa"/>
            <w:shd w:val="clear" w:color="auto" w:fill="F2F2F2"/>
          </w:tcPr>
          <w:p>
            <w:pPr/>
            <w:r>
              <w:t xml:space="preserve">Hiver (jan-mars, nov-déc)</w:t>
            </w:r>
          </w:p>
        </w:tc>
        <w:tc>
          <w:tcPr>
            <w:tcW w:w="2340" w:type="dxa"/>
            <w:shd w:val="clear" w:color="auto" w:fill="F2F2F2"/>
          </w:tcPr>
          <w:p>
            <w:pPr/>
            <w:r>
              <w:t xml:space="preserve">Avril à octobre</w:t>
            </w:r>
          </w:p>
        </w:tc>
        <w:tc>
          <w:tcPr>
            <w:tcW w:w="2340" w:type="dxa"/>
            <w:shd w:val="clear" w:color="auto" w:fill="F2F2F2"/>
          </w:tcPr>
          <w:p>
            <w:pPr/>
            <w:r>
              <w:t xml:space="preserve">Maximum de l'année</w:t>
            </w:r>
          </w:p>
        </w:tc>
      </w:tr>
      <w:tr>
        <w:tc>
          <w:tcPr>
            <w:tcW w:w="2340" w:type="dxa"/>
          </w:tcPr>
          <w:p>
            <w:pPr/>
            <w:r>
              <w:t xml:space="preserve">RES1</w:t>
            </w:r>
          </w:p>
        </w:tc>
        <w:tc>
          <w:tcPr>
            <w:tcW w:w="2340" w:type="dxa"/>
          </w:tcPr>
          <w:p>
            <w:pPr/>
            <w:r>
              <w:t xml:space="preserve">2,2 à 2,5 %/°C</w:t>
            </w:r>
          </w:p>
        </w:tc>
        <w:tc>
          <w:tcPr>
            <w:tcW w:w="2340" w:type="dxa"/>
          </w:tcPr>
          <w:p>
            <w:pPr/>
            <w:r>
              <w:rPr>
                <w:b/>
              </w:rPr>
              <w:t xml:space="preserve">0</w:t>
            </w:r>
          </w:p>
        </w:tc>
        <w:tc>
          <w:tcPr>
            <w:tcW w:w="2340" w:type="dxa"/>
          </w:tcPr>
          <w:p>
            <w:pPr/>
            <w:r>
              <w:t xml:space="preserve">3,83 %/°C le 31/03 à 18h45</w:t>
            </w:r>
          </w:p>
        </w:tc>
      </w:tr>
      <w:tr>
        <w:tc>
          <w:tcPr>
            <w:tcW w:w="2340" w:type="dxa"/>
          </w:tcPr>
          <w:p>
            <w:pPr/>
            <w:r>
              <w:t xml:space="preserve">PRO1</w:t>
            </w:r>
          </w:p>
        </w:tc>
        <w:tc>
          <w:tcPr>
            <w:tcW w:w="2340" w:type="dxa"/>
          </w:tcPr>
          <w:p>
            <w:pPr/>
            <w:r>
              <w:t xml:space="preserve">3,0 à 3,7 %/°C</w:t>
            </w:r>
          </w:p>
        </w:tc>
        <w:tc>
          <w:tcPr>
            <w:tcW w:w="2340" w:type="dxa"/>
          </w:tcPr>
          <w:p>
            <w:pPr/>
            <w:r>
              <w:rPr>
                <w:b/>
              </w:rPr>
              <w:t xml:space="preserve">0</w:t>
            </w:r>
          </w:p>
        </w:tc>
        <w:tc>
          <w:tcPr>
            <w:tcW w:w="2340" w:type="dxa"/>
          </w:tcPr>
          <w:p>
            <w:pPr/>
            <w:r>
              <w:t xml:space="preserve">5,43 %/°C le 01/11 à 11h30</w:t>
            </w:r>
          </w:p>
        </w:tc>
      </w:tr>
    </w:tbl>
    <w:p>
      <w:pPr/>
      <w:r>
        <w:t xml:space="preserve">Trois remarques. </w:t>
      </w:r>
      <w:r>
        <w:rPr>
          <w:rStyle w:val="CodeChar"/>
        </w:rPr>
        <w:t xml:space="preserve">g</w:t>
      </w:r>
      <w:r>
        <w:t xml:space="preserve"> n'est pas une constante : il y a une valeur par pas de 15 minutes, comme pour les coefficients de profil. Il vaut </w:t>
      </w:r>
      <w:r>
        <w:rPr>
          <w:b/>
        </w:rPr>
        <w:t xml:space="preserve">exactement zéro d'avril à octobre</w:t>
      </w:r>
      <w:r>
        <w:t xml:space="preserve">, ce qui force </w:t>
      </w:r>
      <w:r>
        <w:rPr>
          <w:rStyle w:val="CodeChar"/>
        </w:rPr>
        <w:t xml:space="preserve">CM = 1</w:t>
      </w:r>
      <w:r>
        <w:t xml:space="preserve"> sur toute cette période quelle que soit la température. Et PRO1 est plus thermosensible que RES1 à puissance égale — un local professionnel chauffe un plus grand volume par rapport à sa consommation de base.</w:t>
      </w:r>
    </w:p>
    <w:p>
      <w:pPr/>
      <w:r>
        <w:t xml:space="preserve">Au-dessus de 15 °C personne ne chauffe. On ne compte donc que la part de l'écart de température située </w:t>
      </w:r>
      <w:r>
        <w:rPr>
          <w:b/>
        </w:rPr>
        <w:t xml:space="preserve">sous le seuil</w:t>
      </w:r>
      <w:r>
        <w:t xml:space="preserve">, ce qui donne quatre cas :</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Cas</w:t>
            </w:r>
          </w:p>
        </w:tc>
        <w:tc>
          <w:tcPr>
            <w:tcW w:w="1872" w:type="dxa"/>
            <w:shd w:val="clear" w:color="auto" w:fill="F2F2F2"/>
          </w:tcPr>
          <w:p>
            <w:pPr/>
            <w:r>
              <w:t xml:space="preserve">T réalisée</w:t>
            </w:r>
          </w:p>
        </w:tc>
        <w:tc>
          <w:tcPr>
            <w:tcW w:w="1872" w:type="dxa"/>
            <w:shd w:val="clear" w:color="auto" w:fill="F2F2F2"/>
          </w:tcPr>
          <w:p>
            <w:pPr/>
            <w:r>
              <w:t xml:space="preserve">T normale</w:t>
            </w:r>
          </w:p>
        </w:tc>
        <w:tc>
          <w:tcPr>
            <w:tcW w:w="1872" w:type="dxa"/>
            <w:shd w:val="clear" w:color="auto" w:fill="F2F2F2"/>
          </w:tcPr>
          <w:p>
            <w:pPr/>
            <w:r>
              <w:t xml:space="preserve">CM</w:t>
            </w:r>
          </w:p>
        </w:tc>
        <w:tc>
          <w:tcPr>
            <w:tcW w:w="1872" w:type="dxa"/>
            <w:shd w:val="clear" w:color="auto" w:fill="F2F2F2"/>
          </w:tcPr>
          <w:p>
            <w:pPr/>
            <w:r>
              <w:t xml:space="preserve">Lecture</w:t>
            </w:r>
          </w:p>
        </w:tc>
      </w:tr>
      <w:tr>
        <w:tc>
          <w:tcPr>
            <w:tcW w:w="1872" w:type="dxa"/>
          </w:tcPr>
          <w:p>
            <w:pPr/>
            <w:r>
              <w:t xml:space="preserve">1</w:t>
            </w:r>
          </w:p>
        </w:tc>
        <w:tc>
          <w:tcPr>
            <w:tcW w:w="1872" w:type="dxa"/>
          </w:tcPr>
          <w:p>
            <w:pPr/>
            <w:r>
              <w:t xml:space="preserve">&lt; 15 °C</w:t>
            </w:r>
          </w:p>
        </w:tc>
        <w:tc>
          <w:tcPr>
            <w:tcW w:w="1872" w:type="dxa"/>
          </w:tcPr>
          <w:p>
            <w:pPr/>
            <w:r>
              <w:t xml:space="preserve">&lt; 15 °C</w:t>
            </w:r>
          </w:p>
        </w:tc>
        <w:tc>
          <w:tcPr>
            <w:tcW w:w="1872" w:type="dxa"/>
          </w:tcPr>
          <w:p>
            <w:pPr/>
            <w:r>
              <w:rPr>
                <w:rStyle w:val="CodeChar"/>
              </w:rPr>
              <w:t xml:space="preserve">1 + g × (Tn − T)</w:t>
            </w:r>
          </w:p>
        </w:tc>
        <w:tc>
          <w:tcPr>
            <w:tcW w:w="1872" w:type="dxa"/>
          </w:tcPr>
          <w:p>
            <w:pPr/>
            <w:r>
              <w:t xml:space="preserve">hiver normal : tout l'écart compte</w:t>
            </w:r>
          </w:p>
        </w:tc>
      </w:tr>
      <w:tr>
        <w:tc>
          <w:tcPr>
            <w:tcW w:w="1872" w:type="dxa"/>
          </w:tcPr>
          <w:p>
            <w:pPr/>
            <w:r>
              <w:t xml:space="preserve">2</w:t>
            </w:r>
          </w:p>
        </w:tc>
        <w:tc>
          <w:tcPr>
            <w:tcW w:w="1872" w:type="dxa"/>
          </w:tcPr>
          <w:p>
            <w:pPr/>
            <w:r>
              <w:t xml:space="preserve">&lt; 15 °C</w:t>
            </w:r>
          </w:p>
        </w:tc>
        <w:tc>
          <w:tcPr>
            <w:tcW w:w="1872" w:type="dxa"/>
          </w:tcPr>
          <w:p>
            <w:pPr/>
            <w:r>
              <w:t xml:space="preserve">≥ 15 °C</w:t>
            </w:r>
          </w:p>
        </w:tc>
        <w:tc>
          <w:tcPr>
            <w:tcW w:w="1872" w:type="dxa"/>
          </w:tcPr>
          <w:p>
            <w:pPr/>
            <w:r>
              <w:rPr>
                <w:rStyle w:val="CodeChar"/>
              </w:rPr>
              <w:t xml:space="preserve">1 + g × (Ts − T)</w:t>
            </w:r>
          </w:p>
        </w:tc>
        <w:tc>
          <w:tcPr>
            <w:tcW w:w="1872" w:type="dxa"/>
          </w:tcPr>
          <w:p>
            <w:pPr/>
            <w:r>
              <w:t xml:space="preserve">froid inattendu : seule la part sous 15 compte</w:t>
            </w:r>
          </w:p>
        </w:tc>
      </w:tr>
      <w:tr>
        <w:tc>
          <w:tcPr>
            <w:tcW w:w="1872" w:type="dxa"/>
          </w:tcPr>
          <w:p>
            <w:pPr/>
            <w:r>
              <w:t xml:space="preserve">3</w:t>
            </w:r>
          </w:p>
        </w:tc>
        <w:tc>
          <w:tcPr>
            <w:tcW w:w="1872" w:type="dxa"/>
          </w:tcPr>
          <w:p>
            <w:pPr/>
            <w:r>
              <w:t xml:space="preserve">≥ 15 °C</w:t>
            </w:r>
          </w:p>
        </w:tc>
        <w:tc>
          <w:tcPr>
            <w:tcW w:w="1872" w:type="dxa"/>
          </w:tcPr>
          <w:p>
            <w:pPr/>
            <w:r>
              <w:t xml:space="preserve">&lt; 15 °C</w:t>
            </w:r>
          </w:p>
        </w:tc>
        <w:tc>
          <w:tcPr>
            <w:tcW w:w="1872" w:type="dxa"/>
          </w:tcPr>
          <w:p>
            <w:pPr/>
            <w:r>
              <w:rPr>
                <w:rStyle w:val="CodeChar"/>
              </w:rPr>
              <w:t xml:space="preserve">1 + g × (Tn − Ts)</w:t>
            </w:r>
          </w:p>
        </w:tc>
        <w:tc>
          <w:tcPr>
            <w:tcW w:w="1872" w:type="dxa"/>
          </w:tcPr>
          <w:p>
            <w:pPr/>
            <w:r>
              <w:t xml:space="preserve">doux inattendu : on retire la chauffe prévue</w:t>
            </w:r>
          </w:p>
        </w:tc>
      </w:tr>
      <w:tr>
        <w:tc>
          <w:tcPr>
            <w:tcW w:w="1872" w:type="dxa"/>
          </w:tcPr>
          <w:p>
            <w:pPr/>
            <w:r>
              <w:t xml:space="preserve">4</w:t>
            </w:r>
          </w:p>
        </w:tc>
        <w:tc>
          <w:tcPr>
            <w:tcW w:w="1872" w:type="dxa"/>
          </w:tcPr>
          <w:p>
            <w:pPr/>
            <w:r>
              <w:t xml:space="preserve">≥ 15 °C</w:t>
            </w:r>
          </w:p>
        </w:tc>
        <w:tc>
          <w:tcPr>
            <w:tcW w:w="1872" w:type="dxa"/>
          </w:tcPr>
          <w:p>
            <w:pPr/>
            <w:r>
              <w:t xml:space="preserve">≥ 15 °C</w:t>
            </w:r>
          </w:p>
        </w:tc>
        <w:tc>
          <w:tcPr>
            <w:tcW w:w="1872" w:type="dxa"/>
          </w:tcPr>
          <w:p>
            <w:pPr/>
            <w:r>
              <w:rPr>
                <w:rStyle w:val="CodeChar"/>
              </w:rPr>
              <w:t xml:space="preserve">1</w:t>
            </w:r>
          </w:p>
        </w:tc>
        <w:tc>
          <w:tcPr>
            <w:tcW w:w="1872" w:type="dxa"/>
          </w:tcPr>
          <w:p>
            <w:pPr/>
            <w:r>
              <w:t xml:space="preserve">été : aucune correction</w:t>
            </w:r>
          </w:p>
        </w:tc>
      </w:tr>
    </w:tbl>
    <w:p>
      <w:pPr/>
      <w:r>
        <w:t xml:space="preserve">Deux piquets à planter : le seuil existe (sans lui, on applique un gradient en plein mois d'août), et </w:t>
      </w:r>
      <w:r>
        <w:rPr>
          <w:b/>
        </w:rPr>
        <w:t xml:space="preserve">CM est multiplicatif, pas additif</w:t>
      </w:r>
      <w:r>
        <w:t xml:space="preserve">. L'oublier gonflait notre pointe de 14,5 % et notre énergie de 13,6 %.</w:t>
      </w:r>
    </w:p>
    <w:p>
      <w:pPr>
        <w:pStyle w:val="Code"/>
      </w:pPr>
      <w:bookmarkStart w:id="8" w:name="bongo_lang_python_8"/>
      <w:bookmarkEnd w:id="8"/>
      <w:r>
        <w:t xml:space="preserve">def coefficient_meteo(gradient, t_normale, t_realisee, t_seuil=T_SEUIL):</w:t>
        <w:br/>
        <w:t xml:space="preserve">    T, Tn, Ts = t_realisee, t_normale, t_seuil</w:t>
        <w:br/>
        <w:t xml:space="preserve">    cm = np.select(</w:t>
        <w:br/>
        <w:t xml:space="preserve">        [(T &lt; Ts) &amp; (Tn &lt; Ts), (T &lt; Ts) &amp; (Tn &gt;= Ts), (Tn &lt; Ts) &amp; (T &gt;= Ts), (T &gt;= Ts) &amp; (Tn &gt;= Ts)],</w:t>
        <w:br/>
        <w:t xml:space="preserve">        [1 + gradient * (Tn - T), 1 + gradient * (Ts - T), 1 + gradient * (Tn - Ts), 1.0],</w:t>
        <w:br/>
        <w:t xml:space="preserve">        default=np.nan)</w:t>
        <w:br/>
        <w:t xml:space="preserve">    return pd.Series(cm, index=t_realisee.index)</w:t>
      </w:r>
    </w:p>
    <w:p>
      <w:pPr/>
      <w:r>
        <w:rPr>
          <w:rStyle w:val="CodeChar"/>
        </w:rPr>
        <w:t xml:space="preserve">np.select</w:t>
      </w:r>
      <w:r>
        <w:t xml:space="preserve"> est un SI imbriqué appliqué d'un coup aux 35 040 lignes : c'est la version vectorisée du tableau ci-dessus, dans le même ordre.</w:t>
      </w:r>
    </w:p>
    <w:p>
      <w:pPr>
        <w:pStyle w:val="Heading3"/>
      </w:pPr>
      <w:r>
        <w:t xml:space="preserve">La charge</w:t>
      </w:r>
    </w:p>
    <w:p>
      <w:pPr>
        <w:pStyle w:val="Code"/>
      </w:pPr>
      <w:bookmarkStart w:id="9" w:name="bongo_lang_latex_9"/>
      <w:bookmarkEnd w:id="9"/>
      <w:r>
        <w:t xml:space="preserve">P(t) = N_{\text{clients}} \times \mathrm{FUD} \times c_{\text{profil}}(t) \times \mathrm{CM}(t)</w:t>
      </w:r>
    </w:p>
    <w:p/>
    <w:p>
      <w:pPr>
        <w:pStyle w:val="Code"/>
      </w:pPr>
      <w:bookmarkStart w:id="10" w:name="bongo_lang_python_10"/>
      <w:bookmarkEnd w:id="10"/>
      <w:r>
        <w:t xml:space="preserve">for profil in ("RES1", "PRO1"):</w:t>
        <w:br/>
        <w:t xml:space="preserve">    f, nb = fud(profil), PARAMS[profil]["nb_clients"]</w:t>
        <w:br/>
        <w:t xml:space="preserve">    coef = out[f"coef_{profil}"]</w:t>
        <w:br/>
        <w:t xml:space="preserve">    out[f"CM_{profil}"] = coefficient_meteo(</w:t>
        <w:br/>
        <w:t xml:space="preserve">        out[f"grad_{profil}"], out["temperature_normale_lissee_degc"],</w:t>
        <w:br/>
        <w:t xml:space="preserve">        out["temperature_realisee_lissee_degc"])</w:t>
        <w:br/>
        <w:t xml:space="preserve">    out[f"P_{profil}_kW"] = nb * f * coef</w:t>
        <w:br/>
        <w:t xml:space="preserve">    out[f"P_dyn_{profil}_kW"] = nb * f * coef * out[f"CM_{profil}"]</w:t>
      </w:r>
    </w:p>
    <w:p>
      <w:pPr/>
      <w:r>
        <w:t xml:space="preserve">Le code produit </w:t>
      </w:r>
      <w:r>
        <w:rPr>
          <w:b/>
        </w:rPr>
        <w:t xml:space="preserve">deux colonnes par profil</w:t>
      </w:r>
      <w:r>
        <w:t xml:space="preserve">, et c'est tout le but :</w:t>
      </w:r>
    </w:p>
    <w:p>
      <w:pPr>
        <w:pStyle w:val="ListParagraph"/>
        <w:numPr>
          <w:ilvl w:val="0"/>
          <w:numId w:val="5"/>
        </w:numPr>
      </w:pPr>
      <w:r>
        <w:rPr>
          <w:rStyle w:val="CodeChar"/>
        </w:rPr>
        <w:t xml:space="preserve">P_*_kW</w:t>
      </w:r>
      <w:r>
        <w:t xml:space="preserve"> — à température normale. C'est le </w:t>
      </w:r>
      <w:r>
        <w:rPr>
          <w:b/>
        </w:rPr>
        <w:t xml:space="preserve">volume de référence, le 100 % contre lequel tous les ratios de couverture sont exprimés</w:t>
      </w:r>
      <w:r>
        <w:t xml:space="preserve">, comme le §3.1 l'exige.</w:t>
      </w:r>
    </w:p>
    <w:p>
      <w:pPr>
        <w:pStyle w:val="ListParagraph"/>
        <w:numPr>
          <w:ilvl w:val="0"/>
          <w:numId w:val="5"/>
        </w:numPr>
      </w:pPr>
      <w:r>
        <w:rPr>
          <w:rStyle w:val="CodeChar"/>
        </w:rPr>
        <w:t xml:space="preserve">P_dyn_*_kW</w:t>
      </w:r>
      <w:r>
        <w:t xml:space="preserve"> — avec la météo du scénario. C'est ce qu'on consomme vraiment.</w:t>
      </w:r>
    </w:p>
    <w:p>
      <w:pPr>
        <w:pStyle w:val="Heading3"/>
      </w:pPr>
      <w:r>
        <w:t xml:space="preserve">Ce qui sort, et pourquoi c'est plausible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Résultat 2027, température normale</w:t>
            </w:r>
          </w:p>
        </w:tc>
        <w:tc>
          <w:tcPr>
            <w:tcW w:w="4680" w:type="dxa"/>
            <w:shd w:val="clear" w:color="auto" w:fill="F2F2F2"/>
          </w:tcPr>
          <w:p>
            <w:pPr/>
            <w:r>
              <w:t xml:space="preserve">Valeur</w:t>
            </w:r>
          </w:p>
        </w:tc>
      </w:tr>
      <w:tr>
        <w:tc>
          <w:tcPr>
            <w:tcW w:w="4680" w:type="dxa"/>
          </w:tcPr>
          <w:p>
            <w:pPr/>
            <w:r>
              <w:t xml:space="preserve">Énergie annuelle</w:t>
            </w:r>
          </w:p>
        </w:tc>
        <w:tc>
          <w:tcPr>
            <w:tcW w:w="4680" w:type="dxa"/>
          </w:tcPr>
          <w:p>
            <w:pPr/>
            <w:r>
              <w:t xml:space="preserve">536 627 MWh</w:t>
            </w:r>
          </w:p>
        </w:tc>
      </w:tr>
      <w:tr>
        <w:tc>
          <w:tcPr>
            <w:tcW w:w="4680" w:type="dxa"/>
          </w:tcPr>
          <w:p>
            <w:pPr/>
            <w:r>
              <w:t xml:space="preserve">Pointe</w:t>
            </w:r>
          </w:p>
        </w:tc>
        <w:tc>
          <w:tcPr>
            <w:tcW w:w="4680" w:type="dxa"/>
          </w:tcPr>
          <w:p>
            <w:pPr/>
            <w:r>
              <w:t xml:space="preserve">118,33 MW le 07/01 à 18h45</w:t>
            </w:r>
          </w:p>
        </w:tc>
      </w:tr>
      <w:tr>
        <w:tc>
          <w:tcPr>
            <w:tcW w:w="4680" w:type="dxa"/>
          </w:tcPr>
          <w:p>
            <w:pPr/>
            <w:r>
              <w:t xml:space="preserve">Peak / off-peak</w:t>
            </w:r>
          </w:p>
        </w:tc>
        <w:tc>
          <w:tcPr>
            <w:tcW w:w="4680" w:type="dxa"/>
          </w:tcPr>
          <w:p>
            <w:pPr/>
            <w:r>
              <w:t xml:space="preserve">42,4 % / 57,6 %</w:t>
            </w:r>
          </w:p>
        </w:tc>
      </w:tr>
      <w:tr>
        <w:tc>
          <w:tcPr>
            <w:tcW w:w="4680" w:type="dxa"/>
          </w:tcPr>
          <w:p>
            <w:pPr/>
            <w:r>
              <w:t xml:space="preserve">Thermosensibilité moyenne de chauffe</w:t>
            </w:r>
          </w:p>
        </w:tc>
        <w:tc>
          <w:tcPr>
            <w:tcW w:w="4680" w:type="dxa"/>
          </w:tcPr>
          <w:p>
            <w:pPr/>
            <w:r>
              <w:t xml:space="preserve">1,96 MW/°C</w:t>
            </w:r>
          </w:p>
        </w:tc>
      </w:tr>
      <w:tr>
        <w:tc>
          <w:tcPr>
            <w:tcW w:w="4680" w:type="dxa"/>
          </w:tcPr>
          <w:p>
            <w:pPr/>
            <w:r>
              <w:t xml:space="preserve">Thermosensibilité maximale</w:t>
            </w:r>
          </w:p>
        </w:tc>
        <w:tc>
          <w:tcPr>
            <w:tcW w:w="4680" w:type="dxa"/>
          </w:tcPr>
          <w:p>
            <w:pPr/>
            <w:r>
              <w:t xml:space="preserve">3,73 MW/°C le 05/11 à 18h45</w:t>
            </w:r>
          </w:p>
        </w:tc>
      </w:tr>
    </w:tbl>
    <w:p>
      <w:pPr>
        <w:pStyle w:val="Heading3"/>
      </w:pPr>
      <w:r>
        <w:t xml:space="preserve">Les figures que trace le fichier</w:t>
      </w:r>
    </w:p>
    <w:p>
      <w:pPr/>
      <w:r>
        <w:rPr>
          <w:rStyle w:val="CodeChar"/>
        </w:rPr>
        <w:t xml:space="preserve">outils/demande.py</w:t>
      </w:r>
      <w:r>
        <w:t xml:space="preserve"> trace trois figures quand on le lance. Elles ne servent pas à décorer : elles servent à vérifier d'un coup d'œil que la charge a la bonne tête, avant de calculer quoi que ce soit dessus.</w:t>
      </w:r>
    </w:p>
    <w:p>
      <w:pPr/>
      <w:r>
        <w:drawing>
          <wp:inline distT="0" distB="0" distL="0" distR="0">
            <wp:extent cx="5486400" cy="3892789"/>
            <wp:docPr id="2" name="image2"/>
            <a:graphic xmlns:a="http://schemas.openxmlformats.org/drawingml/2006/main">
              <a:graphicData uri="http://schemas.openxmlformats.org/drawingml/2006/picture">
                <pic:pic xmlns:pic="http://schemas.openxmlformats.org/drawingml/2006/picture">
                  <pic:nvPicPr>
                    <pic:cNvPr id="2" name="image2"/>
                    <pic:cNvPicPr/>
                  </pic:nvPicPr>
                  <pic:blipFill>
                    <a:blip r:embed="rIdFig2"/>
                    <a:stretch>
                      <a:fillRect/>
                    </a:stretch>
                  </pic:blipFill>
                  <pic:spPr>
                    <a:xfrm>
                      <a:off x="0" y="0"/>
                      <a:ext cx="5486400" cy="3892789"/>
                    </a:xfrm>
                    <a:prstGeom prst="rect">
                      <a:avLst/>
                    </a:prstGeom>
                  </pic:spPr>
                </pic:pic>
              </a:graphicData>
            </a:graphic>
          </wp:inline>
        </w:drawing>
      </w:r>
    </w:p>
    <w:p>
      <w:pPr/>
      <w:r>
        <w:rPr>
          <w:b/>
        </w:rPr>
        <w:t xml:space="preserve">L'année entière</w:t>
      </w:r>
      <w:r>
        <w:t xml:space="preserve">, 17 520 points par profil. Le trait paraît épais parce que chaque journée monte et redescend d'environ 40 MW : à cette échelle, l'œil ne voit que l'enveloppe. Trois choses s'y lisent. </w:t>
      </w:r>
      <w:r>
        <w:rPr>
          <w:b/>
        </w:rPr>
        <w:t xml:space="preserve">La saisonnalité</w:t>
      </w:r>
      <w:r>
        <w:t xml:space="preserve"> : le total culmine au-dessus de 115 MW début janvier et retombe dans une bande de 35 à 70 MW en août — c'est la thermosensibilité de l'étape 4, et comme aucun des deux profils n'a de climatisation, l'été est un plancher, pas un deuxième pic. </w:t>
      </w:r>
      <w:r>
        <w:rPr>
          <w:b/>
        </w:rPr>
        <w:t xml:space="preserve">Le poids relatif des deux profils</w:t>
      </w:r>
      <w:r>
        <w:t xml:space="preserve"> : RES1 tient l'essentiel (20 à 93 MW), PRO1 complète (5 à 33 MW). </w:t>
      </w:r>
      <w:r>
        <w:rPr>
          <w:b/>
        </w:rPr>
        <w:t xml:space="preserve">Le resserrement d'avril à octobre</w:t>
      </w:r>
      <w:r>
        <w:t xml:space="preserve"> : c'est la période où </w:t>
      </w:r>
      <w:r>
        <w:rPr>
          <w:rStyle w:val="CodeChar"/>
        </w:rPr>
        <w:t xml:space="preserve">g = 0</w:t>
      </w:r>
      <w:r>
        <w:t xml:space="preserve"> et où CM vaut exactement 1 ; toute la variabilité qui reste vient du calendrier, plus de la météo.</w:t>
      </w:r>
    </w:p>
    <w:p>
      <w:pPr/>
      <w:r>
        <w:drawing>
          <wp:inline distT="0" distB="0" distL="0" distR="0">
            <wp:extent cx="5486400" cy="3879885"/>
            <wp:docPr id="3" name="image3"/>
            <a:graphic xmlns:a="http://schemas.openxmlformats.org/drawingml/2006/main">
              <a:graphicData uri="http://schemas.openxmlformats.org/drawingml/2006/picture">
                <pic:pic xmlns:pic="http://schemas.openxmlformats.org/drawingml/2006/picture">
                  <pic:nvPicPr>
                    <pic:cNvPr id="3" name="image3"/>
                    <pic:cNvPicPr/>
                  </pic:nvPicPr>
                  <pic:blipFill>
                    <a:blip r:embed="rIdFig3"/>
                    <a:stretch>
                      <a:fillRect/>
                    </a:stretch>
                  </pic:blipFill>
                  <pic:spPr>
                    <a:xfrm>
                      <a:off x="0" y="0"/>
                      <a:ext cx="5486400" cy="3879885"/>
                    </a:xfrm>
                    <a:prstGeom prst="rect">
                      <a:avLst/>
                    </a:prstGeom>
                  </pic:spPr>
                </pic:pic>
              </a:graphicData>
            </a:graphic>
          </wp:inline>
        </w:drawing>
      </w:r>
    </w:p>
    <w:p>
      <w:pPr/>
      <w:r>
        <w:rPr>
          <w:b/>
        </w:rPr>
        <w:t xml:space="preserve">Une semaine d'hiver</w:t>
      </w:r>
      <w:r>
        <w:t xml:space="preserve"> (lundi 11 au dimanche 17 janvier 2027) : la même courbe, dézoomée. C'est là que la forme Enedis devient lisible, et que la différence entre les deux profils saute aux yeux. RES1 fait deux bosses par jour — une le matin, une plus haute le soir qui monte à 90 MW — et retombe à 31 MW entre 3h et 6h. PRO1 fait un plateau de bureau : montée brutale vers 7h, 25 à 30 MW toute la journée, retour à 14 MW le soir. Le week-end, les deux divergent franchement : samedi et dimanche, PRO1 plafonne à 24 puis 17 MW, pendant que RES1 garde des pointes de 80 à 90 MW.</w:t>
      </w:r>
    </w:p>
    <w:p>
      <w:pPr/>
      <w:r>
        <w:t xml:space="preserve">Ce décalage est exactement ce que mesure le ratio peak / off-peak du paragraphe suivant.</w:t>
      </w:r>
    </w:p>
    <w:p>
      <w:pPr/>
      <w:r>
        <w:rPr>
          <w:b/>
        </w:rPr>
        <w:t xml:space="preserve">Peak et Off-peak</w:t>
      </w:r>
      <w:r>
        <w:t xml:space="preserve"> ne sont pas les heures pleines et creuses d'une facture de client : ce sont les deux fenêtres de livraison des produits échangés sur </w:t>
      </w:r>
      <w:r>
        <w:rPr>
          <w:b/>
        </w:rPr>
        <w:t xml:space="preserve">EEX</w:t>
      </w:r>
      <w:r>
        <w:t xml:space="preserve"> — l'</w:t>
      </w:r>
      <w:r>
        <w:rPr>
          <w:i/>
        </w:rPr>
        <w:t xml:space="preserve">European Energy Exchange</w:t>
      </w:r>
      <w:r>
        <w:t xml:space="preserve">, la bourse européenne de l'électricité basée à Leipzig, où se négocient les contrats à terme avec lesquels on se couvre. C'est de son site que viennent les prix repris dans </w:t>
      </w:r>
      <w:r>
        <w:rPr>
          <w:rStyle w:val="CodeChar"/>
        </w:rPr>
        <w:t xml:space="preserve">outils/marche.py</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p>
        </w:tc>
        <w:tc>
          <w:tcPr>
            <w:tcW w:w="1872" w:type="dxa"/>
            <w:shd w:val="clear" w:color="auto" w:fill="F2F2F2"/>
          </w:tcPr>
          <w:p>
            <w:pPr/>
            <w:r>
              <w:t xml:space="preserve">Fenêtre</w:t>
            </w:r>
          </w:p>
        </w:tc>
        <w:tc>
          <w:tcPr>
            <w:tcW w:w="1872" w:type="dxa"/>
            <w:shd w:val="clear" w:color="auto" w:fill="F2F2F2"/>
          </w:tcPr>
          <w:p>
            <w:pPr/>
            <w:r>
              <w:t xml:space="preserve">Heures/an</w:t>
            </w:r>
          </w:p>
        </w:tc>
        <w:tc>
          <w:tcPr>
            <w:tcW w:w="1872" w:type="dxa"/>
            <w:shd w:val="clear" w:color="auto" w:fill="F2F2F2"/>
          </w:tcPr>
          <w:p>
            <w:pPr/>
            <w:r>
              <w:t xml:space="preserve">Part des heures</w:t>
            </w:r>
          </w:p>
        </w:tc>
        <w:tc>
          <w:tcPr>
            <w:tcW w:w="1872" w:type="dxa"/>
            <w:shd w:val="clear" w:color="auto" w:fill="F2F2F2"/>
          </w:tcPr>
          <w:p>
            <w:pPr/>
            <w:r>
              <w:t xml:space="preserve">Part de notre énergie</w:t>
            </w:r>
          </w:p>
        </w:tc>
      </w:tr>
      <w:tr>
        <w:tc>
          <w:tcPr>
            <w:tcW w:w="1872" w:type="dxa"/>
          </w:tcPr>
          <w:p>
            <w:pPr/>
            <w:r>
              <w:rPr>
                <w:b/>
              </w:rPr>
              <w:t xml:space="preserve">Peak</w:t>
            </w:r>
          </w:p>
        </w:tc>
        <w:tc>
          <w:tcPr>
            <w:tcW w:w="1872" w:type="dxa"/>
          </w:tcPr>
          <w:p>
            <w:pPr/>
            <w:r>
              <w:t xml:space="preserve">lundi-vendredi 08h-20h, </w:t>
            </w:r>
            <w:r>
              <w:rPr>
                <w:b/>
              </w:rPr>
              <w:t xml:space="preserve">jours fériés inclus</w:t>
            </w:r>
          </w:p>
        </w:tc>
        <w:tc>
          <w:tcPr>
            <w:tcW w:w="1872" w:type="dxa"/>
          </w:tcPr>
          <w:p>
            <w:pPr/>
            <w:r>
              <w:t xml:space="preserve">3 132 h</w:t>
            </w:r>
          </w:p>
        </w:tc>
        <w:tc>
          <w:tcPr>
            <w:tcW w:w="1872" w:type="dxa"/>
          </w:tcPr>
          <w:p>
            <w:pPr/>
            <w:r>
              <w:t xml:space="preserve">35,8 %</w:t>
            </w:r>
          </w:p>
        </w:tc>
        <w:tc>
          <w:tcPr>
            <w:tcW w:w="1872" w:type="dxa"/>
          </w:tcPr>
          <w:p>
            <w:pPr/>
            <w:r>
              <w:rPr>
                <w:b/>
              </w:rPr>
              <w:t xml:space="preserve">42,4 %</w:t>
            </w:r>
          </w:p>
        </w:tc>
      </w:tr>
      <w:tr>
        <w:tc>
          <w:tcPr>
            <w:tcW w:w="1872" w:type="dxa"/>
          </w:tcPr>
          <w:p>
            <w:pPr/>
            <w:r>
              <w:rPr>
                <w:b/>
              </w:rPr>
              <w:t xml:space="preserve">Off-peak</w:t>
            </w:r>
          </w:p>
        </w:tc>
        <w:tc>
          <w:tcPr>
            <w:tcW w:w="1872" w:type="dxa"/>
          </w:tcPr>
          <w:p>
            <w:pPr/>
            <w:r>
              <w:t xml:space="preserve">tout le reste, week-ends compris</w:t>
            </w:r>
          </w:p>
        </w:tc>
        <w:tc>
          <w:tcPr>
            <w:tcW w:w="1872" w:type="dxa"/>
          </w:tcPr>
          <w:p>
            <w:pPr/>
            <w:r>
              <w:t xml:space="preserve">5 628 h</w:t>
            </w:r>
          </w:p>
        </w:tc>
        <w:tc>
          <w:tcPr>
            <w:tcW w:w="1872" w:type="dxa"/>
          </w:tcPr>
          <w:p>
            <w:pPr/>
            <w:r>
              <w:t xml:space="preserve">64,2 %</w:t>
            </w:r>
          </w:p>
        </w:tc>
        <w:tc>
          <w:tcPr>
            <w:tcW w:w="1872" w:type="dxa"/>
          </w:tcPr>
          <w:p>
            <w:pPr/>
            <w:r>
              <w:rPr>
                <w:b/>
              </w:rPr>
              <w:t xml:space="preserve">57,6 %</w:t>
            </w:r>
          </w:p>
        </w:tc>
      </w:tr>
    </w:tbl>
    <w:p>
      <w:pPr/>
      <w:r>
        <w:t xml:space="preserve">Les heures Peak portent donc </w:t>
      </w:r>
      <w:r>
        <w:rPr>
          <w:b/>
        </w:rPr>
        <w:t xml:space="preserve">plus d'énergie que leur part de temps</w:t>
      </w:r>
      <w:r>
        <w:t xml:space="preserve"> : 72,67 MW de puissance moyenne contre 54,91 MW en Off-peak, soit un </w:t>
      </w:r>
      <w:r>
        <w:rPr>
          <w:b/>
        </w:rPr>
        <w:t xml:space="preserve">ratio de forme de 1,32</w:t>
      </w:r>
      <w:r>
        <w:t xml:space="preserve">. Un portefeuille parfaitement plat afficherait 1,00. C'est ce 1,32 qui servira à l'étape 11 à dimensionner un éventuel bloc Peak, et le §3.1 réclame nommément ce partage.</w:t>
      </w:r>
    </w:p>
    <w:p>
      <w:pPr/>
      <w:r>
        <w:t xml:space="preserve">À ne pas confondre, donc : les heures creuses d'Enedis durent 8 h par jour, s'appliquent aussi le week-end et varient d'une commune à l'autre. Elles servent à facturer un client, pas à acheter sur un marché. Nos clients sont d'ailleurs au tarif base — la colonne </w:t>
      </w:r>
      <w:r>
        <w:rPr>
          <w:rStyle w:val="CodeChar"/>
        </w:rPr>
        <w:t xml:space="preserve">SOUS_PROFIL</w:t>
      </w:r>
      <w:r>
        <w:t xml:space="preserve"> du fichier Enedis indique </w:t>
      </w:r>
      <w:r>
        <w:rPr>
          <w:rStyle w:val="CodeChar"/>
        </w:rPr>
        <w:t xml:space="preserve">RES1_BASE</w:t>
      </w:r>
      <w:r>
        <w:t xml:space="preserve"> et </w:t>
      </w:r>
      <w:r>
        <w:rPr>
          <w:rStyle w:val="CodeChar"/>
        </w:rPr>
        <w:t xml:space="preserve">PRO1_BASE</w:t>
      </w:r>
      <w:r>
        <w:t xml:space="preserve">.</w:t>
      </w:r>
    </w:p>
    <w:p>
      <w:pPr/>
      <w:r>
        <w:t xml:space="preserve">Deux contrôles de bon sens qui valent de l'or en soutenance :</w:t>
      </w:r>
    </w:p>
    <w:p>
      <w:pPr>
        <w:pStyle w:val="ListParagraph"/>
        <w:numPr>
          <w:ilvl w:val="0"/>
          <w:numId w:val="6"/>
        </w:numPr>
      </w:pPr>
      <w:r>
        <w:rPr>
          <w:b/>
        </w:rPr>
        <w:t xml:space="preserve">Le foisonnement.</w:t>
      </w:r>
      <w:r>
        <w:t xml:space="preserve"> La somme des pointes individuelles des deux profils vaut 136,98 MW, celle du portefeuille 125,40 MW : </w:t>
      </w:r>
      <w:r>
        <w:rPr>
          <w:b/>
        </w:rPr>
        <w:t xml:space="preserve">8,5 % d'écart</w:t>
      </w:r>
      <w:r>
        <w:t xml:space="preserve">, parce que RES1 pointe à 19h30 et PRO1 à 10h30. Un portefeuille n'est jamais la somme de ses pointes.</w:t>
      </w:r>
    </w:p>
    <w:p>
      <w:pPr>
        <w:pStyle w:val="ListParagraph"/>
        <w:numPr>
          <w:ilvl w:val="0"/>
          <w:numId w:val="6"/>
        </w:numPr>
      </w:pPr>
      <w:r>
        <w:rPr>
          <w:b/>
        </w:rPr>
        <w:t xml:space="preserve">L'ordre de grandeur de la thermosensibilité.</w:t>
      </w:r>
      <w:r>
        <w:t xml:space="preserve"> RTE annonce environ 2 400 MW/°C pour la France entière. Notre portefeuille pèse de l'ordre du millième de la consommation nationale, et on trouve 1,96 MW/°C. C'est cohérent, et c'est exactement le « checking that the curve behaves sensibly » qui fait passer l'étape 1 en Outstanding.</w:t>
      </w:r>
    </w:p>
    <w:p>
      <w:pPr>
        <w:pStyle w:val="Heading2"/>
      </w:pPr>
      <w:r>
        <w:t xml:space="preserve">Étapes 6 et 7 — Projeter sur 2027, rejouer une météo</w:t>
      </w:r>
    </w:p>
    <w:p>
      <w:pPr/>
      <w:r>
        <w:t xml:space="preserve">Deux alignements coexistent dans le même tableau, et c'est volontaire : </w:t>
      </w:r>
      <w:r>
        <w:rPr>
          <w:b/>
        </w:rPr>
        <w:t xml:space="preserve">la consommation se recale par type de jour, la température par date calendaire</w:t>
      </w:r>
      <w:r>
        <w:t xml:space="preserve">.</w:t>
      </w:r>
    </w:p>
    <w:p>
      <w:pPr>
        <w:pStyle w:val="Heading3"/>
      </w:pPr>
      <w:r>
        <w:t xml:space="preserve">Pourquoi deux appariements</w:t>
      </w:r>
    </w:p>
    <w:p>
      <w:pPr/>
      <w:r>
        <w:t xml:space="preserve">Les données Enedis portent sur 2025, le livrable sur 2027. Il faut transporter la forme d'une année à l'autre, mais les deux grandeurs ne voyagent pas de la même façon.</w:t>
      </w:r>
    </w:p>
    <w:p>
      <w:pPr>
        <w:pStyle w:val="ListParagraph"/>
        <w:numPr>
          <w:ilvl w:val="0"/>
          <w:numId w:val="7"/>
        </w:numPr>
      </w:pPr>
      <w:r>
        <w:rPr>
          <w:b/>
        </w:rPr>
        <w:t xml:space="preserve">Un profil de consommation suit le type de jour.</w:t>
      </w:r>
      <w:r>
        <w:t xml:space="preserve"> Un mardi se comporte comme un mardi. Le 1er janvier 2025 était un mercredi, le 1er janvier 2027 est un vendredi : recaler par date collerait un profil de mercredi sur un vendredi.</w:t>
      </w:r>
    </w:p>
    <w:p>
      <w:pPr>
        <w:pStyle w:val="ListParagraph"/>
        <w:numPr>
          <w:ilvl w:val="0"/>
          <w:numId w:val="7"/>
        </w:numPr>
      </w:pPr>
      <w:r>
        <w:rPr>
          <w:b/>
        </w:rPr>
        <w:t xml:space="preserve">La climatologie suit la date.</w:t>
      </w:r>
      <w:r>
        <w:t xml:space="preserve"> Le 15 janvier a la même normale saisonnière tous les ans, quel que soit le jour de la semaine.</w:t>
      </w:r>
    </w:p>
    <w:p>
      <w:pPr/>
      <w:r>
        <w:t xml:space="preserve">Le §3.1 l'exige explicitement : </w:t>
      </w:r>
      <w:r>
        <w:rPr>
          <w:i/>
        </w:rPr>
        <w:t xml:space="preserve">align historical years on the 2027 calendar by weekday, not by date, and move public holidays to their 2027 dates</w:t>
      </w:r>
      <w:r>
        <w:t xml:space="preserve">.</w:t>
      </w:r>
    </w:p>
    <w:p>
      <w:pPr>
        <w:pStyle w:val="Heading3"/>
      </w:pPr>
      <w:r>
        <w:t xml:space="preserve">Sept types de jour</w:t>
      </w:r>
    </w:p>
    <w:p>
      <w:pPr>
        <w:pStyle w:val="Code"/>
      </w:pPr>
      <w:bookmarkStart w:id="11" w:name="bongo_lang_python_11"/>
      <w:bookmarkEnd w:id="11"/>
      <w:r>
        <w:t xml:space="preserve">def _type_jour(d, feries):</w:t>
        <w:br/>
        <w:t xml:space="preserve">    return 7 if d in feries else d.weekday()</w:t>
      </w:r>
    </w:p>
    <w:p>
      <w:pPr/>
      <w:r>
        <w:t xml:space="preserve">Lundi (0) à dimanche (6), </w:t>
      </w:r>
      <w:r>
        <w:rPr>
          <w:b/>
        </w:rPr>
        <w:t xml:space="preserve">plus une 7ᵉ catégorie pour les fériés</w:t>
      </w:r>
      <w:r>
        <w:t xml:space="preserve">. Un férié n'est ni un mardi ni un dimanche : les gens sont chez eux, mais les commerces ne sont pas fermés comme un dimanche. Lui donner sa propre classe, c'est ce qui permettra, à l'étape 14, de prévoir le 1er janvier 2027 avec un profil de férié et pas de vendredi — ce que le §5.2 demande nommément.</w:t>
      </w:r>
    </w:p>
    <w:p>
      <w:pPr>
        <w:pStyle w:val="Code"/>
      </w:pPr>
      <w:bookmarkStart w:id="12" w:name="bongo_lang_python_12"/>
      <w:bookmarkEnd w:id="12"/>
      <w:r>
        <w:t xml:space="preserve">def apparier_jours(an_source, an_cible):</w:t>
        <w:br/>
        <w:t xml:space="preserve">    for d in cib:</w:t>
        <w:br/>
        <w:t xml:space="preserve">        candidats = par_type.get(_type_jour(d, f_cib)) or par_type[6]</w:t>
        <w:br/>
        <w:t xml:space="preserve">        ref = d.timetuple().tm_yday</w:t>
        <w:br/>
        <w:t xml:space="preserve">        appariement[d] = min(candidats, key=lambda s: min(</w:t>
        <w:br/>
        <w:t xml:space="preserve">            abs(s.timetuple().tm_yday - ref), 365 - abs(s.timetuple().tm_yday - ref)))</w:t>
      </w:r>
    </w:p>
    <w:p>
      <w:pPr/>
      <w:r>
        <w:t xml:space="preserve">Pour chaque jour de 2027 on prend le jour de 2025 </w:t>
      </w:r>
      <w:r>
        <w:rPr>
          <w:b/>
        </w:rPr>
        <w:t xml:space="preserve">de même type le plus proche dans l'année</w:t>
      </w:r>
      <w:r>
        <w:t xml:space="preserve">. La distance est circulaire (</w:t>
      </w:r>
      <w:r>
        <w:rPr>
          <w:rStyle w:val="CodeChar"/>
        </w:rPr>
        <w:t xml:space="preserve">365 - abs(...)</w:t>
      </w:r>
      <w:r>
        <w:t xml:space="preserve">) pour que le 31 décembre soit voisin du 1er janvier. Le repli </w:t>
      </w:r>
      <w:r>
        <w:rPr>
          <w:rStyle w:val="CodeChar"/>
        </w:rPr>
        <w:t xml:space="preserve">or par_type[6]</w:t>
      </w:r>
      <w:r>
        <w:t xml:space="preserve"> couvre le cas où un type n'existerait pas dans l'année source : on retombe sur un dimanche. Résultat : 365 jours sur 365 appariés au bon type.</w:t>
      </w:r>
    </w:p>
    <w:p>
      <w:pPr>
        <w:pStyle w:val="Heading3"/>
      </w:pPr>
      <w:r>
        <w:t xml:space="preserve">Les fériés mobiles</w:t>
      </w:r>
    </w:p>
    <w:p>
      <w:pPr/>
      <w:r>
        <w:t xml:space="preserve">Pâques bouge, donc trois fériés sur onze bougent avec elle. Le code calcule la date par l'algorithme de Meeus/Jones/Butcher :</w:t>
      </w:r>
    </w:p>
    <w:p>
      <w:pPr>
        <w:pStyle w:val="Code"/>
      </w:pPr>
      <w:bookmarkStart w:id="13" w:name="bongo_lang_python_13"/>
      <w:bookmarkEnd w:id="13"/>
      <w:r>
        <w:t xml:space="preserve">def _paques(annee):</w:t>
        <w:br/>
        <w:t xml:space="preserve">    a = annee % 19</w:t>
        <w:br/>
        <w:t xml:space="preserve">    b, c = divmod(annee, 100)</w:t>
        <w:br/>
        <w:t xml:space="preserve">    ...</w:t>
        <w:br/>
        <w:t xml:space="preserve">    mois, jour = divmod(h + l - 7 * m + 114, 31)</w:t>
        <w:br/>
        <w:t xml:space="preserve">    return dt.date(annee, mois, jour + 1)</w:t>
      </w:r>
    </w:p>
    <w:p>
      <w:pPr/>
      <w:r>
        <w:t xml:space="preserve">Validé sur huit dates connues (2000, 2024 à 2028, 2030, 2038). De là se déduisent le lundi de Pâques (+1 jour), l'Ascension (+39) et le lundi de Pentecôte (+50), auxquels s'ajoutent les huit fériés fixes.</w:t>
      </w:r>
    </w:p>
    <w:p>
      <w:pPr>
        <w:pStyle w:val="Heading3"/>
      </w:pPr>
      <w:r>
        <w:t xml:space="preserve">Deux piquets techniques</w:t>
      </w:r>
    </w:p>
    <w:p>
      <w:pPr/>
      <w:r>
        <w:rPr>
          <w:b/>
        </w:rPr>
        <w:t xml:space="preserve">L'année bissextile.</w:t>
      </w:r>
      <w:r>
        <w:t xml:space="preserve"> Projeter sur une année bissextile depuis une année qui ne l'est pas fait planter la construction du 29 février :</w:t>
      </w:r>
    </w:p>
    <w:p>
      <w:pPr>
        <w:pStyle w:val="Code"/>
      </w:pPr>
      <w:bookmarkStart w:id="14" w:name="bongo_lang_python_14"/>
      <w:bookmarkEnd w:id="14"/>
      <w:r>
        <w:t xml:space="preserve">try:</w:t>
        <w:br/>
        <w:t xml:space="preserve">    jumeau = dt.date(an_source, d.month, d.day)</w:t>
        <w:br/>
        <w:t xml:space="preserve">except ValueError:          # 29 fevrier cible, source non bissextile</w:t>
        <w:br/>
        <w:t xml:space="preserve">    jumeau = dt.date(an_source, d.month, d.day - 1)</w:t>
      </w:r>
    </w:p>
    <w:p>
      <w:pPr/>
      <w:r>
        <w:rPr>
          <w:b/>
        </w:rPr>
        <w:t xml:space="preserve">Les changements d'heure.</w:t>
      </w:r>
      <w:r>
        <w:t xml:space="preserve"> </w:t>
      </w:r>
      <w:r>
        <w:rPr>
          <w:rStyle w:val="CodeChar"/>
        </w:rPr>
        <w:t xml:space="preserve">projeter()</w:t>
      </w:r>
      <w:r>
        <w:t xml:space="preserve"> reconstruit un index 2027 </w:t>
      </w:r>
      <w:r>
        <w:rPr>
          <w:b/>
        </w:rPr>
        <w:t xml:space="preserve">neuf</w:t>
      </w:r>
      <w:r>
        <w:t xml:space="preserve">, donc avec les bons changements d'heure de 2027, puis assemble jour par jour en recopiant la position dans la journée. Un jour de 23 h ne peut pas remplir un jour de 25 h, d'où le prolongement :</w:t>
      </w:r>
    </w:p>
    <w:p>
      <w:pPr>
        <w:pStyle w:val="Code"/>
      </w:pPr>
      <w:bookmarkStart w:id="15" w:name="bongo_lang_python_15"/>
      <w:bookmarkEnd w:id="15"/>
      <w:r>
        <w:t xml:space="preserve">if len(src) &lt; n:</w:t>
        <w:br/>
        <w:t xml:space="preserve">    src = pd.concat([src] + [src.iloc[[-1]]] * (n - len(src)))</w:t>
        <w:br/>
        <w:t xml:space="preserve">bloc = src.iloc[:n].copy()</w:t>
        <w:br/>
        <w:t xml:space="preserve">bloc.index = pd.DatetimeIndex(lignes)</w:t>
      </w:r>
    </w:p>
    <w:p>
      <w:pPr/>
      <w:r>
        <w:drawing>
          <wp:inline distT="0" distB="0" distL="0" distR="0">
            <wp:extent cx="5486400" cy="3890632"/>
            <wp:docPr id="4" name="image4"/>
            <a:graphic xmlns:a="http://schemas.openxmlformats.org/drawingml/2006/main">
              <a:graphicData uri="http://schemas.openxmlformats.org/drawingml/2006/picture">
                <pic:pic xmlns:pic="http://schemas.openxmlformats.org/drawingml/2006/picture">
                  <pic:nvPicPr>
                    <pic:cNvPr id="4" name="image4"/>
                    <pic:cNvPicPr/>
                  </pic:nvPicPr>
                  <pic:blipFill>
                    <a:blip r:embed="rIdFig4"/>
                    <a:stretch>
                      <a:fillRect/>
                    </a:stretch>
                  </pic:blipFill>
                  <pic:spPr>
                    <a:xfrm>
                      <a:off x="0" y="0"/>
                      <a:ext cx="5486400" cy="3890632"/>
                    </a:xfrm>
                    <a:prstGeom prst="rect">
                      <a:avLst/>
                    </a:prstGeom>
                  </pic:spPr>
                </pic:pic>
              </a:graphicData>
            </a:graphic>
          </wp:inline>
        </w:drawing>
      </w:r>
    </w:p>
    <w:p>
      <w:pPr/>
      <w:r>
        <w:rPr>
          <w:b/>
        </w:rPr>
        <w:t xml:space="preserve">La troisième figure du fichier est la preuve que l'appariement par type de jour fonctionne.</w:t>
      </w:r>
      <w:r>
        <w:t xml:space="preserve"> Le 1er janvier 2027 tombe un vendredi. Apparié par date calendaire, il aurait hérité d'un vendredi ouvré de 2025 et PRO1 serait monté à 30-32 MW dans la journée, comme sur la semaine type plus haut. Ici PRO1 ne dépasse jamais </w:t>
      </w:r>
      <w:r>
        <w:rPr>
          <w:b/>
        </w:rPr>
        <w:t xml:space="preserve">16,4 MW</w:t>
      </w:r>
      <w:r>
        <w:t xml:space="preserve"> : </w:t>
      </w:r>
      <w:r>
        <w:rPr>
          <w:rStyle w:val="CodeChar"/>
        </w:rPr>
        <w:t xml:space="preserve">_type_jour()</w:t>
      </w:r>
      <w:r>
        <w:t xml:space="preserve"> lui a donné le code 7, </w:t>
      </w:r>
      <w:r>
        <w:rPr>
          <w:rStyle w:val="CodeChar"/>
        </w:rPr>
        <w:t xml:space="preserve">apparier_jours()</w:t>
      </w:r>
      <w:r>
        <w:t xml:space="preserve"> est allé chercher un autre jour férié de 2025, et le profil obtenu est bien celui d'un jour chômé.</w:t>
      </w:r>
    </w:p>
    <w:p>
      <w:pPr/>
      <w:r>
        <w:t xml:space="preserve">RES1 raconte la même chose autrement : pas de creux marqué en milieu de journée, deux bosses larges (84 MW vers 12h, 90 MW vers 19h) au lieu du double pic serré d'un jour ouvré. Le portefeuille total culmine à </w:t>
      </w:r>
      <w:r>
        <w:rPr>
          <w:b/>
        </w:rPr>
        <w:t xml:space="preserve">106 MW à 19h</w:t>
      </w:r>
      <w:r>
        <w:t xml:space="preserve"> et descend à 45 MW vers 5h.</w:t>
      </w:r>
    </w:p>
    <w:p>
      <w:pPr/>
      <w:r>
        <w:t xml:space="preserve">L'erreur évitée se chiffre : une quinzaine de MW sur les heures de bureau, soit de l'ordre de 150 MWh sur la seule journée. Et comme c'est précisément cette journée que l'étape 14 utilise pour construire la position ouverte, l'erreur se serait propagée jusqu'à l'ordre day-ahead.</w:t>
      </w:r>
    </w:p>
    <w:p>
      <w:pPr>
        <w:pStyle w:val="Heading3"/>
      </w:pPr>
      <w:r>
        <w:t xml:space="preserve">Étape 7 — injecter une météo passée</w:t>
      </w:r>
    </w:p>
    <w:p>
      <w:pPr/>
      <w:r>
        <w:t xml:space="preserve">Même mécanique, autre grandeur : on prend la température </w:t>
      </w:r>
      <w:r>
        <w:rPr>
          <w:b/>
        </w:rPr>
        <w:t xml:space="preserve">réalisée</w:t>
      </w:r>
      <w:r>
        <w:t xml:space="preserve"> d'une année passée (2021, 2023, 2024) et on la pose sur le calendrier 2027, par date.</w:t>
      </w:r>
    </w:p>
    <w:p>
      <w:pPr>
        <w:pStyle w:val="Code"/>
      </w:pPr>
      <w:bookmarkStart w:id="16" w:name="bongo_lang_python_16"/>
      <w:bookmarkEnd w:id="16"/>
      <w:r>
        <w:t xml:space="preserve">def injecter_temperature(cible, source):</w:t>
        <w:br/>
        <w:t xml:space="preserve">    out = cible.copy()</w:t>
        <w:br/>
        <w:t xml:space="preserve">    valeurs = _reindexer_par_calendrier(source, out.index)</w:t>
        <w:br/>
        <w:t xml:space="preserve">    valeurs = valeurs.fillna(out["temperature_normale_lissee_degc"])</w:t>
        <w:br/>
        <w:t xml:space="preserve">    out["temperature_realisee_lissee_degc"] = valeurs.to_numpy()</w:t>
        <w:br/>
        <w:t xml:space="preserve">    return out</w:t>
      </w:r>
    </w:p>
    <w:p>
      <w:pPr/>
      <w:r>
        <w:t xml:space="preserve">La réindexation passe par une clé entière et un </w:t>
      </w:r>
      <w:r>
        <w:rPr>
          <w:rStyle w:val="CodeChar"/>
        </w:rPr>
        <w:t xml:space="preserve">searchsorted</w:t>
      </w:r>
      <w:r>
        <w:t xml:space="preserve"> plutôt que par un index à plusieurs niveaux, précisément pour que les heures doublées du changement d'heure ne cassent rien :</w:t>
      </w:r>
    </w:p>
    <w:p>
      <w:pPr>
        <w:pStyle w:val="Code"/>
      </w:pPr>
      <w:bookmarkStart w:id="17" w:name="bongo_lang_python_17"/>
      <w:bookmarkEnd w:id="17"/>
      <w:r>
        <w:t xml:space="preserve">def _cle_calendaire(index):</w:t>
        <w:br/>
        <w:t xml:space="preserve">    return (index.month * 1_000_000 + index.day * 10_000</w:t>
        <w:br/>
        <w:t xml:space="preserve">            + index.hour * 60 + index.minute)</w:t>
      </w:r>
    </w:p>
    <w:p>
      <w:pPr/>
      <w:r>
        <w:t xml:space="preserve">À partir d'ici, la température réalisée n'est plus égale à la normale : </w:t>
      </w:r>
      <w:r>
        <w:rPr>
          <w:rStyle w:val="CodeChar"/>
        </w:rPr>
        <w:t xml:space="preserve">CM</w:t>
      </w:r>
      <w:r>
        <w:t xml:space="preserve"> s'écarte de 1, et </w:t>
      </w:r>
      <w:r>
        <w:rPr>
          <w:rStyle w:val="CodeChar"/>
        </w:rPr>
        <w:t xml:space="preserve">P_dyn_*_kW</w:t>
      </w:r>
      <w:r>
        <w:t xml:space="preserve"> se sépare de </w:t>
      </w:r>
      <w:r>
        <w:rPr>
          <w:rStyle w:val="CodeChar"/>
        </w:rPr>
        <w:t xml:space="preserve">P_*_kW</w:t>
      </w:r>
      <w:r>
        <w:t xml:space="preserve">. Le scénario commence.</w:t>
      </w:r>
    </w:p>
    <w:p>
      <w:pPr>
        <w:pStyle w:val="Heading3"/>
      </w:pPr>
      <w:r>
        <w:t xml:space="preserve">Ce qu'il faut savoir dire</w:t>
      </w:r>
    </w:p>
    <w:p>
      <w:pPr>
        <w:pStyle w:val="ListParagraph"/>
        <w:numPr>
          <w:ilvl w:val="0"/>
          <w:numId w:val="8"/>
        </w:numPr>
      </w:pPr>
      <w:r>
        <w:t xml:space="preserve">Pourquoi </w:t>
      </w:r>
      <w:r>
        <w:rPr>
          <w:b/>
        </w:rPr>
        <w:t xml:space="preserve">deux appariements différents</w:t>
      </w:r>
      <w:r>
        <w:t xml:space="preserve"> dans le même module — c'est la question qu'on vous posera.</w:t>
      </w:r>
    </w:p>
    <w:p>
      <w:pPr>
        <w:pStyle w:val="ListParagraph"/>
        <w:numPr>
          <w:ilvl w:val="0"/>
          <w:numId w:val="8"/>
        </w:numPr>
      </w:pPr>
      <w:r>
        <w:t xml:space="preserve">Pourquoi un férié mérite sa propre catégorie, et ce que ça rapporte au §5.</w:t>
      </w:r>
    </w:p>
    <w:p>
      <w:pPr>
        <w:pStyle w:val="ListParagraph"/>
        <w:numPr>
          <w:ilvl w:val="0"/>
          <w:numId w:val="8"/>
        </w:numPr>
      </w:pPr>
      <w:r>
        <w:t xml:space="preserve">Que l'index 2027 est </w:t>
      </w:r>
      <w:r>
        <w:rPr>
          <w:b/>
        </w:rPr>
        <w:t xml:space="preserve">reconstruit</w:t>
      </w:r>
      <w:r>
        <w:t xml:space="preserve">, pas décalé : c'est ce qui garantit 35 040 pas et pas 35 096.</w:t>
      </w:r>
    </w:p>
    <w:p>
      <w:pPr>
        <w:pStyle w:val="Heading2"/>
      </w:pPr>
      <w:r>
        <w:t xml:space="preserve">Étapes 8 et 9 — De l'anomalie de volume à la courbe de prix</w:t>
      </w:r>
    </w:p>
    <w:p>
      <w:pPr/>
      <w:r>
        <w:t xml:space="preserve">Quand il fait froid, notre portefeuille consomme plus </w:t>
      </w:r>
      <w:r>
        <w:rPr>
          <w:b/>
        </w:rPr>
        <w:t xml:space="preserve">et</w:t>
      </w:r>
      <w:r>
        <w:t xml:space="preserve"> le spot monte : on achète davantage, plus cher. Toute cette partie sert à mettre un chiffre sur ce cumul.</w:t>
      </w:r>
    </w:p>
    <w:p>
      <w:pPr>
        <w:pStyle w:val="Heading3"/>
      </w:pPr>
      <w:r>
        <w:t xml:space="preserve">Étape 8 — la pente b</w:t>
      </w:r>
    </w:p>
    <w:p>
      <w:pPr/>
      <w:r>
        <w:t xml:space="preserve">Le risque n'est pas le volume seul ni le prix seul, c'est leur </w:t>
      </w:r>
      <w:r>
        <w:rPr>
          <w:b/>
        </w:rPr>
        <w:t xml:space="preserve">corrélation défavorable</w:t>
      </w:r>
      <w:r>
        <w:t xml:space="preserve">. On la mesure en trois temps :</w:t>
      </w:r>
    </w:p>
    <w:p>
      <w:pPr>
        <w:pStyle w:val="ListParagraph"/>
        <w:numPr>
          <w:ilvl w:val="0"/>
          <w:numId w:val="9"/>
        </w:numPr>
      </w:pPr>
      <w:r>
        <w:rPr>
          <w:b/>
        </w:rPr>
        <w:t xml:space="preserve">Anomalie de volume</w:t>
      </w:r>
      <w:r>
        <w:t xml:space="preserve"> du jour = </w:t>
      </w:r>
      <w:r>
        <w:rPr>
          <w:rStyle w:val="CodeChar"/>
        </w:rPr>
        <w:t xml:space="preserve">(volume réel − volume normal) / volume normal</w:t>
      </w:r>
      <w:r>
        <w:t xml:space="preserve">.</w:t>
      </w:r>
    </w:p>
    <w:p>
      <w:pPr>
        <w:pStyle w:val="ListParagraph"/>
        <w:numPr>
          <w:ilvl w:val="0"/>
          <w:numId w:val="9"/>
        </w:numPr>
      </w:pPr>
      <w:r>
        <w:rPr>
          <w:b/>
        </w:rPr>
        <w:t xml:space="preserve">Anomalie de prix</w:t>
      </w:r>
      <w:r>
        <w:t xml:space="preserve"> du jour = </w:t>
      </w:r>
      <w:r>
        <w:rPr>
          <w:rStyle w:val="CodeChar"/>
        </w:rPr>
        <w:t xml:space="preserve">(prix du jour − moyenne du mois) / moyenne du mois</w:t>
      </w:r>
      <w:r>
        <w:t xml:space="preserve">. On retire la moyenne mensuelle pour éliminer la tendance de niveau et ne garder que l'écart propre au jour.</w:t>
      </w:r>
    </w:p>
    <w:p>
      <w:pPr>
        <w:pStyle w:val="ListParagraph"/>
        <w:numPr>
          <w:ilvl w:val="0"/>
          <w:numId w:val="9"/>
        </w:numPr>
      </w:pPr>
      <w:r>
        <w:rPr>
          <w:b/>
        </w:rPr>
        <w:t xml:space="preserve">Régresser</w:t>
      </w:r>
      <w:r>
        <w:t xml:space="preserve"> la seconde sur la première, </w:t>
      </w:r>
      <w:r>
        <w:rPr>
          <w:b/>
        </w:rPr>
        <w:t xml:space="preserve">sur les mois d'hiver uniquement</w:t>
      </w:r>
      <w:r>
        <w:t xml:space="preserve"> (janvier, février, mars, novembre, décembre) : ailleurs le gradient est nul, donc l'anomalie de volume l'est aussi et la régression n'aurait aucun sens.</w:t>
      </w:r>
    </w:p>
    <w:p>
      <w:pPr/>
      <w:r>
        <w:rPr>
          <w:b/>
        </w:rPr>
        <w:t xml:space="preserve">Un exemple pour fixer les idées</w:t>
      </w:r>
      <w:r>
        <w:t xml:space="preserve"> (scénario 2021). Le 13 février, le portefeuille consomme 1 974,96 MWh là où la température normale en prévoyait 1 728,62 : anomalie de volume de </w:t>
      </w:r>
      <w:r>
        <w:rPr>
          <w:b/>
        </w:rPr>
        <w:t xml:space="preserve">+14,3 %</w:t>
      </w:r>
      <w:r>
        <w:t xml:space="preserve">.</w:t>
      </w:r>
    </w:p>
    <w:p>
      <w:pPr/>
      <w:r>
        <w:t xml:space="preserve">Côté prix, la normalisation mensuelle n'est pas un raffinement. La moyenne spot passe de 49,01 €/MWh en février à 274,67 € en décembre 2021 — un facteur 5,6 qui est celui de la crise gazière, pas de la météo.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Jour</w:t>
            </w:r>
          </w:p>
        </w:tc>
        <w:tc>
          <w:tcPr>
            <w:tcW w:w="2340" w:type="dxa"/>
            <w:shd w:val="clear" w:color="auto" w:fill="F2F2F2"/>
          </w:tcPr>
          <w:p>
            <w:pPr/>
            <w:r>
              <w:t xml:space="preserve">Prix brut</w:t>
            </w:r>
          </w:p>
        </w:tc>
        <w:tc>
          <w:tcPr>
            <w:tcW w:w="2340" w:type="dxa"/>
            <w:shd w:val="clear" w:color="auto" w:fill="F2F2F2"/>
          </w:tcPr>
          <w:p>
            <w:pPr/>
            <w:r>
              <w:t xml:space="preserve">Moyenne de son mois</w:t>
            </w:r>
          </w:p>
        </w:tc>
        <w:tc>
          <w:tcPr>
            <w:tcW w:w="2340" w:type="dxa"/>
            <w:shd w:val="clear" w:color="auto" w:fill="F2F2F2"/>
          </w:tcPr>
          <w:p>
            <w:pPr/>
            <w:r>
              <w:t xml:space="preserve">Anomalie</w:t>
            </w:r>
          </w:p>
        </w:tc>
      </w:tr>
      <w:tr>
        <w:tc>
          <w:tcPr>
            <w:tcW w:w="2340" w:type="dxa"/>
          </w:tcPr>
          <w:p>
            <w:pPr/>
            <w:r>
              <w:t xml:space="preserve">11 février</w:t>
            </w:r>
          </w:p>
        </w:tc>
        <w:tc>
          <w:tcPr>
            <w:tcW w:w="2340" w:type="dxa"/>
          </w:tcPr>
          <w:p>
            <w:pPr/>
            <w:r>
              <w:t xml:space="preserve">79,01 €/MWh</w:t>
            </w:r>
          </w:p>
        </w:tc>
        <w:tc>
          <w:tcPr>
            <w:tcW w:w="2340" w:type="dxa"/>
          </w:tcPr>
          <w:p>
            <w:pPr/>
            <w:r>
              <w:t xml:space="preserve">49,01</w:t>
            </w:r>
          </w:p>
        </w:tc>
        <w:tc>
          <w:tcPr>
            <w:tcW w:w="2340" w:type="dxa"/>
          </w:tcPr>
          <w:p>
            <w:pPr/>
            <w:r>
              <w:rPr>
                <w:b/>
              </w:rPr>
              <w:t xml:space="preserve">+61 %</w:t>
            </w:r>
          </w:p>
        </w:tc>
      </w:tr>
      <w:tr>
        <w:tc>
          <w:tcPr>
            <w:tcW w:w="2340" w:type="dxa"/>
          </w:tcPr>
          <w:p>
            <w:pPr/>
            <w:r>
              <w:t xml:space="preserve">30 décembre</w:t>
            </w:r>
          </w:p>
        </w:tc>
        <w:tc>
          <w:tcPr>
            <w:tcW w:w="2340" w:type="dxa"/>
          </w:tcPr>
          <w:p>
            <w:pPr/>
            <w:r>
              <w:t xml:space="preserve">105,74 €/MWh</w:t>
            </w:r>
          </w:p>
        </w:tc>
        <w:tc>
          <w:tcPr>
            <w:tcW w:w="2340" w:type="dxa"/>
          </w:tcPr>
          <w:p>
            <w:pPr/>
            <w:r>
              <w:t xml:space="preserve">274,67</w:t>
            </w:r>
          </w:p>
        </w:tc>
        <w:tc>
          <w:tcPr>
            <w:tcW w:w="2340" w:type="dxa"/>
          </w:tcPr>
          <w:p>
            <w:pPr/>
            <w:r>
              <w:rPr>
                <w:b/>
              </w:rPr>
              <w:t xml:space="preserve">−61 %</w:t>
            </w:r>
          </w:p>
        </w:tc>
      </w:tr>
    </w:tbl>
    <w:p>
      <w:pPr/>
      <w:r>
        <w:t xml:space="preserve">Le 30 décembre coûte </w:t>
      </w:r>
      <w:r>
        <w:rPr>
          <w:b/>
        </w:rPr>
        <w:t xml:space="preserve">plus cher en valeur absolue</w:t>
      </w:r>
      <w:r>
        <w:t xml:space="preserve"> et reste pourtant un jour bon marché. Sans retirer la moyenne de son mois, on conclurait exactement l'inverse.</w:t>
      </w:r>
    </w:p>
    <w:p>
      <w:pPr/>
      <w:r>
        <w:t xml:space="preserve">Quant à la restriction à l'hiver, ce n'est pas une précaution mais une nécessité arithmétique : d'avril à octobre </w:t>
      </w:r>
      <w:r>
        <w:rPr>
          <w:rStyle w:val="CodeChar"/>
        </w:rPr>
        <w:t xml:space="preserve">g = 0</w:t>
      </w:r>
      <w:r>
        <w:t xml:space="preserve">, donc le volume réel égale </w:t>
      </w:r>
      <w:r>
        <w:rPr>
          <w:b/>
        </w:rPr>
        <w:t xml:space="preserve">exactement</w:t>
      </w:r>
      <w:r>
        <w:t xml:space="preserve"> le volume normal et l'anomalie vaut 0,000 tous les jours. </w:t>
      </w:r>
      <w:r>
        <w:rPr>
          <w:rStyle w:val="CodeChar"/>
        </w:rPr>
        <w:t xml:space="preserve">np.var(x)</w:t>
      </w:r>
      <w:r>
        <w:t xml:space="preserve"> serait nul, et </w:t>
      </w:r>
      <w:r>
        <w:rPr>
          <w:rStyle w:val="CodeChar"/>
        </w:rPr>
        <w:t xml:space="preserve">b = Cov / Var</w:t>
      </w:r>
      <w:r>
        <w:t xml:space="preserve"> </w:t>
      </w:r>
      <w:r>
        <w:rPr>
          <w:b/>
        </w:rPr>
        <w:t xml:space="preserve">diviserait par zéro</w:t>
      </w:r>
      <w:r>
        <w:t xml:space="preserve">.</w:t>
      </w:r>
    </w:p>
    <w:p>
      <w:pPr/>
      <w:r>
        <w:t xml:space="preserve">Enfin, le lien est loin d'être parfait, et il faut savoir le dire : les 1er, 2 et 3 janvier 2021 affichent un volume en hausse (+3 à +5 %) et un prix en baisse (−15 à −21 %). Ce sont les fériés du Nouvel An — l'industrie est à l'arrêt et la demande nationale s'effondre, pendant que nos clients résidentiels chauffent toujours.</w:t>
      </w:r>
    </w:p>
    <w:p>
      <w:pPr>
        <w:pStyle w:val="Code"/>
      </w:pPr>
      <w:bookmarkStart w:id="18" w:name="bongo_lang_python_18"/>
      <w:bookmarkEnd w:id="18"/>
      <w:r>
        <w:t xml:space="preserve">prix_jour = prix_horaire.groupby(prix_horaire.index.date).mean()</w:t>
        <w:br/>
        <w:t xml:space="preserve">moyenne_mois = prix_jour.groupby(prix_jour.index.month).transform("mean")</w:t>
        <w:br/>
        <w:t xml:space="preserve">tab["anomalie_prix"] = (prix_jour - moyenne_mois) / moyenne_mois</w:t>
        <w:br/>
        <w:t xml:space="preserve">tab["anomalie_volume"] = (tab["volume_reel"] - tab["volume_normal"]) / tab["volume_normal"]</w:t>
      </w:r>
    </w:p>
    <w:p/>
    <w:p>
      <w:pPr>
        <w:pStyle w:val="Code"/>
      </w:pPr>
      <w:bookmarkStart w:id="19" w:name="bongo_lang_python_19"/>
      <w:bookmarkEnd w:id="19"/>
      <w:r>
        <w:t xml:space="preserve">def pente_prix_volume(tab):</w:t>
        <w:br/>
        <w:t xml:space="preserve">    x = tab["anomalie_volume"].to_numpy()</w:t>
        <w:br/>
        <w:t xml:space="preserve">    y = tab["anomalie_prix"].to_numpy()</w:t>
        <w:br/>
        <w:t xml:space="preserve">    b = np.cov(x, y, ddof=0)[0, 1] / np.var(x)</w:t>
        <w:br/>
        <w:t xml:space="preserve">    r = np.corrcoef(x, y)[0, 1]</w:t>
        <w:br/>
        <w:t xml:space="preserve">    residus = y - (y.mean() + b * (x - x.mean()))</w:t>
        <w:br/>
        <w:t xml:space="preserve">    se = np.sqrt((residus ** 2).sum() / (n - 2) / ((x - x.mean()) ** 2).sum())</w:t>
        <w:br/>
        <w:t xml:space="preserve">    return {"b": b, "r": r, "r2": r ** 2, "n": n, "se": se, "t": b / se}</w:t>
      </w:r>
    </w:p>
    <w:p>
      <w:pPr/>
      <w:r>
        <w:rPr>
          <w:rStyle w:val="CodeChar"/>
        </w:rPr>
        <w:t xml:space="preserve">b = Cov(x, y) / Var(x)</w:t>
      </w:r>
      <w:r>
        <w:t xml:space="preserve"> est la pente des moindres carrés, écrite directement. Les trois sorties suivantes répondent à l'exigence du §3.2 (</w:t>
      </w:r>
      <w:r>
        <w:rPr>
          <w:i/>
        </w:rPr>
        <w:t xml:space="preserve">check the quality of the regression</w:t>
      </w:r>
      <w:r>
        <w:t xml:space="preserv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Scénario</w:t>
            </w:r>
          </w:p>
        </w:tc>
        <w:tc>
          <w:tcPr>
            <w:tcW w:w="1560" w:type="dxa"/>
            <w:shd w:val="clear" w:color="auto" w:fill="F2F2F2"/>
          </w:tcPr>
          <w:p>
            <w:pPr/>
            <w:r>
              <w:t xml:space="preserve">b</w:t>
            </w:r>
          </w:p>
        </w:tc>
        <w:tc>
          <w:tcPr>
            <w:tcW w:w="1560" w:type="dxa"/>
            <w:shd w:val="clear" w:color="auto" w:fill="F2F2F2"/>
          </w:tcPr>
          <w:p>
            <w:pPr/>
            <w:r>
              <w:t xml:space="preserve">r</w:t>
            </w:r>
          </w:p>
        </w:tc>
        <w:tc>
          <w:tcPr>
            <w:tcW w:w="1560" w:type="dxa"/>
            <w:shd w:val="clear" w:color="auto" w:fill="F2F2F2"/>
          </w:tcPr>
          <w:p>
            <w:pPr/>
            <w:r>
              <w:t xml:space="preserve">r²</w:t>
            </w:r>
          </w:p>
        </w:tc>
        <w:tc>
          <w:tcPr>
            <w:tcW w:w="1560" w:type="dxa"/>
            <w:shd w:val="clear" w:color="auto" w:fill="F2F2F2"/>
          </w:tcPr>
          <w:p>
            <w:pPr/>
            <w:r>
              <w:t xml:space="preserve">t</w:t>
            </w:r>
          </w:p>
        </w:tc>
        <w:tc>
          <w:tcPr>
            <w:tcW w:w="1560" w:type="dxa"/>
            <w:shd w:val="clear" w:color="auto" w:fill="F2F2F2"/>
          </w:tcPr>
          <w:p>
            <w:pPr/>
            <w:r>
              <w:t xml:space="preserve">n jours</w:t>
            </w:r>
          </w:p>
        </w:tc>
      </w:tr>
      <w:tr>
        <w:tc>
          <w:tcPr>
            <w:tcW w:w="1560" w:type="dxa"/>
          </w:tcPr>
          <w:p>
            <w:pPr/>
            <w:r>
              <w:t xml:space="preserve">2021</w:t>
            </w:r>
          </w:p>
        </w:tc>
        <w:tc>
          <w:tcPr>
            <w:tcW w:w="1560" w:type="dxa"/>
          </w:tcPr>
          <w:p>
            <w:pPr/>
            <w:r>
              <w:t xml:space="preserve">+1,930</w:t>
            </w:r>
          </w:p>
        </w:tc>
        <w:tc>
          <w:tcPr>
            <w:tcW w:w="1560" w:type="dxa"/>
          </w:tcPr>
          <w:p>
            <w:pPr/>
            <w:r>
              <w:t xml:space="preserve">+0,499</w:t>
            </w:r>
          </w:p>
        </w:tc>
        <w:tc>
          <w:tcPr>
            <w:tcW w:w="1560" w:type="dxa"/>
          </w:tcPr>
          <w:p>
            <w:pPr/>
            <w:r>
              <w:t xml:space="preserve">0,249</w:t>
            </w:r>
          </w:p>
        </w:tc>
        <w:tc>
          <w:tcPr>
            <w:tcW w:w="1560" w:type="dxa"/>
          </w:tcPr>
          <w:p>
            <w:pPr/>
            <w:r>
              <w:t xml:space="preserve">+7,0</w:t>
            </w:r>
          </w:p>
        </w:tc>
        <w:tc>
          <w:tcPr>
            <w:tcW w:w="1560" w:type="dxa"/>
          </w:tcPr>
          <w:p>
            <w:pPr/>
            <w:r>
              <w:t xml:space="preserve">151</w:t>
            </w:r>
          </w:p>
        </w:tc>
      </w:tr>
      <w:tr>
        <w:tc>
          <w:tcPr>
            <w:tcW w:w="1560" w:type="dxa"/>
          </w:tcPr>
          <w:p>
            <w:pPr/>
            <w:r>
              <w:t xml:space="preserve">2023</w:t>
            </w:r>
          </w:p>
        </w:tc>
        <w:tc>
          <w:tcPr>
            <w:tcW w:w="1560" w:type="dxa"/>
          </w:tcPr>
          <w:p>
            <w:pPr/>
            <w:r>
              <w:t xml:space="preserve">+3,620</w:t>
            </w:r>
          </w:p>
        </w:tc>
        <w:tc>
          <w:tcPr>
            <w:tcW w:w="1560" w:type="dxa"/>
          </w:tcPr>
          <w:p>
            <w:pPr/>
            <w:r>
              <w:t xml:space="preserve">+0,623</w:t>
            </w:r>
          </w:p>
        </w:tc>
        <w:tc>
          <w:tcPr>
            <w:tcW w:w="1560" w:type="dxa"/>
          </w:tcPr>
          <w:p>
            <w:pPr/>
            <w:r>
              <w:t xml:space="preserve">0,388</w:t>
            </w:r>
          </w:p>
        </w:tc>
        <w:tc>
          <w:tcPr>
            <w:tcW w:w="1560" w:type="dxa"/>
          </w:tcPr>
          <w:p>
            <w:pPr/>
            <w:r>
              <w:t xml:space="preserve">+9,7</w:t>
            </w:r>
          </w:p>
        </w:tc>
        <w:tc>
          <w:tcPr>
            <w:tcW w:w="1560" w:type="dxa"/>
          </w:tcPr>
          <w:p>
            <w:pPr/>
            <w:r>
              <w:t xml:space="preserve">151</w:t>
            </w:r>
          </w:p>
        </w:tc>
      </w:tr>
      <w:tr>
        <w:tc>
          <w:tcPr>
            <w:tcW w:w="1560" w:type="dxa"/>
          </w:tcPr>
          <w:p>
            <w:pPr/>
            <w:r>
              <w:t xml:space="preserve">2024</w:t>
            </w:r>
          </w:p>
        </w:tc>
        <w:tc>
          <w:tcPr>
            <w:tcW w:w="1560" w:type="dxa"/>
          </w:tcPr>
          <w:p>
            <w:pPr/>
            <w:r>
              <w:t xml:space="preserve">+2,023</w:t>
            </w:r>
          </w:p>
        </w:tc>
        <w:tc>
          <w:tcPr>
            <w:tcW w:w="1560" w:type="dxa"/>
          </w:tcPr>
          <w:p>
            <w:pPr/>
            <w:r>
              <w:t xml:space="preserve">+0,371</w:t>
            </w:r>
          </w:p>
        </w:tc>
        <w:tc>
          <w:tcPr>
            <w:tcW w:w="1560" w:type="dxa"/>
          </w:tcPr>
          <w:p>
            <w:pPr/>
            <w:r>
              <w:t xml:space="preserve">0,138</w:t>
            </w:r>
          </w:p>
        </w:tc>
        <w:tc>
          <w:tcPr>
            <w:tcW w:w="1560" w:type="dxa"/>
          </w:tcPr>
          <w:p>
            <w:pPr/>
            <w:r>
              <w:t xml:space="preserve">+4,9</w:t>
            </w:r>
          </w:p>
        </w:tc>
        <w:tc>
          <w:tcPr>
            <w:tcW w:w="1560" w:type="dxa"/>
          </w:tcPr>
          <w:p>
            <w:pPr/>
            <w:r>
              <w:t xml:space="preserve">152</w:t>
            </w:r>
          </w:p>
        </w:tc>
      </w:tr>
      <w:tr>
        <w:tc>
          <w:tcPr>
            <w:tcW w:w="1560" w:type="dxa"/>
          </w:tcPr>
          <w:p>
            <w:pPr/>
            <w:r>
              <w:rPr>
                <w:b/>
              </w:rPr>
              <w:t xml:space="preserve">Mutualisée</w:t>
            </w:r>
          </w:p>
        </w:tc>
        <w:tc>
          <w:tcPr>
            <w:tcW w:w="1560" w:type="dxa"/>
          </w:tcPr>
          <w:p>
            <w:pPr/>
            <w:r>
              <w:rPr>
                <w:b/>
              </w:rPr>
              <w:t xml:space="preserve">+2,451</w:t>
            </w:r>
          </w:p>
        </w:tc>
        <w:tc>
          <w:tcPr>
            <w:tcW w:w="1560" w:type="dxa"/>
          </w:tcPr>
          <w:p>
            <w:pPr/>
            <w:r>
              <w:t xml:space="preserve">+0,493</w:t>
            </w:r>
          </w:p>
        </w:tc>
        <w:tc>
          <w:tcPr>
            <w:tcW w:w="1560" w:type="dxa"/>
          </w:tcPr>
          <w:p>
            <w:pPr/>
            <w:r>
              <w:t xml:space="preserve">0,243</w:t>
            </w:r>
          </w:p>
        </w:tc>
        <w:tc>
          <w:tcPr>
            <w:tcW w:w="1560" w:type="dxa"/>
          </w:tcPr>
          <w:p>
            <w:pPr/>
            <w:r>
              <w:t xml:space="preserve">+12,1</w:t>
            </w:r>
          </w:p>
        </w:tc>
        <w:tc>
          <w:tcPr>
            <w:tcW w:w="1560" w:type="dxa"/>
          </w:tcPr>
          <w:p>
            <w:pPr/>
            <w:r>
              <w:t xml:space="preserve">454</w:t>
            </w:r>
          </w:p>
        </w:tc>
      </w:tr>
    </w:tbl>
    <w:p>
      <w:pPr/>
      <w:r>
        <w:rPr>
          <w:b/>
        </w:rPr>
        <w:t xml:space="preserve">Comment lire b = +2,451</w:t>
      </w:r>
      <w:r>
        <w:t xml:space="preserve"> : un jour où notre volume est 1 % au-dessus de la normale, le spot est en moyenne 2,45 % au-dessus de la moyenne de son mois.</w:t>
      </w:r>
    </w:p>
    <w:p>
      <w:pPr/>
      <w:r>
        <w:rPr>
          <w:b/>
        </w:rPr>
        <w:t xml:space="preserve">Comment lire le reste</w:t>
      </w:r>
      <w:r>
        <w:t xml:space="preserve"> : le t de +12,1 dit que la pente n'est pas un hasard. Mais le r² de 0,243 dit que </w:t>
      </w:r>
      <w:r>
        <w:rPr>
          <w:b/>
        </w:rPr>
        <w:t xml:space="preserve">le volume n'explique qu'un quart de la variance du prix</w:t>
      </w:r>
      <w:r>
        <w:t xml:space="preserve"> — les trois autres quarts viennent du gaz, du nucléaire, du vent. C'est précisément pour ça que le code teste ensuite la sensibilité de la décision à b, et c'est l'honnêteté qui est valorisée ici.</w:t>
      </w:r>
    </w:p>
    <w:p>
      <w:pPr/>
      <w:r>
        <w:rPr>
          <w:b/>
        </w:rPr>
        <w:t xml:space="preserve">Pourquoi mutualiser</w:t>
      </w:r>
      <w:r>
        <w:t xml:space="preserve"> : les b annuels vont de 1,93 à 3,62, presque du simple au double. Une pente estimée sur 454 jours est plus stable que n'importe laquelle des trois.</w:t>
      </w:r>
    </w:p>
    <w:p>
      <w:pPr>
        <w:pStyle w:val="Heading3"/>
      </w:pPr>
      <w:r>
        <w:t xml:space="preserve">Étape 9 — Level × Shape</w:t>
      </w:r>
    </w:p>
    <w:p>
      <w:pPr/>
      <w:r>
        <w:t xml:space="preserve">La règle du cours : </w:t>
      </w:r>
      <w:r>
        <w:rPr>
          <w:b/>
        </w:rPr>
        <w:t xml:space="preserve">on ne réutilise jamais le niveau de prix historique</w:t>
      </w:r>
      <w:r>
        <w:t xml:space="preserve">. 2021 moyennait 109 €/MWh, 2024 seulement 58 €/MWh ; ces niveaux appartiennent à leur année et ne disent rien de 2027. Ce qu'on garde d'une année passée, c'est sa </w:t>
      </w:r>
      <w:r>
        <w:rPr>
          <w:b/>
        </w:rPr>
        <w:t xml:space="preserve">forme</w:t>
      </w:r>
      <w:r>
        <w:t xml:space="preserve"> : la façon dont le prix se répartit entre les heures et les jours.</w:t>
      </w:r>
    </w:p>
    <w:p>
      <w:pPr/>
      <w:r>
        <w:rPr>
          <w:b/>
        </w:rPr>
        <w:t xml:space="preserve">Trois mots à poser avant d'aller plus loin.</w:t>
      </w:r>
    </w:p>
    <w:p>
      <w:pPr/>
      <w:r>
        <w:t xml:space="preserve">Un </w:t>
      </w:r>
      <w:r>
        <w:rPr>
          <w:b/>
        </w:rPr>
        <w:t xml:space="preserve">forward</w:t>
      </w:r>
      <w:r>
        <w:t xml:space="preserve"> est un contrat qui fixe aujourd'hui le prix d'une livraison future. Acheter le Cal-27 Base à 83,31 €/MWh le 22 septembre 2026, c'est s'engager à payer ce prix pour de l'électricité livrée tout au long de 2027, quel que soit le prix </w:t>
      </w:r>
      <w:r>
        <w:rPr>
          <w:b/>
        </w:rPr>
        <w:t xml:space="preserve">spot</w:t>
      </w:r>
      <w:r>
        <w:t xml:space="preserve"> — le prix du marché au jour le jour — une fois l'échéance venue. C'est l'instrument même de la couverture : il supprime l'incertitude sur le prix, en échange de quoi on renonce à profiter d'une baisse.</w:t>
      </w:r>
    </w:p>
    <w:p>
      <w:pPr/>
      <w:r>
        <w:t xml:space="preserve">La </w:t>
      </w:r>
      <w:r>
        <w:rPr>
          <w:b/>
        </w:rPr>
        <w:t xml:space="preserve">prime de risque</w:t>
      </w:r>
      <w:r>
        <w:t xml:space="preserve"> </w:t>
      </w:r>
      <w:r>
        <w:rPr>
          <w:rStyle w:val="CodeChar"/>
        </w:rPr>
        <w:t xml:space="preserve">π</w:t>
      </w:r>
      <w:r>
        <w:t xml:space="preserve"> est l'écart entre ce prix et ce que le marché anticipe réellement. Celui qui vous vend un forward porte le risque à votre place, et il se fait payer pour ça : le forward se situe donc systématiquement </w:t>
      </w:r>
      <w:r>
        <w:rPr>
          <w:b/>
        </w:rPr>
        <w:t xml:space="preserve">un peu au-dessus de l'espérance du spot</w:t>
      </w:r>
      <w:r>
        <w:t xml:space="preserve">. Le cours fixe cette prime à 3 %, et le code la nomme </w:t>
      </w:r>
      <w:r>
        <w:rPr>
          <w:rStyle w:val="CodeChar"/>
        </w:rPr>
        <w:t xml:space="preserve">PRIME_DE_RISQUE</w:t>
      </w:r>
      <w:r>
        <w:t xml:space="preserve">.</w:t>
      </w:r>
    </w:p>
    <w:p>
      <w:pPr/>
      <w:r>
        <w:t xml:space="preserve">Le </w:t>
      </w:r>
      <w:r>
        <w:rPr>
          <w:b/>
        </w:rPr>
        <w:t xml:space="preserve">Level</w:t>
      </w:r>
      <w:r>
        <w:t xml:space="preserve"> est le prix spot </w:t>
      </w:r>
      <w:r>
        <w:rPr>
          <w:b/>
        </w:rPr>
        <w:t xml:space="preserve">moyen</w:t>
      </w:r>
      <w:r>
        <w:t xml:space="preserve"> retenu pour toute l'année 2027 dans un scénario donné. Un seul nombre par scénario — 80,72 pour 2021, 78,00 pour 2023, 77,46 pour 2024 — autour duquel la </w:t>
      </w:r>
      <w:r>
        <w:rPr>
          <w:b/>
        </w:rPr>
        <w:t xml:space="preserve">Shape</w:t>
      </w:r>
      <w:r>
        <w:t xml:space="preserve"> fera ensuite osciller le prix heure par heure.</w:t>
      </w:r>
    </w:p>
    <w:p>
      <w:pPr>
        <w:pStyle w:val="Code"/>
      </w:pPr>
      <w:bookmarkStart w:id="20" w:name="bongo_lang_latex_20"/>
      <w:bookmarkEnd w:id="20"/>
      <w:r>
        <w:t xml:space="preserve">\text{Level} = F_{T1} \times (1 - \pi) \times (1 + b \times 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Terme</w:t>
            </w:r>
          </w:p>
        </w:tc>
        <w:tc>
          <w:tcPr>
            <w:tcW w:w="3120" w:type="dxa"/>
            <w:shd w:val="clear" w:color="auto" w:fill="F2F2F2"/>
          </w:tcPr>
          <w:p>
            <w:pPr/>
            <w:r>
              <w:t xml:space="preserve">Valeur</w:t>
            </w:r>
          </w:p>
        </w:tc>
        <w:tc>
          <w:tcPr>
            <w:tcW w:w="3120" w:type="dxa"/>
            <w:shd w:val="clear" w:color="auto" w:fill="F2F2F2"/>
          </w:tcPr>
          <w:p>
            <w:pPr/>
            <w:r>
              <w:t xml:space="preserve">Ce qu'il apporte</w:t>
            </w:r>
          </w:p>
        </w:tc>
      </w:tr>
      <w:tr>
        <w:tc>
          <w:tcPr>
            <w:tcW w:w="3120" w:type="dxa"/>
          </w:tcPr>
          <w:p>
            <w:pPr/>
            <w:r>
              <w:rPr>
                <w:rStyle w:val="CodeChar"/>
              </w:rPr>
              <w:t xml:space="preserve">F_T1</w:t>
            </w:r>
          </w:p>
        </w:tc>
        <w:tc>
          <w:tcPr>
            <w:tcW w:w="3120" w:type="dxa"/>
          </w:tcPr>
          <w:p>
            <w:pPr/>
            <w:r>
              <w:t xml:space="preserve">83,31 €/MWh</w:t>
            </w:r>
          </w:p>
        </w:tc>
        <w:tc>
          <w:tcPr>
            <w:tcW w:w="3120" w:type="dxa"/>
          </w:tcPr>
          <w:p>
            <w:pPr/>
            <w:r>
              <w:t xml:space="preserve">le niveau que le marché price au 22/09/2026</w:t>
            </w:r>
          </w:p>
        </w:tc>
      </w:tr>
      <w:tr>
        <w:tc>
          <w:tcPr>
            <w:tcW w:w="3120" w:type="dxa"/>
          </w:tcPr>
          <w:p>
            <w:pPr/>
            <w:r>
              <w:rPr>
                <w:rStyle w:val="CodeChar"/>
              </w:rPr>
              <w:t xml:space="preserve">(1 − π)</w:t>
            </w:r>
          </w:p>
        </w:tc>
        <w:tc>
          <w:tcPr>
            <w:tcW w:w="3120" w:type="dxa"/>
          </w:tcPr>
          <w:p>
            <w:pPr/>
            <w:r>
              <w:t xml:space="preserve">π = 3 %</w:t>
            </w:r>
          </w:p>
        </w:tc>
        <w:tc>
          <w:tcPr>
            <w:tcW w:w="3120" w:type="dxa"/>
          </w:tcPr>
          <w:p>
            <w:pPr/>
            <w:r>
              <w:t xml:space="preserve">un forward n'est pas une prévision : c'est un prix payé pour que quelqu'un porte le risque. L'espérance du spot est en dessous.</w:t>
            </w:r>
          </w:p>
        </w:tc>
      </w:tr>
      <w:tr>
        <w:tc>
          <w:tcPr>
            <w:tcW w:w="3120" w:type="dxa"/>
          </w:tcPr>
          <w:p>
            <w:pPr/>
            <w:r>
              <w:rPr>
                <w:rStyle w:val="CodeChar"/>
              </w:rPr>
              <w:t xml:space="preserve">(1 + b × a)</w:t>
            </w:r>
          </w:p>
        </w:tc>
        <w:tc>
          <w:tcPr>
            <w:tcW w:w="3120" w:type="dxa"/>
          </w:tcPr>
          <w:p>
            <w:pPr/>
            <w:r>
              <w:t xml:space="preserve">b = 2,451</w:t>
            </w:r>
          </w:p>
        </w:tc>
        <w:tc>
          <w:tcPr>
            <w:tcW w:w="3120" w:type="dxa"/>
          </w:tcPr>
          <w:p>
            <w:pPr/>
            <w:r>
              <w:t xml:space="preserve">corrige du lien prix-volume : un scénario froid a une anomalie </w:t>
            </w:r>
            <w:r>
              <w:rPr>
                <w:rStyle w:val="CodeChar"/>
              </w:rPr>
              <w:t xml:space="preserve">a</w:t>
            </w:r>
            <w:r>
              <w:t xml:space="preserve"> positive, donc un Level plus haut</w:t>
            </w:r>
          </w:p>
        </w:tc>
      </w:tr>
    </w:tbl>
    <w:p>
      <w:pPr>
        <w:pStyle w:val="Code"/>
      </w:pPr>
      <w:bookmarkStart w:id="21" w:name="bongo_lang_python_21"/>
      <w:bookmarkEnd w:id="21"/>
      <w:r>
        <w:t xml:space="preserve">def scenario_spot(prix_hist, niveau, index_cible):</w:t>
        <w:br/>
        <w:t xml:space="preserve">    forme = prix_hist / prix_hist.mean()</w:t>
        <w:br/>
        <w:t xml:space="preserve">    valeurs = _reindexer_par_calendrier(forme, index_cible).fillna(1.0)</w:t>
        <w:br/>
        <w:t xml:space="preserve">    return pd.Series(niveau * valeurs.to_numpy(), index=index_cible, name="spot")</w:t>
      </w:r>
    </w:p>
    <w:p>
      <w:pPr/>
      <w:r>
        <w:rPr>
          <w:rStyle w:val="CodeChar"/>
        </w:rPr>
        <w:t xml:space="preserve">forme</w:t>
      </w:r>
      <w:r>
        <w:t xml:space="preserve"> a une moyenne de 1 </w:t>
      </w:r>
      <w:r>
        <w:rPr>
          <w:b/>
        </w:rPr>
        <w:t xml:space="preserve">par construction</w:t>
      </w:r>
      <w:r>
        <w:t xml:space="preserve">. Multipliée par le Level, elle donne une courbe 2027 dont la moyenne vaut exactement le Level. C'est tout le mécanisme.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Scénario</w:t>
            </w:r>
          </w:p>
        </w:tc>
        <w:tc>
          <w:tcPr>
            <w:tcW w:w="1560" w:type="dxa"/>
            <w:shd w:val="clear" w:color="auto" w:fill="F2F2F2"/>
          </w:tcPr>
          <w:p>
            <w:pPr/>
            <w:r>
              <w:t xml:space="preserve">T moyenne</w:t>
            </w:r>
          </w:p>
        </w:tc>
        <w:tc>
          <w:tcPr>
            <w:tcW w:w="1560" w:type="dxa"/>
            <w:shd w:val="clear" w:color="auto" w:fill="F2F2F2"/>
          </w:tcPr>
          <w:p>
            <w:pPr/>
            <w:r>
              <w:t xml:space="preserve">Anomalie volume</w:t>
            </w:r>
          </w:p>
        </w:tc>
        <w:tc>
          <w:tcPr>
            <w:tcW w:w="1560" w:type="dxa"/>
            <w:shd w:val="clear" w:color="auto" w:fill="F2F2F2"/>
          </w:tcPr>
          <w:p>
            <w:pPr/>
            <w:r>
              <w:t xml:space="preserve">Level</w:t>
            </w:r>
          </w:p>
        </w:tc>
        <w:tc>
          <w:tcPr>
            <w:tcW w:w="1560" w:type="dxa"/>
            <w:shd w:val="clear" w:color="auto" w:fill="F2F2F2"/>
          </w:tcPr>
          <w:p>
            <w:pPr/>
            <w:r>
              <w:t xml:space="preserve">Prix pondéré</w:t>
            </w:r>
          </w:p>
        </w:tc>
        <w:tc>
          <w:tcPr>
            <w:tcW w:w="1560" w:type="dxa"/>
            <w:shd w:val="clear" w:color="auto" w:fill="F2F2F2"/>
          </w:tcPr>
          <w:p>
            <w:pPr/>
            <w:r>
              <w:t xml:space="preserve">Surcoût</w:t>
            </w:r>
          </w:p>
        </w:tc>
      </w:tr>
      <w:tr>
        <w:tc>
          <w:tcPr>
            <w:tcW w:w="1560" w:type="dxa"/>
          </w:tcPr>
          <w:p>
            <w:pPr/>
            <w:r>
              <w:t xml:space="preserve">2021</w:t>
            </w:r>
          </w:p>
        </w:tc>
        <w:tc>
          <w:tcPr>
            <w:tcW w:w="1560" w:type="dxa"/>
          </w:tcPr>
          <w:p>
            <w:pPr/>
            <w:r>
              <w:t xml:space="preserve">12,68 °C</w:t>
            </w:r>
          </w:p>
        </w:tc>
        <w:tc>
          <w:tcPr>
            <w:tcW w:w="1560" w:type="dxa"/>
          </w:tcPr>
          <w:p>
            <w:pPr/>
            <w:r>
              <w:t xml:space="preserve">−0,05 %</w:t>
            </w:r>
          </w:p>
        </w:tc>
        <w:tc>
          <w:tcPr>
            <w:tcW w:w="1560" w:type="dxa"/>
          </w:tcPr>
          <w:p>
            <w:pPr/>
            <w:r>
              <w:t xml:space="preserve">80,72</w:t>
            </w:r>
          </w:p>
        </w:tc>
        <w:tc>
          <w:tcPr>
            <w:tcW w:w="1560" w:type="dxa"/>
          </w:tcPr>
          <w:p>
            <w:pPr/>
            <w:r>
              <w:t xml:space="preserve">87,37</w:t>
            </w:r>
          </w:p>
        </w:tc>
        <w:tc>
          <w:tcPr>
            <w:tcW w:w="1560" w:type="dxa"/>
          </w:tcPr>
          <w:p>
            <w:pPr/>
            <w:r>
              <w:rPr>
                <w:b/>
              </w:rPr>
              <w:t xml:space="preserve">+6,65</w:t>
            </w:r>
          </w:p>
        </w:tc>
      </w:tr>
      <w:tr>
        <w:tc>
          <w:tcPr>
            <w:tcW w:w="1560" w:type="dxa"/>
          </w:tcPr>
          <w:p>
            <w:pPr/>
            <w:r>
              <w:t xml:space="preserve">2023</w:t>
            </w:r>
          </w:p>
        </w:tc>
        <w:tc>
          <w:tcPr>
            <w:tcW w:w="1560" w:type="dxa"/>
          </w:tcPr>
          <w:p>
            <w:pPr/>
            <w:r>
              <w:t xml:space="preserve">14,17 °C</w:t>
            </w:r>
          </w:p>
        </w:tc>
        <w:tc>
          <w:tcPr>
            <w:tcW w:w="1560" w:type="dxa"/>
          </w:tcPr>
          <w:p>
            <w:pPr/>
            <w:r>
              <w:t xml:space="preserve">−1,42 %</w:t>
            </w:r>
          </w:p>
        </w:tc>
        <w:tc>
          <w:tcPr>
            <w:tcW w:w="1560" w:type="dxa"/>
          </w:tcPr>
          <w:p>
            <w:pPr/>
            <w:r>
              <w:t xml:space="preserve">78,00</w:t>
            </w:r>
          </w:p>
        </w:tc>
        <w:tc>
          <w:tcPr>
            <w:tcW w:w="1560" w:type="dxa"/>
          </w:tcPr>
          <w:p>
            <w:pPr/>
            <w:r>
              <w:t xml:space="preserve">82,17</w:t>
            </w:r>
          </w:p>
        </w:tc>
        <w:tc>
          <w:tcPr>
            <w:tcW w:w="1560" w:type="dxa"/>
          </w:tcPr>
          <w:p>
            <w:pPr/>
            <w:r>
              <w:rPr>
                <w:b/>
              </w:rPr>
              <w:t xml:space="preserve">+4,18</w:t>
            </w:r>
          </w:p>
        </w:tc>
      </w:tr>
      <w:tr>
        <w:tc>
          <w:tcPr>
            <w:tcW w:w="1560" w:type="dxa"/>
          </w:tcPr>
          <w:p>
            <w:pPr/>
            <w:r>
              <w:t xml:space="preserve">2024</w:t>
            </w:r>
          </w:p>
        </w:tc>
        <w:tc>
          <w:tcPr>
            <w:tcW w:w="1560" w:type="dxa"/>
          </w:tcPr>
          <w:p>
            <w:pPr/>
            <w:r>
              <w:t xml:space="preserve">12,92 °C</w:t>
            </w:r>
          </w:p>
        </w:tc>
        <w:tc>
          <w:tcPr>
            <w:tcW w:w="1560" w:type="dxa"/>
          </w:tcPr>
          <w:p>
            <w:pPr/>
            <w:r>
              <w:t xml:space="preserve">−1,69 %</w:t>
            </w:r>
          </w:p>
        </w:tc>
        <w:tc>
          <w:tcPr>
            <w:tcW w:w="1560" w:type="dxa"/>
          </w:tcPr>
          <w:p>
            <w:pPr/>
            <w:r>
              <w:t xml:space="preserve">77,46</w:t>
            </w:r>
          </w:p>
        </w:tc>
        <w:tc>
          <w:tcPr>
            <w:tcW w:w="1560" w:type="dxa"/>
          </w:tcPr>
          <w:p>
            <w:pPr/>
            <w:r>
              <w:t xml:space="preserve">83,42</w:t>
            </w:r>
          </w:p>
        </w:tc>
        <w:tc>
          <w:tcPr>
            <w:tcW w:w="1560" w:type="dxa"/>
          </w:tcPr>
          <w:p>
            <w:pPr/>
            <w:r>
              <w:rPr>
                <w:b/>
              </w:rPr>
              <w:t xml:space="preserve">+5,98</w:t>
            </w:r>
          </w:p>
        </w:tc>
      </w:tr>
    </w:tbl>
    <w:p>
      <w:pPr>
        <w:pStyle w:val="Heading3"/>
      </w:pPr>
      <w:r>
        <w:t xml:space="preserve">Le chiffre à retenir</w:t>
      </w:r>
    </w:p>
    <w:p>
      <w:pPr/>
      <w:r>
        <w:t xml:space="preserve">Le </w:t>
      </w:r>
      <w:r>
        <w:rPr>
          <w:b/>
        </w:rPr>
        <w:t xml:space="preserve">prix pondéré</w:t>
      </w:r>
      <w:r>
        <w:t xml:space="preserve"> est le vrai coût moyen d'approvisionnement : </w:t>
      </w:r>
      <w:r>
        <w:rPr>
          <w:rStyle w:val="CodeChar"/>
        </w:rPr>
        <w:t xml:space="preserve">Σ(charge × prix) / Σcharge</w:t>
      </w:r>
      <w:r>
        <w:t xml:space="preserve">. Il est systématiquement au-dessus du prix moyen simple, parce qu'on consomme davantage aux heures où le prix est haut. L'écart entre les deux, </w:t>
      </w:r>
      <w:r>
        <w:rPr>
          <w:b/>
        </w:rPr>
        <w:t xml:space="preserve">+4,18 à +6,65 €/MWh selon le scénario, est le coût du risque prix-volume</w:t>
      </w:r>
      <w:r>
        <w:t xml:space="preserve">. C'est le chiffre qui justifie à lui seul qu'on se couvre.</w:t>
      </w:r>
    </w:p>
    <w:p>
      <w:pPr/>
      <w:r>
        <w:drawing>
          <wp:inline distT="0" distB="0" distL="0" distR="0">
            <wp:extent cx="5486400" cy="3914078"/>
            <wp:docPr id="5" name="image5"/>
            <a:graphic xmlns:a="http://schemas.openxmlformats.org/drawingml/2006/main">
              <a:graphicData uri="http://schemas.openxmlformats.org/drawingml/2006/picture">
                <pic:pic xmlns:pic="http://schemas.openxmlformats.org/drawingml/2006/picture">
                  <pic:nvPicPr>
                    <pic:cNvPr id="5" name="image5"/>
                    <pic:cNvPicPr/>
                  </pic:nvPicPr>
                  <pic:blipFill>
                    <a:blip r:embed="rIdFig5"/>
                    <a:stretch>
                      <a:fillRect/>
                    </a:stretch>
                  </pic:blipFill>
                  <pic:spPr>
                    <a:xfrm>
                      <a:off x="0" y="0"/>
                      <a:ext cx="5486400" cy="3914078"/>
                    </a:xfrm>
                    <a:prstGeom prst="rect">
                      <a:avLst/>
                    </a:prstGeom>
                  </pic:spPr>
                </pic:pic>
              </a:graphicData>
            </a:graphic>
          </wp:inline>
        </w:drawing>
      </w:r>
    </w:p>
    <w:p>
      <w:pPr/>
      <w:r>
        <w:rPr>
          <w:b/>
        </w:rPr>
        <w:t xml:space="preserve">C'est la figure que trace </w:t>
      </w:r>
      <w:r>
        <w:rPr>
          <w:rStyle w:val="CodeChar"/>
          <w:b/>
        </w:rPr>
        <w:t xml:space="preserve">outils/marche.py</w:t>
      </w:r>
      <w:r>
        <w:t xml:space="preserve">, ici sur le scénario 2021 (</w:t>
      </w:r>
      <w:r>
        <w:rPr>
          <w:rStyle w:val="CodeChar"/>
        </w:rPr>
        <w:t xml:space="preserve">ANNEE_HISTORIQUE = 2021</w:t>
      </w:r>
      <w:r>
        <w:t xml:space="preserve">). Les trois panneaux partagent le même axe de temps, et c'est tout l'intérêt : on lit la charge, le prix, puis le produit des deux, l'un sous l'autre.</w:t>
      </w:r>
    </w:p>
    <w:p>
      <w:pPr/>
      <w:r>
        <w:t xml:space="preserve">Le panneau du milieu, c'est la crise de 2021 telle qu'elle a eu lieu : un spot entre 20 et 100 €/MWh jusqu'en août, quelques heures négatives au printemps, puis une montée continue jusqu'à </w:t>
      </w:r>
      <w:r>
        <w:rPr>
          <w:b/>
        </w:rPr>
        <w:t xml:space="preserve">460 €/MWh fin décembre</w:t>
      </w:r>
      <w:r>
        <w:t xml:space="preserve">. Le panneau du bas est le coût journalier au spot, et il ne ressemble ni à la charge ni au prix : il ressemble à leur produit. Les journées à 700 k€ de décembre ne sont pas les plus chargées de l'année, ce sont celles où un prix extrême tombe sur une charge d'hiver.</w:t>
      </w:r>
    </w:p>
    <w:p>
      <w:pPr/>
      <w:r>
        <w:t xml:space="preserve">C'est exactement l'écart entre prix moyen et prix pondéré décrit juste au-dessus, rendu visible : un coût total ne se déduit pas d'un prix moyen. C'est aussi pourquoi un seul scénario ne suffit pas — le même fichier lancé sur 2023 ou 2024 donne une figure très différente, d'où la comparaison de l'étape 12.</w:t>
      </w:r>
    </w:p>
    <w:p>
      <w:pPr>
        <w:pStyle w:val="Heading3"/>
      </w:pPr>
      <w:r>
        <w:t xml:space="preserve">Ce qu'il faut savoir dire</w:t>
      </w:r>
    </w:p>
    <w:p>
      <w:pPr>
        <w:pStyle w:val="ListParagraph"/>
        <w:numPr>
          <w:ilvl w:val="0"/>
          <w:numId w:val="10"/>
        </w:numPr>
      </w:pPr>
      <w:r>
        <w:t xml:space="preserve">Pourquoi la forme est </w:t>
      </w:r>
      <w:r>
        <w:rPr>
          <w:b/>
        </w:rPr>
        <w:t xml:space="preserve">normalisée à 1</w:t>
      </w:r>
      <w:r>
        <w:t xml:space="preserve"> et pourquoi on jette le niveau historique.</w:t>
      </w:r>
    </w:p>
    <w:p>
      <w:pPr>
        <w:pStyle w:val="ListParagraph"/>
        <w:numPr>
          <w:ilvl w:val="0"/>
          <w:numId w:val="10"/>
        </w:numPr>
      </w:pPr>
      <w:r>
        <w:t xml:space="preserve">Ce que vaut le r² et ce qu'il impose (tester la sensibilité à b, ne pas sur-vendre la régression).</w:t>
      </w:r>
    </w:p>
    <w:p>
      <w:pPr>
        <w:pStyle w:val="ListParagraph"/>
        <w:numPr>
          <w:ilvl w:val="0"/>
          <w:numId w:val="10"/>
        </w:numPr>
      </w:pPr>
      <w:r>
        <w:t xml:space="preserve">La différence entre prix moyen et prix pondéré : c'est la question piège classique.</w:t>
      </w:r>
    </w:p>
    <w:p>
      <w:pPr>
        <w:pStyle w:val="Heading2"/>
      </w:pPr>
      <w:r>
        <w:t xml:space="preserve">Étape 10 — La méthode alpha</w:t>
      </w:r>
    </w:p>
    <w:p>
      <w:pPr/>
      <w:r>
        <w:t xml:space="preserve">Au T1 on décide ce qu'on laisse pour le T2, sans connaître le prix du T2 : il faut donc en faire une </w:t>
      </w:r>
      <w:r>
        <w:rPr>
          <w:b/>
        </w:rPr>
        <w:t xml:space="preserve">hypothèse assumée</w:t>
      </w:r>
      <w:r>
        <w:t xml:space="preserve">, identique pour tous les scénarios.</w:t>
      </w:r>
    </w:p>
    <w:p>
      <w:pPr>
        <w:pStyle w:val="Heading3"/>
      </w:pPr>
      <w:r>
        <w:t xml:space="preserve">La formule</w:t>
      </w:r>
    </w:p>
    <w:p>
      <w:pPr>
        <w:pStyle w:val="Code"/>
      </w:pPr>
      <w:bookmarkStart w:id="22" w:name="bongo_lang_latex_22"/>
      <w:bookmarkEnd w:id="22"/>
      <w:r>
        <w:t xml:space="preserve">F_{T2} = F_{T1} + \alpha \times (\text{Level} - F_{T1})</w:t>
      </w:r>
    </w:p>
    <w:p>
      <w:pPr/>
      <w:r>
        <w:rPr>
          <w:rStyle w:val="CodeChar"/>
        </w:rPr>
        <w:t xml:space="preserve">α</w:t>
      </w:r>
      <w:r>
        <w:t xml:space="preserve"> est le </w:t>
      </w:r>
      <w:r>
        <w:rPr>
          <w:b/>
        </w:rPr>
        <w:t xml:space="preserve">degré d'apprentissage du marché</w:t>
      </w:r>
      <w:r>
        <w:t xml:space="preserve"> entre le 22 septembre et le 1er décembre :</w:t>
      </w:r>
    </w:p>
    <w:p>
      <w:pPr>
        <w:pStyle w:val="ListParagraph"/>
        <w:numPr>
          <w:ilvl w:val="0"/>
          <w:numId w:val="11"/>
        </w:numPr>
      </w:pPr>
      <w:r>
        <w:rPr>
          <w:rStyle w:val="CodeChar"/>
        </w:rPr>
        <w:t xml:space="preserve">α = 0</w:t>
      </w:r>
      <w:r>
        <w:t xml:space="preserve"> : au 1er décembre, le marché n'a rien appris sur 2027, le forward n'a pas bougé.</w:t>
      </w:r>
    </w:p>
    <w:p>
      <w:pPr>
        <w:pStyle w:val="ListParagraph"/>
        <w:numPr>
          <w:ilvl w:val="0"/>
          <w:numId w:val="11"/>
        </w:numPr>
      </w:pPr>
      <w:r>
        <w:rPr>
          <w:rStyle w:val="CodeChar"/>
        </w:rPr>
        <w:t xml:space="preserve">α = 1</w:t>
      </w:r>
      <w:r>
        <w:t xml:space="preserve"> : au 1er décembre, le marché connaît déjà toute l'année 2027. Impossible.</w:t>
      </w:r>
    </w:p>
    <w:p>
      <w:pPr>
        <w:pStyle w:val="ListParagraph"/>
        <w:numPr>
          <w:ilvl w:val="0"/>
          <w:numId w:val="11"/>
        </w:numPr>
      </w:pPr>
      <w:r>
        <w:t xml:space="preserve">Entre les deux : une partie du scénario (perspectives d'hiver, stocks de gaz, premières prévisions de janvier) est déjà dans les prix.</w:t>
      </w:r>
    </w:p>
    <w:p>
      <w:pPr>
        <w:pStyle w:val="Code"/>
      </w:pPr>
      <w:bookmarkStart w:id="23" w:name="bongo_lang_python_23"/>
      <w:bookmarkEnd w:id="23"/>
      <w:r>
        <w:t xml:space="preserve">def forward_t2_anticipe(niveau, alpha, forward_t1=FORWARD_CAL27_T1):</w:t>
        <w:br/>
        <w:t xml:space="preserve">    return forward_t1 + alpha * (niveau - forward_t1)</w:t>
      </w:r>
    </w:p>
    <w:p>
      <w:pPr/>
      <w:r>
        <w:t xml:space="preserve">La constante vit en tête de </w:t>
      </w:r>
      <w:r>
        <w:rPr>
          <w:rStyle w:val="CodeChar"/>
        </w:rPr>
        <w:t xml:space="preserve">outils/couverture.py</w:t>
      </w:r>
      <w:r>
        <w:t xml:space="preserve"> et sert à tous les scénarios — le §3.3 exige qu'elle soit la même partout :</w:t>
      </w:r>
    </w:p>
    <w:p>
      <w:pPr>
        <w:pStyle w:val="Code"/>
      </w:pPr>
      <w:bookmarkStart w:id="24" w:name="bongo_lang_python_24"/>
      <w:bookmarkEnd w:id="24"/>
      <w:r>
        <w:t xml:space="preserve">ALPHA_T2 = 0.50    # part du scenario deja dans les prix au 01/12/2026</w:t>
      </w:r>
    </w:p>
    <w:p>
      <w:pPr>
        <w:pStyle w:val="Heading3"/>
      </w:pPr>
      <w:r>
        <w:t xml:space="preserve">Le contrôle de plausibilité</w:t>
      </w:r>
    </w:p>
    <w:p>
      <w:pPr/>
      <w:r>
        <w:t xml:space="preserve">On vient de fabriquer un prix de T2 à partir d'une hypothèse. Rien ne garantit encore qu'il soit crédible, d'où la question à se poser : </w:t>
      </w:r>
      <w:r>
        <w:rPr>
          <w:b/>
        </w:rPr>
        <w:t xml:space="preserve">le marché peut-il réellement bouger d'un tel montant en 70 jours ?</w:t>
      </w:r>
    </w:p>
    <w:p>
      <w:pPr/>
      <w:r>
        <w:t xml:space="preserve">La CRE donne de quoi répondre, avec une </w:t>
      </w:r>
      <w:r>
        <w:rPr>
          <w:b/>
        </w:rPr>
        <w:t xml:space="preserve">volatilité annuelle de 20 %</w:t>
      </w:r>
      <w:r>
        <w:t xml:space="preserve">. Comprendre : sur un an, le prix du Cal-27 s'écarte typiquement de 20 % de son point de départ, dans un sens </w:t>
      </w:r>
      <w:r>
        <w:rPr>
          <w:b/>
        </w:rPr>
        <w:t xml:space="preserve">ou</w:t>
      </w:r>
      <w:r>
        <w:t xml:space="preserve"> dans l'autre. Ce n'est pas une prévision de direction, c'est une amplitude de vagabondage.</w:t>
      </w:r>
    </w:p>
    <w:p>
      <w:pPr/>
      <w:r>
        <w:t xml:space="preserve">Sauf qu'il ne reste pas un an entre le T1 et le T2, mais 70 jours — </w:t>
      </w:r>
      <w:r>
        <w:rPr>
          <w:b/>
        </w:rPr>
        <w:t xml:space="preserve">19 % d'une année</w:t>
      </w:r>
      <w:r>
        <w:t xml:space="preserve">. Et un prix ne vagabonde pas proportionnellement au temps : il avance par pas aléatoires indépendants, si bien que c'est sa </w:t>
      </w:r>
      <w:r>
        <w:rPr>
          <w:b/>
        </w:rPr>
        <w:t xml:space="preserve">variance</w:t>
      </w:r>
      <w:r>
        <w:t xml:space="preserve"> qui croît avec le temps, et donc son écart-type avec la </w:t>
      </w:r>
      <w:r>
        <w:rPr>
          <w:b/>
        </w:rPr>
        <w:t xml:space="preserve">racine</w:t>
      </w:r>
      <w:r>
        <w:t xml:space="preserve"> du temps. Sur 70 jours, l'amplitude typique vaut </w:t>
      </w:r>
      <w:r>
        <w:rPr>
          <w:rStyle w:val="CodeChar"/>
        </w:rPr>
        <w:t xml:space="preserve">√(70/365) = 0,44</w:t>
      </w:r>
      <w:r>
        <w:t xml:space="preserve"> fois celle d'une année entière.</w:t>
      </w:r>
    </w:p>
    <w:p>
      <w:pPr>
        <w:pStyle w:val="Code"/>
      </w:pPr>
      <w:bookmarkStart w:id="25" w:name="bongo_lang_python_25"/>
      <w:bookmarkEnd w:id="25"/>
      <w:r>
        <w:t xml:space="preserve">def sigma_t2(forward_t1=FORWARD_CAL27_T1):</w:t>
        <w:br/>
        <w:t xml:space="preserve">    return forward_t1 * VOLATILITE_CRE * np.sqrt(JOURS_T1_T2 / 365.0)</w:t>
      </w:r>
    </w:p>
    <w:p>
      <w:pPr/>
      <w:r>
        <w:rPr>
          <w:rStyle w:val="CodeChar"/>
        </w:rPr>
        <w:t xml:space="preserve">83,31 × 0,20 × 0,438 = 7,30 €/MWh</w:t>
      </w:r>
      <w:r>
        <w:t xml:space="preserve">. À un écart-type, le forward du 1er décembre avait donc toutes les chances de tomber dans </w:t>
      </w:r>
      <w:r>
        <w:rPr>
          <w:b/>
        </w:rPr>
        <w:t xml:space="preserve">[76,01 ; 90,61]</w:t>
      </w:r>
      <w:r>
        <w:t xml:space="preserve">. Tout ce qui sort largement de cette fourchette doit être justifié par autre chose que le hasard de marché.</w:t>
      </w:r>
    </w:p>
    <w:p>
      <w:pPr/>
      <w:r>
        <w:t xml:space="preserve">Ce calcul n'est pas de notre invention : le prof le pose à l'identique en session 4 et cite ses deux sources — Hull, </w:t>
      </w:r>
      <w:r>
        <w:rPr>
          <w:i/>
        </w:rPr>
        <w:t xml:space="preserve">Options, Futures and Other Derivatives</w:t>
      </w:r>
      <w:r>
        <w:t xml:space="preserve">, pour la mise à l'échelle en racine du temps, et la délibération CRE n° 2026-06 pour les 20 %. Il annonce lui-même « environ ±7 €/MWh sur 70 jours à 20 % de volatilité ».</w:t>
      </w:r>
    </w:p>
    <w:p>
      <w:pPr>
        <w:pStyle w:val="Heading3"/>
      </w:pPr>
      <w:r>
        <w:t xml:space="preserve">Ce que ça a donné</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Scénario</w:t>
            </w:r>
          </w:p>
        </w:tc>
        <w:tc>
          <w:tcPr>
            <w:tcW w:w="1560" w:type="dxa"/>
            <w:shd w:val="clear" w:color="auto" w:fill="F2F2F2"/>
          </w:tcPr>
          <w:p>
            <w:pPr/>
            <w:r>
              <w:t xml:space="preserve">Level</w:t>
            </w:r>
          </w:p>
        </w:tc>
        <w:tc>
          <w:tcPr>
            <w:tcW w:w="1560" w:type="dxa"/>
            <w:shd w:val="clear" w:color="auto" w:fill="F2F2F2"/>
          </w:tcPr>
          <w:p>
            <w:pPr/>
            <w:r>
              <w:t xml:space="preserve">α = 0,2</w:t>
            </w:r>
          </w:p>
        </w:tc>
        <w:tc>
          <w:tcPr>
            <w:tcW w:w="1560" w:type="dxa"/>
            <w:shd w:val="clear" w:color="auto" w:fill="F2F2F2"/>
          </w:tcPr>
          <w:p>
            <w:pPr/>
            <w:r>
              <w:t xml:space="preserve">α = 0,5</w:t>
            </w:r>
          </w:p>
        </w:tc>
        <w:tc>
          <w:tcPr>
            <w:tcW w:w="1560" w:type="dxa"/>
            <w:shd w:val="clear" w:color="auto" w:fill="F2F2F2"/>
          </w:tcPr>
          <w:p>
            <w:pPr/>
            <w:r>
              <w:t xml:space="preserve">α = 0,6</w:t>
            </w:r>
          </w:p>
        </w:tc>
        <w:tc>
          <w:tcPr>
            <w:tcW w:w="1560" w:type="dxa"/>
            <w:shd w:val="clear" w:color="auto" w:fill="F2F2F2"/>
          </w:tcPr>
          <w:p>
            <w:pPr/>
            <w:r>
              <w:t xml:space="preserve">α qu'il aurait fallu</w:t>
            </w:r>
          </w:p>
        </w:tc>
      </w:tr>
      <w:tr>
        <w:tc>
          <w:tcPr>
            <w:tcW w:w="1560" w:type="dxa"/>
          </w:tcPr>
          <w:p>
            <w:pPr/>
            <w:r>
              <w:t xml:space="preserve">2021</w:t>
            </w:r>
          </w:p>
        </w:tc>
        <w:tc>
          <w:tcPr>
            <w:tcW w:w="1560" w:type="dxa"/>
          </w:tcPr>
          <w:p>
            <w:pPr/>
            <w:r>
              <w:t xml:space="preserve">80,72</w:t>
            </w:r>
          </w:p>
        </w:tc>
        <w:tc>
          <w:tcPr>
            <w:tcW w:w="1560" w:type="dxa"/>
          </w:tcPr>
          <w:p>
            <w:pPr/>
            <w:r>
              <w:t xml:space="preserve">82,79</w:t>
            </w:r>
          </w:p>
        </w:tc>
        <w:tc>
          <w:tcPr>
            <w:tcW w:w="1560" w:type="dxa"/>
          </w:tcPr>
          <w:p>
            <w:pPr/>
            <w:r>
              <w:t xml:space="preserve">82,02</w:t>
            </w:r>
          </w:p>
        </w:tc>
        <w:tc>
          <w:tcPr>
            <w:tcW w:w="1560" w:type="dxa"/>
          </w:tcPr>
          <w:p>
            <w:pPr/>
            <w:r>
              <w:t xml:space="preserve">81,76</w:t>
            </w:r>
          </w:p>
        </w:tc>
        <w:tc>
          <w:tcPr>
            <w:tcW w:w="1560" w:type="dxa"/>
          </w:tcPr>
          <w:p>
            <w:pPr/>
            <w:r>
              <w:rPr>
                <w:b/>
              </w:rPr>
              <w:t xml:space="preserve">3,71</w:t>
            </w:r>
          </w:p>
        </w:tc>
      </w:tr>
      <w:tr>
        <w:tc>
          <w:tcPr>
            <w:tcW w:w="1560" w:type="dxa"/>
          </w:tcPr>
          <w:p>
            <w:pPr/>
            <w:r>
              <w:t xml:space="preserve">2023</w:t>
            </w:r>
          </w:p>
        </w:tc>
        <w:tc>
          <w:tcPr>
            <w:tcW w:w="1560" w:type="dxa"/>
          </w:tcPr>
          <w:p>
            <w:pPr/>
            <w:r>
              <w:t xml:space="preserve">78,00</w:t>
            </w:r>
          </w:p>
        </w:tc>
        <w:tc>
          <w:tcPr>
            <w:tcW w:w="1560" w:type="dxa"/>
          </w:tcPr>
          <w:p>
            <w:pPr/>
            <w:r>
              <w:t xml:space="preserve">82,25</w:t>
            </w:r>
          </w:p>
        </w:tc>
        <w:tc>
          <w:tcPr>
            <w:tcW w:w="1560" w:type="dxa"/>
          </w:tcPr>
          <w:p>
            <w:pPr/>
            <w:r>
              <w:t xml:space="preserve">80,66</w:t>
            </w:r>
          </w:p>
        </w:tc>
        <w:tc>
          <w:tcPr>
            <w:tcW w:w="1560" w:type="dxa"/>
          </w:tcPr>
          <w:p>
            <w:pPr/>
            <w:r>
              <w:t xml:space="preserve">80,12</w:t>
            </w:r>
          </w:p>
        </w:tc>
        <w:tc>
          <w:tcPr>
            <w:tcW w:w="1560" w:type="dxa"/>
          </w:tcPr>
          <w:p>
            <w:pPr/>
            <w:r>
              <w:rPr>
                <w:b/>
              </w:rPr>
              <w:t xml:space="preserve">1,81</w:t>
            </w:r>
          </w:p>
        </w:tc>
      </w:tr>
      <w:tr>
        <w:tc>
          <w:tcPr>
            <w:tcW w:w="1560" w:type="dxa"/>
          </w:tcPr>
          <w:p>
            <w:pPr/>
            <w:r>
              <w:t xml:space="preserve">2024</w:t>
            </w:r>
          </w:p>
        </w:tc>
        <w:tc>
          <w:tcPr>
            <w:tcW w:w="1560" w:type="dxa"/>
          </w:tcPr>
          <w:p>
            <w:pPr/>
            <w:r>
              <w:t xml:space="preserve">77,46</w:t>
            </w:r>
          </w:p>
        </w:tc>
        <w:tc>
          <w:tcPr>
            <w:tcW w:w="1560" w:type="dxa"/>
          </w:tcPr>
          <w:p>
            <w:pPr/>
            <w:r>
              <w:t xml:space="preserve">82,14</w:t>
            </w:r>
          </w:p>
        </w:tc>
        <w:tc>
          <w:tcPr>
            <w:tcW w:w="1560" w:type="dxa"/>
          </w:tcPr>
          <w:p>
            <w:pPr/>
            <w:r>
              <w:t xml:space="preserve">80,39</w:t>
            </w:r>
          </w:p>
        </w:tc>
        <w:tc>
          <w:tcPr>
            <w:tcW w:w="1560" w:type="dxa"/>
          </w:tcPr>
          <w:p>
            <w:pPr/>
            <w:r>
              <w:t xml:space="preserve">79,80</w:t>
            </w:r>
          </w:p>
        </w:tc>
        <w:tc>
          <w:tcPr>
            <w:tcW w:w="1560" w:type="dxa"/>
          </w:tcPr>
          <w:p>
            <w:pPr/>
            <w:r>
              <w:rPr>
                <w:b/>
              </w:rPr>
              <w:t xml:space="preserve">1,64</w:t>
            </w:r>
          </w:p>
        </w:tc>
      </w:tr>
    </w:tbl>
    <w:p>
      <w:pPr/>
      <w:r>
        <w:t xml:space="preserve">Prix réel observé au T2 : </w:t>
      </w:r>
      <w:r>
        <w:rPr>
          <w:b/>
        </w:rPr>
        <w:t xml:space="preserve">73,70 €/MWh</w:t>
      </w:r>
      <w:r>
        <w:t xml:space="preserve">.</w:t>
      </w:r>
    </w:p>
    <w:p>
      <w:pPr>
        <w:pStyle w:val="Heading3"/>
      </w:pPr>
      <w:r>
        <w:t xml:space="preserve">La leçon, et c'est la plus intéressante du dossier</w:t>
      </w:r>
    </w:p>
    <w:p>
      <w:pPr/>
      <w:r>
        <w:rPr>
          <w:b/>
        </w:rPr>
        <w:t xml:space="preserve">Aucune valeur de α entre 0 et 1 ne pouvait atteindre 73,70</w:t>
      </w:r>
      <w:r>
        <w:t xml:space="preserve"> : il aurait fallu 1,64 à 3,71. Ce n'est donc pas un mauvais choix de α, c'est un problème de nature : la baisse n'était pas d'origine météo.</w:t>
      </w:r>
    </w:p>
    <w:p>
      <w:pPr/>
      <w:r>
        <w:t xml:space="preserve">Le contrôle CRE le confirme : 73,70 se situe à −1,3 sigma de 83,31, donc </w:t>
      </w:r>
      <w:r>
        <w:rPr>
          <w:b/>
        </w:rPr>
        <w:t xml:space="preserve">parfaitement plausible comme mouvement de marché</w:t>
      </w:r>
      <w:r>
        <w:t xml:space="preserve">, mais aucun scénario de température ne le décrit. C'est littéralement ce que le §3.3 attend d'un travail Outstanding : </w:t>
      </w:r>
      <w:r>
        <w:rPr>
          <w:i/>
        </w:rPr>
        <w:t xml:space="preserve">naming the limit of the assumption — the forward moves on gas, CO₂ and nuclear availability, which no weather scenario describes</w:t>
      </w:r>
      <w:r>
        <w:t xml:space="preserve">.</w:t>
      </w:r>
    </w:p>
    <w:p>
      <w:pPr/>
      <w:r>
        <w:t xml:space="preserve">Autre façon de le dire, plus parlante : notre couloir d'anticipations allait de 80,39 à 82,02, soit </w:t>
      </w:r>
      <w:r>
        <w:rPr>
          <w:b/>
        </w:rPr>
        <w:t xml:space="preserve">2 % de large</w:t>
      </w:r>
      <w:r>
        <w:t xml:space="preserve">, face à une volatilité de 20 % annualisés. Il était beaucoup trop étroit. Dites-le avant qu'on vous le dise.</w:t>
      </w:r>
    </w:p>
    <w:p>
      <w:pPr>
        <w:pStyle w:val="Heading3"/>
      </w:pPr>
      <w:r>
        <w:t xml:space="preserve">Ce qu'il faut savoir dire</w:t>
      </w:r>
    </w:p>
    <w:p>
      <w:pPr>
        <w:pStyle w:val="ListParagraph"/>
        <w:numPr>
          <w:ilvl w:val="0"/>
          <w:numId w:val="12"/>
        </w:numPr>
      </w:pPr>
      <w:r>
        <w:t xml:space="preserve">α est une </w:t>
      </w:r>
      <w:r>
        <w:rPr>
          <w:b/>
        </w:rPr>
        <w:t xml:space="preserve">hypothèse</w:t>
      </w:r>
      <w:r>
        <w:t xml:space="preserve">, pas une prévision, et elle doit être la même pour tous les scénarios.</w:t>
      </w:r>
    </w:p>
    <w:p>
      <w:pPr>
        <w:pStyle w:val="ListParagraph"/>
        <w:numPr>
          <w:ilvl w:val="0"/>
          <w:numId w:val="12"/>
        </w:numPr>
      </w:pPr>
      <w:r>
        <w:t xml:space="preserve">D'où vient le √t dans sigma.</w:t>
      </w:r>
    </w:p>
    <w:p>
      <w:pPr>
        <w:pStyle w:val="ListParagraph"/>
        <w:numPr>
          <w:ilvl w:val="0"/>
          <w:numId w:val="12"/>
        </w:numPr>
      </w:pPr>
      <w:r>
        <w:t xml:space="preserve">Que l'erreur d'anticipation a une cause </w:t>
      </w:r>
      <w:r>
        <w:rPr>
          <w:b/>
        </w:rPr>
        <w:t xml:space="preserve">nommable</w:t>
      </w:r>
      <w:r>
        <w:t xml:space="preserve"> (gaz, CO₂, nucléaire, demande), et qu'un modèle météo ne pouvait structurellement pas la voir.</w:t>
      </w:r>
    </w:p>
    <w:p>
      <w:pPr>
        <w:pStyle w:val="Heading2"/>
      </w:pPr>
      <w:r>
        <w:t xml:space="preserve">Étape 11 — Le mix de produits EEX</w:t>
      </w:r>
    </w:p>
    <w:p>
      <w:pPr/>
      <w:r>
        <w:t xml:space="preserve">« On couvre 70 % » ne veut rien dire pour un trader : ce qui s'achète, ce sont des </w:t>
      </w:r>
      <w:r>
        <w:rPr>
          <w:b/>
        </w:rPr>
        <w:t xml:space="preserve">MW constants livrés sur une période définie</w:t>
      </w:r>
      <w:r>
        <w:t xml:space="preserve">. Le §3.4 exige la conversion.</w:t>
      </w:r>
    </w:p>
    <w:p>
      <w:pPr>
        <w:pStyle w:val="Heading3"/>
      </w:pPr>
      <w:r>
        <w:t xml:space="preserve">Les produits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Famille</w:t>
            </w:r>
          </w:p>
        </w:tc>
        <w:tc>
          <w:tcPr>
            <w:tcW w:w="3120" w:type="dxa"/>
            <w:shd w:val="clear" w:color="auto" w:fill="F2F2F2"/>
          </w:tcPr>
          <w:p>
            <w:pPr/>
            <w:r>
              <w:t xml:space="preserve">Période de livraison</w:t>
            </w:r>
          </w:p>
        </w:tc>
        <w:tc>
          <w:tcPr>
            <w:tcW w:w="3120" w:type="dxa"/>
            <w:shd w:val="clear" w:color="auto" w:fill="F2F2F2"/>
          </w:tcPr>
          <w:p>
            <w:pPr/>
            <w:r>
              <w:t xml:space="preserve">Heures</w:t>
            </w:r>
          </w:p>
        </w:tc>
      </w:tr>
      <w:tr>
        <w:tc>
          <w:tcPr>
            <w:tcW w:w="3120" w:type="dxa"/>
          </w:tcPr>
          <w:p>
            <w:pPr/>
            <w:r>
              <w:t xml:space="preserve">Cal-27</w:t>
            </w:r>
          </w:p>
        </w:tc>
        <w:tc>
          <w:tcPr>
            <w:tcW w:w="3120" w:type="dxa"/>
          </w:tcPr>
          <w:p>
            <w:pPr/>
            <w:r>
              <w:t xml:space="preserve">01/01 au 31/12/2027</w:t>
            </w:r>
          </w:p>
        </w:tc>
        <w:tc>
          <w:tcPr>
            <w:tcW w:w="3120" w:type="dxa"/>
          </w:tcPr>
          <w:p>
            <w:pPr/>
            <w:r>
              <w:t xml:space="preserve">8 760</w:t>
            </w:r>
          </w:p>
        </w:tc>
      </w:tr>
      <w:tr>
        <w:tc>
          <w:tcPr>
            <w:tcW w:w="3120" w:type="dxa"/>
          </w:tcPr>
          <w:p>
            <w:pPr/>
            <w:r>
              <w:t xml:space="preserve">Q1-27 à Q4-27</w:t>
            </w:r>
          </w:p>
        </w:tc>
        <w:tc>
          <w:tcPr>
            <w:tcW w:w="3120" w:type="dxa"/>
          </w:tcPr>
          <w:p>
            <w:pPr/>
            <w:r>
              <w:t xml:space="preserve">le trimestre</w:t>
            </w:r>
          </w:p>
        </w:tc>
        <w:tc>
          <w:tcPr>
            <w:tcW w:w="3120" w:type="dxa"/>
          </w:tcPr>
          <w:p>
            <w:pPr/>
            <w:r>
              <w:t xml:space="preserve">2 159 à 2 209</w:t>
            </w:r>
          </w:p>
        </w:tc>
      </w:tr>
      <w:tr>
        <w:tc>
          <w:tcPr>
            <w:tcW w:w="3120" w:type="dxa"/>
          </w:tcPr>
          <w:p>
            <w:pPr/>
            <w:r>
              <w:t xml:space="preserve">Jan-27 à Jun-27</w:t>
            </w:r>
          </w:p>
        </w:tc>
        <w:tc>
          <w:tcPr>
            <w:tcW w:w="3120" w:type="dxa"/>
          </w:tcPr>
          <w:p>
            <w:pPr/>
            <w:r>
              <w:t xml:space="preserve">le mois</w:t>
            </w:r>
          </w:p>
        </w:tc>
        <w:tc>
          <w:tcPr>
            <w:tcW w:w="3120" w:type="dxa"/>
          </w:tcPr>
          <w:p>
            <w:pPr/>
            <w:r>
              <w:t xml:space="preserve">variable</w:t>
            </w:r>
          </w:p>
        </w:tc>
      </w:tr>
    </w:tbl>
    <w:p>
      <w:pPr/>
      <w:r>
        <w:t xml:space="preserve">Chacun existe en </w:t>
      </w:r>
      <w:r>
        <w:rPr>
          <w:b/>
        </w:rPr>
        <w:t xml:space="preserve">Base</w:t>
      </w:r>
      <w:r>
        <w:t xml:space="preserve"> (toutes les heures) et en </w:t>
      </w:r>
      <w:r>
        <w:rPr>
          <w:b/>
        </w:rPr>
        <w:t xml:space="preserve">Peak</w:t>
      </w:r>
      <w:r>
        <w:t xml:space="preserve"> (lundi-vendredi 8h-20h, </w:t>
      </w:r>
      <w:r>
        <w:rPr>
          <w:b/>
        </w:rPr>
        <w:t xml:space="preserve">jours fériés inclus</w:t>
      </w:r>
      <w:r>
        <w:t xml:space="preserve"> — retenez-le, ça ressort à l'étape 14).</w:t>
      </w:r>
    </w:p>
    <w:p>
      <w:pPr>
        <w:pStyle w:val="Heading3"/>
      </w:pPr>
      <w:r>
        <w:t xml:space="preserve">La brique centrale</w:t>
      </w:r>
    </w:p>
    <w:p>
      <w:pPr/>
      <w:r>
        <w:t xml:space="preserve">Une seule fonction dit, pour chaque pas de temps, si un produit livre ou non. Tout le reste en découle.</w:t>
      </w:r>
    </w:p>
    <w:p>
      <w:pPr>
        <w:pStyle w:val="Code"/>
      </w:pPr>
      <w:bookmarkStart w:id="26" w:name="bongo_lang_python_26"/>
      <w:bookmarkEnd w:id="26"/>
      <w:r>
        <w:t xml:space="preserve">def fenetre(produit, nature, index):</w:t>
        <w:br/>
        <w:t xml:space="preserve">    nom = produit.split("-")[0]</w:t>
        <w:br/>
        <w:t xml:space="preserve">    if nom == "Cal":</w:t>
        <w:br/>
        <w:t xml:space="preserve">        m = np.ones(len(index), dtype=bool)</w:t>
        <w:br/>
        <w:t xml:space="preserve">    elif nom[0] == "Q":</w:t>
        <w:br/>
        <w:t xml:space="preserve">        m = np.asarray(index.quarter) == int(nom[1:])</w:t>
        <w:br/>
        <w:t xml:space="preserve">    else:</w:t>
        <w:br/>
        <w:t xml:space="preserve">        m = np.asarray(index.month) == MOIS_EEX[nom]</w:t>
        <w:br/>
        <w:t xml:space="preserve">    if nature == "Peak":                   # lun-ven 08h-20h, jours feries inclus</w:t>
        <w:br/>
        <w:t xml:space="preserve">        m = m &amp; np.asarray(masque_peak(index))</w:t>
        <w:br/>
        <w:t xml:space="preserve">    return pd.Series(m, index=index)</w:t>
      </w:r>
    </w:p>
    <w:p/>
    <w:p>
      <w:pPr>
        <w:pStyle w:val="Code"/>
      </w:pPr>
      <w:bookmarkStart w:id="27" w:name="bongo_lang_python_27"/>
      <w:bookmarkEnd w:id="27"/>
      <w:r>
        <w:t xml:space="preserve">def livraison(mix, index):</w:t>
        <w:br/>
        <w:t xml:space="preserve">    out = pd.Series(0.0, index=index)</w:t>
        <w:br/>
        <w:t xml:space="preserve">    for (produit, nature), mw in mix.items():</w:t>
        <w:br/>
        <w:t xml:space="preserve">        out += mw * fenetre(produit, nature, index)</w:t>
        <w:br/>
        <w:t xml:space="preserve">    return out</w:t>
        <w:br/>
        <w:br/>
        <w:t xml:space="preserve">def cout_mix(mix, index, jalon="T1"):</w:t>
        <w:br/>
        <w:t xml:space="preserve">    return sum(mw * sc.prix_eex(p, n, jalon) * heures_livrees(p, n, index)</w:t>
        <w:br/>
        <w:t xml:space="preserve">               for (p, n), mw in mix.items())</w:t>
      </w:r>
    </w:p>
    <w:p>
      <w:pPr/>
      <w:r>
        <w:t xml:space="preserve">Un mix est un simple dictionnaire </w:t>
      </w:r>
      <w:r>
        <w:rPr>
          <w:rStyle w:val="CodeChar"/>
        </w:rPr>
        <w:t xml:space="preserve">{(produit, nature): MW}</w:t>
      </w:r>
      <w:r>
        <w:t xml:space="preserve">. </w:t>
      </w:r>
      <w:r>
        <w:rPr>
          <w:rStyle w:val="CodeChar"/>
        </w:rPr>
        <w:t xml:space="preserve">livraison()</w:t>
      </w:r>
      <w:r>
        <w:t xml:space="preserve"> donne la puissance couverte heure par heure, </w:t>
      </w:r>
      <w:r>
        <w:rPr>
          <w:rStyle w:val="CodeChar"/>
        </w:rPr>
        <w:t xml:space="preserve">cout_mix()</w:t>
      </w:r>
      <w:r>
        <w:t xml:space="preserve"> le coût fixe. </w:t>
      </w:r>
      <w:r>
        <w:rPr>
          <w:b/>
        </w:rPr>
        <w:t xml:space="preserve">Ces deux fonctions servent jusqu'à la fin du modèle</w:t>
      </w:r>
      <w:r>
        <w:t xml:space="preserve">, y compris pour le tableau 24 h du 1er janvier.</w:t>
      </w:r>
    </w:p>
    <w:p>
      <w:pPr>
        <w:pStyle w:val="Heading3"/>
      </w:pPr>
      <w:r>
        <w:t xml:space="preserve">Passer d'une part à des MW</w:t>
      </w:r>
    </w:p>
    <w:p>
      <w:pPr>
        <w:pStyle w:val="Code"/>
      </w:pPr>
      <w:bookmarkStart w:id="28" w:name="bongo_lang_python_28"/>
      <w:bookmarkEnd w:id="28"/>
      <w:r>
        <w:t xml:space="preserve">def construire_mix(part, volumes_q, index, forme=None, ratio_peak=1.32):</w:t>
        <w:br/>
        <w:t xml:space="preserve">    if forme == "cal":</w:t>
        <w:br/>
        <w:t xml:space="preserve">        return {("Cal-27", "Base"): part * sum(volumes_q.values())</w:t>
        <w:br/>
        <w:t xml:space="preserve">                                    / heures_livrees("Cal-27", "Base", index)}</w:t>
        <w:br/>
        <w:t xml:space="preserve">    mix = {}</w:t>
        <w:br/>
        <w:t xml:space="preserve">    for q, v in volumes_q.items():</w:t>
        <w:br/>
        <w:t xml:space="preserve">        produit = f"Q{q}-27"</w:t>
        <w:br/>
        <w:t xml:space="preserve">        h_base = heures_livrees(produit, "Base", index)</w:t>
        <w:br/>
        <w:t xml:space="preserve">        if forme == "trimestres+peak":</w:t>
        <w:br/>
        <w:t xml:space="preserve">            h_peak = heures_livrees(produit, "Peak", index)</w:t>
        <w:br/>
        <w:t xml:space="preserve">            b = part * v / (h_base + (ratio_peak - 1) * h_peak)</w:t>
        <w:br/>
        <w:t xml:space="preserve">            mix[(produit, "Base")] = b</w:t>
        <w:br/>
        <w:t xml:space="preserve">            mix[(produit, "Peak")] = b * (ratio_peak - 1)</w:t>
        <w:br/>
        <w:t xml:space="preserve">        else:</w:t>
        <w:br/>
        <w:t xml:space="preserve">            mix[(produit, "Base")] = part * v / h_base</w:t>
        <w:br/>
        <w:t xml:space="preserve">    return mix</w:t>
      </w:r>
    </w:p>
    <w:p>
      <w:pPr>
        <w:pStyle w:val="ListParagraph"/>
        <w:numPr>
          <w:ilvl w:val="0"/>
          <w:numId w:val="13"/>
        </w:numPr>
      </w:pPr>
      <w:r>
        <w:rPr>
          <w:b/>
        </w:rPr>
        <w:t xml:space="preserve">cal</w:t>
      </w:r>
      <w:r>
        <w:t xml:space="preserve"> — un seul ruban : </w:t>
      </w:r>
      <w:r>
        <w:rPr>
          <w:rStyle w:val="CodeChar"/>
        </w:rPr>
        <w:t xml:space="preserve">MW = part × volume annuel / 8760</w:t>
      </w:r>
      <w:r>
        <w:t xml:space="preserve">. La puissance livrée est la même en janvier et en août, alors que la consommation ne l'est pas.</w:t>
      </w:r>
    </w:p>
    <w:p>
      <w:pPr>
        <w:pStyle w:val="ListParagraph"/>
        <w:numPr>
          <w:ilvl w:val="0"/>
          <w:numId w:val="13"/>
        </w:numPr>
      </w:pPr>
      <w:r>
        <w:rPr>
          <w:b/>
        </w:rPr>
        <w:t xml:space="preserve">trimestres</w:t>
      </w:r>
      <w:r>
        <w:t xml:space="preserve"> — un ruban par trimestre, dimensionné sur le volume </w:t>
      </w:r>
      <w:r>
        <w:rPr>
          <w:b/>
        </w:rPr>
        <w:t xml:space="preserve">de ce trimestre</w:t>
      </w:r>
      <w:r>
        <w:t xml:space="preserve">. La couverture suit la saisonnalité.</w:t>
      </w:r>
    </w:p>
    <w:p>
      <w:pPr>
        <w:pStyle w:val="ListParagraph"/>
        <w:numPr>
          <w:ilvl w:val="0"/>
          <w:numId w:val="13"/>
        </w:numPr>
      </w:pPr>
      <w:r>
        <w:rPr>
          <w:b/>
        </w:rPr>
        <w:t xml:space="preserve">trimestres+peak</w:t>
      </w:r>
      <w:r>
        <w:t xml:space="preserve"> — on ajoute un bloc Peak tel que </w:t>
      </w:r>
      <w:r>
        <w:rPr>
          <w:rStyle w:val="CodeChar"/>
        </w:rPr>
        <w:t xml:space="preserve">(Base + Peak) / Base</w:t>
      </w:r>
      <w:r>
        <w:t xml:space="preserve"> égale le ratio de forme peak/off-peak de notre charge (1,32). La couverture suit alors aussi la forme intra-journalière.</w:t>
      </w:r>
    </w:p>
    <w:p>
      <w:pPr/>
      <w:r>
        <w:t xml:space="preserve">Pour ce dernier cas, le système à résoudre est : </w:t>
      </w:r>
      <w:r>
        <w:rPr>
          <w:rStyle w:val="CodeChar"/>
        </w:rPr>
        <w:t xml:space="preserve">B·H_total + P·H_peak = part × V</w:t>
      </w:r>
      <w:r>
        <w:t xml:space="preserve"> et </w:t>
      </w:r>
      <w:r>
        <w:rPr>
          <w:rStyle w:val="CodeChar"/>
        </w:rPr>
        <w:t xml:space="preserve">(B+P)/B = ratio</w:t>
      </w:r>
      <w:r>
        <w:t xml:space="preserve">, d'où </w:t>
      </w:r>
      <w:r>
        <w:rPr>
          <w:rStyle w:val="CodeChar"/>
        </w:rPr>
        <w:t xml:space="preserve">P = B(ratio−1)</w:t>
      </w:r>
      <w:r>
        <w:t xml:space="preserve"> puis </w:t>
      </w:r>
      <w:r>
        <w:rPr>
          <w:rStyle w:val="CodeChar"/>
        </w:rPr>
        <w:t xml:space="preserve">B = part·V / (H_total + (ratio−1)·H_peak)</w:t>
      </w:r>
      <w:r>
        <w:t xml:space="preserve">. C'est exactement la ligne du code.</w:t>
      </w:r>
    </w:p>
    <w:p>
      <w:pPr>
        <w:pStyle w:val="Heading3"/>
      </w:pPr>
      <w:r>
        <w:t xml:space="preserve">Le résultat, à couverture identique (70 %, soit 375 639 MWh)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Mix</w:t>
            </w:r>
          </w:p>
        </w:tc>
        <w:tc>
          <w:tcPr>
            <w:tcW w:w="2340" w:type="dxa"/>
            <w:shd w:val="clear" w:color="auto" w:fill="F2F2F2"/>
          </w:tcPr>
          <w:p>
            <w:pPr/>
            <w:r>
              <w:t xml:space="preserve">Produits</w:t>
            </w:r>
          </w:p>
        </w:tc>
        <w:tc>
          <w:tcPr>
            <w:tcW w:w="2340" w:type="dxa"/>
            <w:shd w:val="clear" w:color="auto" w:fill="F2F2F2"/>
          </w:tcPr>
          <w:p>
            <w:pPr/>
            <w:r>
              <w:t xml:space="preserve">Coût</w:t>
            </w:r>
          </w:p>
        </w:tc>
        <w:tc>
          <w:tcPr>
            <w:tcW w:w="2340" w:type="dxa"/>
            <w:shd w:val="clear" w:color="auto" w:fill="F2F2F2"/>
          </w:tcPr>
          <w:p>
            <w:pPr/>
            <w:r>
              <w:t xml:space="preserve">€/MWh</w:t>
            </w:r>
          </w:p>
        </w:tc>
      </w:tr>
      <w:tr>
        <w:tc>
          <w:tcPr>
            <w:tcW w:w="2340" w:type="dxa"/>
          </w:tcPr>
          <w:p>
            <w:pPr/>
            <w:r>
              <w:t xml:space="preserve">cal</w:t>
            </w:r>
          </w:p>
        </w:tc>
        <w:tc>
          <w:tcPr>
            <w:tcW w:w="2340" w:type="dxa"/>
          </w:tcPr>
          <w:p>
            <w:pPr/>
            <w:r>
              <w:t xml:space="preserve">1</w:t>
            </w:r>
          </w:p>
        </w:tc>
        <w:tc>
          <w:tcPr>
            <w:tcW w:w="2340" w:type="dxa"/>
          </w:tcPr>
          <w:p>
            <w:pPr/>
            <w:r>
              <w:t xml:space="preserve">31,29 M€</w:t>
            </w:r>
          </w:p>
        </w:tc>
        <w:tc>
          <w:tcPr>
            <w:tcW w:w="2340" w:type="dxa"/>
          </w:tcPr>
          <w:p>
            <w:pPr/>
            <w:r>
              <w:rPr>
                <w:b/>
              </w:rPr>
              <w:t xml:space="preserve">83,31</w:t>
            </w:r>
          </w:p>
        </w:tc>
      </w:tr>
      <w:tr>
        <w:tc>
          <w:tcPr>
            <w:tcW w:w="2340" w:type="dxa"/>
          </w:tcPr>
          <w:p>
            <w:pPr/>
            <w:r>
              <w:t xml:space="preserve">trimestres</w:t>
            </w:r>
          </w:p>
        </w:tc>
        <w:tc>
          <w:tcPr>
            <w:tcW w:w="2340" w:type="dxa"/>
          </w:tcPr>
          <w:p>
            <w:pPr/>
            <w:r>
              <w:t xml:space="preserve">4</w:t>
            </w:r>
          </w:p>
        </w:tc>
        <w:tc>
          <w:tcPr>
            <w:tcW w:w="2340" w:type="dxa"/>
          </w:tcPr>
          <w:p>
            <w:pPr/>
            <w:r>
              <w:t xml:space="preserve">32,89 M€</w:t>
            </w:r>
          </w:p>
        </w:tc>
        <w:tc>
          <w:tcPr>
            <w:tcW w:w="2340" w:type="dxa"/>
          </w:tcPr>
          <w:p>
            <w:pPr/>
            <w:r>
              <w:rPr>
                <w:b/>
              </w:rPr>
              <w:t xml:space="preserve">87,55</w:t>
            </w:r>
          </w:p>
        </w:tc>
      </w:tr>
      <w:tr>
        <w:tc>
          <w:tcPr>
            <w:tcW w:w="2340" w:type="dxa"/>
          </w:tcPr>
          <w:p>
            <w:pPr/>
            <w:r>
              <w:t xml:space="preserve">trimestres + peak</w:t>
            </w:r>
          </w:p>
        </w:tc>
        <w:tc>
          <w:tcPr>
            <w:tcW w:w="2340" w:type="dxa"/>
          </w:tcPr>
          <w:p>
            <w:pPr/>
            <w:r>
              <w:t xml:space="preserve">8</w:t>
            </w:r>
          </w:p>
        </w:tc>
        <w:tc>
          <w:tcPr>
            <w:tcW w:w="2340" w:type="dxa"/>
          </w:tcPr>
          <w:p>
            <w:pPr/>
            <w:r>
              <w:t xml:space="preserve">33,47 M€</w:t>
            </w:r>
          </w:p>
        </w:tc>
        <w:tc>
          <w:tcPr>
            <w:tcW w:w="2340" w:type="dxa"/>
          </w:tcPr>
          <w:p>
            <w:pPr/>
            <w:r>
              <w:rPr>
                <w:b/>
              </w:rPr>
              <w:t xml:space="preserve">89,11</w:t>
            </w:r>
          </w:p>
        </w:tc>
      </w:tr>
    </w:tbl>
    <w:p>
      <w:pPr/>
      <w:r>
        <w:t xml:space="preserve">Le détail du strip trimestriel aux prix du T1 :</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Produit</w:t>
            </w:r>
          </w:p>
        </w:tc>
        <w:tc>
          <w:tcPr>
            <w:tcW w:w="1560" w:type="dxa"/>
            <w:shd w:val="clear" w:color="auto" w:fill="F2F2F2"/>
          </w:tcPr>
          <w:p>
            <w:pPr/>
            <w:r>
              <w:t xml:space="preserve">MW</w:t>
            </w:r>
          </w:p>
        </w:tc>
        <w:tc>
          <w:tcPr>
            <w:tcW w:w="1560" w:type="dxa"/>
            <w:shd w:val="clear" w:color="auto" w:fill="F2F2F2"/>
          </w:tcPr>
          <w:p>
            <w:pPr/>
            <w:r>
              <w:t xml:space="preserve">Heures</w:t>
            </w:r>
          </w:p>
        </w:tc>
        <w:tc>
          <w:tcPr>
            <w:tcW w:w="1560" w:type="dxa"/>
            <w:shd w:val="clear" w:color="auto" w:fill="F2F2F2"/>
          </w:tcPr>
          <w:p>
            <w:pPr/>
            <w:r>
              <w:t xml:space="preserve">MWh</w:t>
            </w:r>
          </w:p>
        </w:tc>
        <w:tc>
          <w:tcPr>
            <w:tcW w:w="1560" w:type="dxa"/>
            <w:shd w:val="clear" w:color="auto" w:fill="F2F2F2"/>
          </w:tcPr>
          <w:p>
            <w:pPr/>
            <w:r>
              <w:t xml:space="preserve">Prix T1</w:t>
            </w:r>
          </w:p>
        </w:tc>
        <w:tc>
          <w:tcPr>
            <w:tcW w:w="1560" w:type="dxa"/>
            <w:shd w:val="clear" w:color="auto" w:fill="F2F2F2"/>
          </w:tcPr>
          <w:p>
            <w:pPr/>
            <w:r>
              <w:t xml:space="preserve">Coût</w:t>
            </w:r>
          </w:p>
        </w:tc>
      </w:tr>
      <w:tr>
        <w:tc>
          <w:tcPr>
            <w:tcW w:w="1560" w:type="dxa"/>
          </w:tcPr>
          <w:p>
            <w:pPr/>
            <w:r>
              <w:t xml:space="preserve">Q1-27 Base</w:t>
            </w:r>
          </w:p>
        </w:tc>
        <w:tc>
          <w:tcPr>
            <w:tcW w:w="1560" w:type="dxa"/>
          </w:tcPr>
          <w:p>
            <w:pPr/>
            <w:r>
              <w:t xml:space="preserve">49,58</w:t>
            </w:r>
          </w:p>
        </w:tc>
        <w:tc>
          <w:tcPr>
            <w:tcW w:w="1560" w:type="dxa"/>
          </w:tcPr>
          <w:p>
            <w:pPr/>
            <w:r>
              <w:t xml:space="preserve">2 159</w:t>
            </w:r>
          </w:p>
        </w:tc>
        <w:tc>
          <w:tcPr>
            <w:tcW w:w="1560" w:type="dxa"/>
          </w:tcPr>
          <w:p>
            <w:pPr/>
            <w:r>
              <w:t xml:space="preserve">107 054</w:t>
            </w:r>
          </w:p>
        </w:tc>
        <w:tc>
          <w:tcPr>
            <w:tcW w:w="1560" w:type="dxa"/>
          </w:tcPr>
          <w:p>
            <w:pPr/>
            <w:r>
              <w:t xml:space="preserve">139,00</w:t>
            </w:r>
          </w:p>
        </w:tc>
        <w:tc>
          <w:tcPr>
            <w:tcW w:w="1560" w:type="dxa"/>
          </w:tcPr>
          <w:p>
            <w:pPr/>
            <w:r>
              <w:t xml:space="preserve">14,88 M€</w:t>
            </w:r>
          </w:p>
        </w:tc>
      </w:tr>
      <w:tr>
        <w:tc>
          <w:tcPr>
            <w:tcW w:w="1560" w:type="dxa"/>
          </w:tcPr>
          <w:p>
            <w:pPr/>
            <w:r>
              <w:t xml:space="preserve">Q2-27 Base</w:t>
            </w:r>
          </w:p>
        </w:tc>
        <w:tc>
          <w:tcPr>
            <w:tcW w:w="1560" w:type="dxa"/>
          </w:tcPr>
          <w:p>
            <w:pPr/>
            <w:r>
              <w:t xml:space="preserve">37,91</w:t>
            </w:r>
          </w:p>
        </w:tc>
        <w:tc>
          <w:tcPr>
            <w:tcW w:w="1560" w:type="dxa"/>
          </w:tcPr>
          <w:p>
            <w:pPr/>
            <w:r>
              <w:t xml:space="preserve">2 184</w:t>
            </w:r>
          </w:p>
        </w:tc>
        <w:tc>
          <w:tcPr>
            <w:tcW w:w="1560" w:type="dxa"/>
          </w:tcPr>
          <w:p>
            <w:pPr/>
            <w:r>
              <w:t xml:space="preserve">82 805</w:t>
            </w:r>
          </w:p>
        </w:tc>
        <w:tc>
          <w:tcPr>
            <w:tcW w:w="1560" w:type="dxa"/>
          </w:tcPr>
          <w:p>
            <w:pPr/>
            <w:r>
              <w:t xml:space="preserve">45,18</w:t>
            </w:r>
          </w:p>
        </w:tc>
        <w:tc>
          <w:tcPr>
            <w:tcW w:w="1560" w:type="dxa"/>
          </w:tcPr>
          <w:p>
            <w:pPr/>
            <w:r>
              <w:t xml:space="preserve">3,74 M€</w:t>
            </w:r>
          </w:p>
        </w:tc>
      </w:tr>
      <w:tr>
        <w:tc>
          <w:tcPr>
            <w:tcW w:w="1560" w:type="dxa"/>
          </w:tcPr>
          <w:p>
            <w:pPr/>
            <w:r>
              <w:t xml:space="preserve">Q3-27 Base</w:t>
            </w:r>
          </w:p>
        </w:tc>
        <w:tc>
          <w:tcPr>
            <w:tcW w:w="1560" w:type="dxa"/>
          </w:tcPr>
          <w:p>
            <w:pPr/>
            <w:r>
              <w:t xml:space="preserve">36,47</w:t>
            </w:r>
          </w:p>
        </w:tc>
        <w:tc>
          <w:tcPr>
            <w:tcW w:w="1560" w:type="dxa"/>
          </w:tcPr>
          <w:p>
            <w:pPr/>
            <w:r>
              <w:t xml:space="preserve">2 208</w:t>
            </w:r>
          </w:p>
        </w:tc>
        <w:tc>
          <w:tcPr>
            <w:tcW w:w="1560" w:type="dxa"/>
          </w:tcPr>
          <w:p>
            <w:pPr/>
            <w:r>
              <w:t xml:space="preserve">80 517</w:t>
            </w:r>
          </w:p>
        </w:tc>
        <w:tc>
          <w:tcPr>
            <w:tcW w:w="1560" w:type="dxa"/>
          </w:tcPr>
          <w:p>
            <w:pPr/>
            <w:r>
              <w:t xml:space="preserve">61,09</w:t>
            </w:r>
          </w:p>
        </w:tc>
        <w:tc>
          <w:tcPr>
            <w:tcW w:w="1560" w:type="dxa"/>
          </w:tcPr>
          <w:p>
            <w:pPr/>
            <w:r>
              <w:t xml:space="preserve">4,92 M€</w:t>
            </w:r>
          </w:p>
        </w:tc>
      </w:tr>
      <w:tr>
        <w:tc>
          <w:tcPr>
            <w:tcW w:w="1560" w:type="dxa"/>
          </w:tcPr>
          <w:p>
            <w:pPr/>
            <w:r>
              <w:t xml:space="preserve">Q4-27 Base</w:t>
            </w:r>
          </w:p>
        </w:tc>
        <w:tc>
          <w:tcPr>
            <w:tcW w:w="1560" w:type="dxa"/>
          </w:tcPr>
          <w:p>
            <w:pPr/>
            <w:r>
              <w:t xml:space="preserve">47,65</w:t>
            </w:r>
          </w:p>
        </w:tc>
        <w:tc>
          <w:tcPr>
            <w:tcW w:w="1560" w:type="dxa"/>
          </w:tcPr>
          <w:p>
            <w:pPr/>
            <w:r>
              <w:t xml:space="preserve">2 209</w:t>
            </w:r>
          </w:p>
        </w:tc>
        <w:tc>
          <w:tcPr>
            <w:tcW w:w="1560" w:type="dxa"/>
          </w:tcPr>
          <w:p>
            <w:pPr/>
            <w:r>
              <w:t xml:space="preserve">105 263</w:t>
            </w:r>
          </w:p>
        </w:tc>
        <w:tc>
          <w:tcPr>
            <w:tcW w:w="1560" w:type="dxa"/>
          </w:tcPr>
          <w:p>
            <w:pPr/>
            <w:r>
              <w:t xml:space="preserve">88,78</w:t>
            </w:r>
          </w:p>
        </w:tc>
        <w:tc>
          <w:tcPr>
            <w:tcW w:w="1560" w:type="dxa"/>
          </w:tcPr>
          <w:p>
            <w:pPr/>
            <w:r>
              <w:t xml:space="preserve">9,35 M€</w:t>
            </w:r>
          </w:p>
        </w:tc>
      </w:tr>
    </w:tbl>
    <w:p>
      <w:pPr>
        <w:pStyle w:val="Heading3"/>
      </w:pPr>
      <w:r>
        <w:t xml:space="preserve">Deux lectures à ne pas rater</w:t>
      </w:r>
    </w:p>
    <w:p>
      <w:pPr/>
      <w:r>
        <w:rPr>
          <w:b/>
        </w:rPr>
        <w:t xml:space="preserve">Suivre la forme coûte 4,24 €/MWh.</w:t>
      </w:r>
      <w:r>
        <w:t xml:space="preserve"> Le ruban plat est le moins cher parce que le marché price une forte prime d'hiver (Q1-27 à 139 € contre 83,31 pour le Cal). Mais avec un ruban plat on est sous-couvert en janvier et sur-couvert en juillet : on reste exposé au spot exactement quand il est cher. C'est l'arbitrage, et le §3.4 demande qu'il soit </w:t>
      </w:r>
      <w:r>
        <w:rPr>
          <w:b/>
        </w:rPr>
        <w:t xml:space="preserve">argumenté</w:t>
      </w:r>
      <w:r>
        <w:t xml:space="preserve">, pas tranché par défaut.</w:t>
      </w:r>
    </w:p>
    <w:p>
      <w:pPr/>
      <w:r>
        <w:rPr>
          <w:b/>
        </w:rPr>
        <w:t xml:space="preserve">En Q2 et Q3, le Peak est moins cher que le Base</w:t>
      </w:r>
      <w:r>
        <w:t xml:space="preserve"> (35,04 contre 42,47 ; 48,52 contre 56,20). C'est la cannibalisation solaire : le photovoltaïque écrase les prix de milieu de journée. Comme nos profils pointent le soir (RES1 à 19h30), le Peak nous sert mal </w:t>
      </w:r>
      <w:r>
        <w:rPr>
          <w:b/>
        </w:rPr>
        <w:t xml:space="preserve">même bon marché</w:t>
      </w:r>
      <w:r>
        <w:t xml:space="preserve">. Rester en Base devient un choix justifié au lieu d'un choix par défaut.</w:t>
      </w:r>
    </w:p>
    <w:p>
      <w:pPr>
        <w:pStyle w:val="Heading3"/>
      </w:pPr>
      <w:r>
        <w:t xml:space="preserve">Ce qu'il faut savoir dire</w:t>
      </w:r>
    </w:p>
    <w:p>
      <w:pPr>
        <w:pStyle w:val="ListParagraph"/>
        <w:numPr>
          <w:ilvl w:val="0"/>
          <w:numId w:val="14"/>
        </w:numPr>
      </w:pPr>
      <w:r>
        <w:t xml:space="preserve">Qu'un pourcentage sans MW par produit ne répond pas à la question posée.</w:t>
      </w:r>
    </w:p>
    <w:p>
      <w:pPr>
        <w:pStyle w:val="ListParagraph"/>
        <w:numPr>
          <w:ilvl w:val="0"/>
          <w:numId w:val="14"/>
        </w:numPr>
      </w:pPr>
      <w:r>
        <w:t xml:space="preserve">Que la couverture totale ne doit </w:t>
      </w:r>
      <w:r>
        <w:rPr>
          <w:b/>
        </w:rPr>
        <w:t xml:space="preserve">jamais dépasser 100 %</w:t>
      </w:r>
      <w:r>
        <w:t xml:space="preserve"> du volume prévisionnel — le code affiche les deux ratios, sur la prévision et sur le réalisé.</w:t>
      </w:r>
    </w:p>
    <w:p>
      <w:pPr>
        <w:pStyle w:val="ListParagraph"/>
        <w:numPr>
          <w:ilvl w:val="0"/>
          <w:numId w:val="14"/>
        </w:numPr>
      </w:pPr>
      <w:r>
        <w:t xml:space="preserve">Pourquoi acheter du Peak d'été serait une erreur malgré son prix.</w:t>
      </w:r>
    </w:p>
    <w:p>
      <w:pPr>
        <w:pStyle w:val="Heading2"/>
      </w:pPr>
      <w:r>
        <w:t xml:space="preserve">Étape 12 — Les marges et le choix de stratégie</w:t>
      </w:r>
    </w:p>
    <w:p>
      <w:pPr/>
      <w:r>
        <w:t xml:space="preserve">La règle de décision n'est pas « la meilleure espérance », c'est </w:t>
      </w:r>
      <w:r>
        <w:rPr>
          <w:b/>
        </w:rPr>
        <w:t xml:space="preserve">la meilleure espérance parmi celles dont le pire cas tient le plancher</w:t>
      </w:r>
      <w:r>
        <w:t xml:space="preserve">. Une maximisation sous contrainte, pas une optimisation libre.</w:t>
      </w:r>
    </w:p>
    <w:p>
      <w:pPr>
        <w:pStyle w:val="Heading3"/>
      </w:pPr>
      <w:r>
        <w:t xml:space="preserve">Les paramètres, imposés à toutes les équipes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Paramètre</w:t>
            </w:r>
          </w:p>
        </w:tc>
        <w:tc>
          <w:tcPr>
            <w:tcW w:w="3120" w:type="dxa"/>
            <w:shd w:val="clear" w:color="auto" w:fill="F2F2F2"/>
          </w:tcPr>
          <w:p>
            <w:pPr/>
            <w:r>
              <w:t xml:space="preserve">Valeur</w:t>
            </w:r>
          </w:p>
        </w:tc>
        <w:tc>
          <w:tcPr>
            <w:tcW w:w="3120" w:type="dxa"/>
            <w:shd w:val="clear" w:color="auto" w:fill="F2F2F2"/>
          </w:tcPr>
          <w:p>
            <w:pPr/>
            <w:r>
              <w:t xml:space="preserve">Dans le code</w:t>
            </w:r>
          </w:p>
        </w:tc>
      </w:tr>
      <w:tr>
        <w:tc>
          <w:tcPr>
            <w:tcW w:w="3120" w:type="dxa"/>
          </w:tcPr>
          <w:p>
            <w:pPr/>
            <w:r>
              <w:t xml:space="preserve">Prix de vente, composante énergie</w:t>
            </w:r>
          </w:p>
        </w:tc>
        <w:tc>
          <w:tcPr>
            <w:tcW w:w="3120" w:type="dxa"/>
          </w:tcPr>
          <w:p>
            <w:pPr/>
            <w:r>
              <w:t xml:space="preserve">95 €/MWh</w:t>
            </w:r>
          </w:p>
        </w:tc>
        <w:tc>
          <w:tcPr>
            <w:tcW w:w="3120" w:type="dxa"/>
          </w:tcPr>
          <w:p>
            <w:pPr/>
            <w:r>
              <w:rPr>
                <w:rStyle w:val="CodeChar"/>
              </w:rPr>
              <w:t xml:space="preserve">PRIX_VENTE</w:t>
            </w:r>
          </w:p>
        </w:tc>
      </w:tr>
      <w:tr>
        <w:tc>
          <w:tcPr>
            <w:tcW w:w="3120" w:type="dxa"/>
          </w:tcPr>
          <w:p>
            <w:pPr/>
            <w:r>
              <w:t xml:space="preserve">Marge cible</w:t>
            </w:r>
          </w:p>
        </w:tc>
        <w:tc>
          <w:tcPr>
            <w:tcW w:w="3120" w:type="dxa"/>
          </w:tcPr>
          <w:p>
            <w:pPr/>
            <w:r>
              <w:t xml:space="preserve">10 €/MWh</w:t>
            </w:r>
          </w:p>
        </w:tc>
        <w:tc>
          <w:tcPr>
            <w:tcW w:w="3120" w:type="dxa"/>
          </w:tcPr>
          <w:p>
            <w:pPr/>
            <w:r>
              <w:rPr>
                <w:rStyle w:val="CodeChar"/>
              </w:rPr>
              <w:t xml:space="preserve">MARGE_CIBLE</w:t>
            </w:r>
          </w:p>
        </w:tc>
      </w:tr>
      <w:tr>
        <w:tc>
          <w:tcPr>
            <w:tcW w:w="3120" w:type="dxa"/>
          </w:tcPr>
          <w:p>
            <w:pPr/>
            <w:r>
              <w:t xml:space="preserve">Plancher de risque (pire cas minimum)</w:t>
            </w:r>
          </w:p>
        </w:tc>
        <w:tc>
          <w:tcPr>
            <w:tcW w:w="3120" w:type="dxa"/>
          </w:tcPr>
          <w:p>
            <w:pPr/>
            <w:r>
              <w:t xml:space="preserve">5 €/MWh</w:t>
            </w:r>
          </w:p>
        </w:tc>
        <w:tc>
          <w:tcPr>
            <w:tcW w:w="3120" w:type="dxa"/>
          </w:tcPr>
          <w:p>
            <w:pPr/>
            <w:r>
              <w:rPr>
                <w:rStyle w:val="CodeChar"/>
              </w:rPr>
              <w:t xml:space="preserve">PLANCHER_RISQUE</w:t>
            </w:r>
          </w:p>
        </w:tc>
      </w:tr>
      <w:tr>
        <w:tc>
          <w:tcPr>
            <w:tcW w:w="3120" w:type="dxa"/>
          </w:tcPr>
          <w:p>
            <w:pPr/>
            <w:r>
              <w:t xml:space="preserve">Prime de risque forward</w:t>
            </w:r>
          </w:p>
        </w:tc>
        <w:tc>
          <w:tcPr>
            <w:tcW w:w="3120" w:type="dxa"/>
          </w:tcPr>
          <w:p>
            <w:pPr/>
            <w:r>
              <w:t xml:space="preserve">3 %</w:t>
            </w:r>
          </w:p>
        </w:tc>
        <w:tc>
          <w:tcPr>
            <w:tcW w:w="3120" w:type="dxa"/>
          </w:tcPr>
          <w:p>
            <w:pPr/>
            <w:r>
              <w:rPr>
                <w:rStyle w:val="CodeChar"/>
              </w:rPr>
              <w:t xml:space="preserve">PRIME_DE_RISQUE</w:t>
            </w:r>
          </w:p>
        </w:tc>
      </w:tr>
    </w:tbl>
    <w:p>
      <w:pPr/>
      <w:r>
        <w:t xml:space="preserve">Aucun des quatre n'est une décision d'équipe : ils viennent du §2.2.</w:t>
      </w:r>
    </w:p>
    <w:p>
      <w:pPr>
        <w:pStyle w:val="Heading3"/>
      </w:pPr>
      <w:r>
        <w:t xml:space="preserve">Le calcul de la marge</w:t>
      </w:r>
    </w:p>
    <w:p>
      <w:pPr/>
      <w:r>
        <w:t xml:space="preserve">Le cours la pose en mots, session 4 page 24 :</w:t>
      </w:r>
    </w:p>
    <w:p>
      <w:pPr>
        <w:pStyle w:val="Quote"/>
      </w:pPr>
      <w:r>
        <w:rPr>
          <w:rStyle w:val="CodeChar"/>
        </w:rPr>
        <w:t xml:space="preserve">Margin = Sales revenue − Cost of hedges − Cost of the residual volume at spot prices</w:t>
      </w:r>
    </w:p>
    <w:p>
      <w:pPr/>
      <w:r>
        <w:t xml:space="preserve">avec, sous le dernier terme, l'annotation </w:t>
      </w:r>
      <w:r>
        <w:rPr>
          <w:i/>
        </w:rPr>
        <w:t xml:space="preserve">bought </w:t>
      </w:r>
      <w:r>
        <w:rPr>
          <w:b/>
          <w:i/>
        </w:rPr>
        <w:t xml:space="preserve">or sold back</w:t>
      </w:r>
      <w:r>
        <w:t xml:space="preserve">. L'exercice corrigé de la session 3 en donne une seconde écriture, algébriquement identique : </w:t>
      </w:r>
      <w:r>
        <w:rPr>
          <w:rStyle w:val="CodeChar"/>
        </w:rPr>
        <w:t xml:space="preserve">marge = (prix de vente − coût moyen de l'énergie) × volume</w:t>
      </w:r>
      <w:r>
        <w:t xml:space="preserve">. Développée terme à terme, elle devient :</w:t>
      </w:r>
    </w:p>
    <w:p>
      <w:pPr>
        <w:pStyle w:val="Code"/>
      </w:pPr>
      <w:bookmarkStart w:id="29" w:name="bongo_lang_latex_29"/>
      <w:bookmarkEnd w:id="29"/>
      <w:r>
        <w:t xml:space="preserve">\text{marge} = P_{\text{vente}} \times V - C_{T1} - C_{T2} - \sum_h (\text{charge}_h - \text{livré}_h) \times \text{spot}_h</w:t>
      </w:r>
    </w:p>
    <w:p/>
    <w:p>
      <w:pPr>
        <w:pStyle w:val="Code"/>
      </w:pPr>
      <w:bookmarkStart w:id="30" w:name="bongo_lang_python_30"/>
      <w:bookmarkEnd w:id="30"/>
      <w:r>
        <w:t xml:space="preserve">def marge(scenario, h1, h2, volumes_q, alpha=None, forme=None, prix_vente=PRIX_VENTE):</w:t>
        <w:br/>
        <w:t xml:space="preserve">    v_ref = scenario["energie_normale"]          # le 100 % des ratios</w:t>
        <w:br/>
        <w:t xml:space="preserve">    forward_t2 = sc.forward_t2_anticipe(scenario["niveau"], alpha)</w:t>
        <w:br/>
        <w:br/>
        <w:t xml:space="preserve">    mix_t1 = construire_mix(h1, volumes_q, index, forme)</w:t>
        <w:br/>
        <w:t xml:space="preserve">    livre_t1 = livraison(mix_t1, index)</w:t>
        <w:br/>
        <w:t xml:space="preserve">    mw_t2 = h2 * v_ref / len(index)              # tranche T2 : ruban, prix encore inconnu</w:t>
        <w:br/>
        <w:t xml:space="preserve">    residuel = courbe["charge_MW"] - livre_t1 - mw_t2</w:t>
        <w:br/>
        <w:br/>
        <w:t xml:space="preserve">    cout = (cout_mix(mix_t1, index, "T1") + h2 * v_ref * forward_t2</w:t>
        <w:br/>
        <w:t xml:space="preserve">            + float((residuel * courbe["spot_EUR_MWh"]).sum()))</w:t>
        <w:br/>
        <w:t xml:space="preserve">    marge_eur = prix_vente * scenario["energie_scenario"] - cout</w:t>
      </w:r>
    </w:p>
    <w:p>
      <w:pPr/>
      <w:r>
        <w:t xml:space="preserve">Trois choses s'y jouent :</w:t>
      </w:r>
    </w:p>
    <w:p>
      <w:pPr>
        <w:pStyle w:val="ListParagraph"/>
        <w:numPr>
          <w:ilvl w:val="0"/>
          <w:numId w:val="15"/>
        </w:numPr>
      </w:pPr>
      <w:r>
        <w:t xml:space="preserve">la </w:t>
      </w:r>
      <w:r>
        <w:rPr>
          <w:b/>
        </w:rPr>
        <w:t xml:space="preserve">tranche T1</w:t>
      </w:r>
      <w:r>
        <w:t xml:space="preserve"> est un vrai mix de produits, aux vrais prix EEX du 22/09 ;</w:t>
      </w:r>
    </w:p>
    <w:p>
      <w:pPr>
        <w:pStyle w:val="ListParagraph"/>
        <w:numPr>
          <w:ilvl w:val="0"/>
          <w:numId w:val="15"/>
        </w:numPr>
      </w:pPr>
      <w:r>
        <w:t xml:space="preserve">la </w:t>
      </w:r>
      <w:r>
        <w:rPr>
          <w:b/>
        </w:rPr>
        <w:t xml:space="preserve">tranche T2</w:t>
      </w:r>
      <w:r>
        <w:t xml:space="preserve"> est un ruban plat valorisé au forward </w:t>
      </w:r>
      <w:r>
        <w:rPr>
          <w:i/>
        </w:rPr>
        <w:t xml:space="preserve">anticipé</w:t>
      </w:r>
      <w:r>
        <w:t xml:space="preserve"> : au T1 on ne connaît ni le prix, ni les produits qu'on achètera ;</w:t>
      </w:r>
    </w:p>
    <w:p>
      <w:pPr>
        <w:pStyle w:val="ListParagraph"/>
        <w:numPr>
          <w:ilvl w:val="0"/>
          <w:numId w:val="15"/>
        </w:numPr>
      </w:pPr>
      <w:r>
        <w:t xml:space="preserve">le </w:t>
      </w:r>
      <w:r>
        <w:rPr>
          <w:b/>
        </w:rPr>
        <w:t xml:space="preserve">résiduel</w:t>
      </w:r>
      <w:r>
        <w:t xml:space="preserve"> passe au spot heure par heure, et il peut être négatif : s'il l'est, on </w:t>
      </w:r>
      <w:r>
        <w:rPr>
          <w:b/>
        </w:rPr>
        <w:t xml:space="preserve">revend</w:t>
      </w:r>
      <w:r>
        <w:t xml:space="preserve">. Le §3.5 l'exige nommément (</w:t>
      </w:r>
      <w:r>
        <w:rPr>
          <w:i/>
        </w:rPr>
        <w:t xml:space="preserve">bought or sold back at the scenario's spot prices</w:t>
      </w:r>
      <w:r>
        <w:t xml:space="preserve">).</w:t>
      </w:r>
    </w:p>
    <w:p>
      <w:pPr>
        <w:pStyle w:val="Heading3"/>
      </w:pPr>
      <w:r>
        <w:t xml:space="preserve">Pourquoi la somme est à l'intérieur, et ce que coûterait l'inverse</w:t>
      </w:r>
    </w:p>
    <w:p>
      <w:pPr/>
      <w:r>
        <w:t xml:space="preserve">L'exercice de la session 3 simplifie délibérément : </w:t>
      </w:r>
      <w:r>
        <w:rPr>
          <w:i/>
        </w:rPr>
        <w:t xml:space="preserve">any volume left uncovered is bought at the </w:t>
      </w:r>
      <w:r>
        <w:rPr>
          <w:b/>
          <w:i/>
        </w:rPr>
        <w:t xml:space="preserve">average spot price of the year</w:t>
      </w:r>
      <w:r>
        <w:t xml:space="preserve">. Un seul prix pour toute l'année, pour que l'arithmétique reste faisable à la main. Appliquée à notre portefeuille, cette simplification donnerait :</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Scénario</w:t>
            </w:r>
          </w:p>
        </w:tc>
        <w:tc>
          <w:tcPr>
            <w:tcW w:w="2340" w:type="dxa"/>
            <w:shd w:val="clear" w:color="auto" w:fill="F2F2F2"/>
          </w:tcPr>
          <w:p>
            <w:pPr/>
            <w:r>
              <w:t xml:space="preserve">Marge horaire</w:t>
            </w:r>
          </w:p>
        </w:tc>
        <w:tc>
          <w:tcPr>
            <w:tcW w:w="2340" w:type="dxa"/>
            <w:shd w:val="clear" w:color="auto" w:fill="F2F2F2"/>
          </w:tcPr>
          <w:p>
            <w:pPr/>
            <w:r>
              <w:t xml:space="preserve">Marge au spot moyen</w:t>
            </w:r>
          </w:p>
        </w:tc>
        <w:tc>
          <w:tcPr>
            <w:tcW w:w="2340" w:type="dxa"/>
            <w:shd w:val="clear" w:color="auto" w:fill="F2F2F2"/>
          </w:tcPr>
          <w:p>
            <w:pPr/>
            <w:r>
              <w:t xml:space="preserve">Écart</w:t>
            </w:r>
          </w:p>
        </w:tc>
      </w:tr>
      <w:tr>
        <w:tc>
          <w:tcPr>
            <w:tcW w:w="2340" w:type="dxa"/>
          </w:tcPr>
          <w:p>
            <w:pPr/>
            <w:r>
              <w:t xml:space="preserve">2021</w:t>
            </w:r>
          </w:p>
        </w:tc>
        <w:tc>
          <w:tcPr>
            <w:tcW w:w="2340" w:type="dxa"/>
          </w:tcPr>
          <w:p>
            <w:pPr/>
            <w:r>
              <w:t xml:space="preserve">4,02</w:t>
            </w:r>
          </w:p>
        </w:tc>
        <w:tc>
          <w:tcPr>
            <w:tcW w:w="2340" w:type="dxa"/>
          </w:tcPr>
          <w:p>
            <w:pPr/>
            <w:r>
              <w:t xml:space="preserve">9,24</w:t>
            </w:r>
          </w:p>
        </w:tc>
        <w:tc>
          <w:tcPr>
            <w:tcW w:w="2340" w:type="dxa"/>
          </w:tcPr>
          <w:p>
            <w:pPr/>
            <w:r>
              <w:t xml:space="preserve">+5,22</w:t>
            </w:r>
          </w:p>
        </w:tc>
      </w:tr>
      <w:tr>
        <w:tc>
          <w:tcPr>
            <w:tcW w:w="2340" w:type="dxa"/>
          </w:tcPr>
          <w:p>
            <w:pPr/>
            <w:r>
              <w:t xml:space="preserve">2023</w:t>
            </w:r>
          </w:p>
        </w:tc>
        <w:tc>
          <w:tcPr>
            <w:tcW w:w="2340" w:type="dxa"/>
          </w:tcPr>
          <w:p>
            <w:pPr/>
            <w:r>
              <w:t xml:space="preserve">6,30</w:t>
            </w:r>
          </w:p>
        </w:tc>
        <w:tc>
          <w:tcPr>
            <w:tcW w:w="2340" w:type="dxa"/>
          </w:tcPr>
          <w:p>
            <w:pPr/>
            <w:r>
              <w:t xml:space="preserve">9,68</w:t>
            </w:r>
          </w:p>
        </w:tc>
        <w:tc>
          <w:tcPr>
            <w:tcW w:w="2340" w:type="dxa"/>
          </w:tcPr>
          <w:p>
            <w:pPr/>
            <w:r>
              <w:t xml:space="preserve">+3,38</w:t>
            </w:r>
          </w:p>
        </w:tc>
      </w:tr>
      <w:tr>
        <w:tc>
          <w:tcPr>
            <w:tcW w:w="2340" w:type="dxa"/>
          </w:tcPr>
          <w:p>
            <w:pPr/>
            <w:r>
              <w:t xml:space="preserve">2024</w:t>
            </w:r>
          </w:p>
        </w:tc>
        <w:tc>
          <w:tcPr>
            <w:tcW w:w="2340" w:type="dxa"/>
          </w:tcPr>
          <w:p>
            <w:pPr/>
            <w:r>
              <w:t xml:space="preserve">5,72</w:t>
            </w:r>
          </w:p>
        </w:tc>
        <w:tc>
          <w:tcPr>
            <w:tcW w:w="2340" w:type="dxa"/>
          </w:tcPr>
          <w:p>
            <w:pPr/>
            <w:r>
              <w:t xml:space="preserve">9,77</w:t>
            </w:r>
          </w:p>
        </w:tc>
        <w:tc>
          <w:tcPr>
            <w:tcW w:w="2340" w:type="dxa"/>
          </w:tcPr>
          <w:p>
            <w:pPr/>
            <w:r>
              <w:t xml:space="preserve">+4,04</w:t>
            </w:r>
          </w:p>
        </w:tc>
      </w:tr>
      <w:tr>
        <w:tc>
          <w:tcPr>
            <w:tcW w:w="2340" w:type="dxa"/>
          </w:tcPr>
          <w:p>
            <w:pPr/>
            <w:r>
              <w:t xml:space="preserve">choc +20 %</w:t>
            </w:r>
          </w:p>
        </w:tc>
        <w:tc>
          <w:tcPr>
            <w:tcW w:w="2340" w:type="dxa"/>
          </w:tcPr>
          <w:p>
            <w:pPr/>
            <w:r>
              <w:rPr>
                <w:b/>
              </w:rPr>
              <w:t xml:space="preserve">−0,24</w:t>
            </w:r>
          </w:p>
        </w:tc>
        <w:tc>
          <w:tcPr>
            <w:tcW w:w="2340" w:type="dxa"/>
          </w:tcPr>
          <w:p>
            <w:pPr/>
            <w:r>
              <w:rPr>
                <w:b/>
              </w:rPr>
              <w:t xml:space="preserve">6,02</w:t>
            </w:r>
          </w:p>
        </w:tc>
        <w:tc>
          <w:tcPr>
            <w:tcW w:w="2340" w:type="dxa"/>
          </w:tcPr>
          <w:p>
            <w:pPr/>
            <w:r>
              <w:rPr>
                <w:b/>
              </w:rPr>
              <w:t xml:space="preserve">+6,26</w:t>
            </w:r>
          </w:p>
        </w:tc>
      </w:tr>
    </w:tbl>
    <w:p>
      <w:pPr/>
      <w:r>
        <w:t xml:space="preserve">La marge serait surestimée de 3,4 à 6,3 €/MWh, et surtout </w:t>
      </w:r>
      <w:r>
        <w:rPr>
          <w:b/>
        </w:rPr>
        <w:t xml:space="preserve">les quatre scénarios franchiraient le plancher de 5 €/MWh</w:t>
      </w:r>
      <w:r>
        <w:t xml:space="preserve">. Le modèle conclurait que tout va bien.</w:t>
      </w:r>
    </w:p>
    <w:p>
      <w:pPr/>
      <w:r>
        <w:t xml:space="preserve">La raison tient en une phrase : on achète le manque </w:t>
      </w:r>
      <w:r>
        <w:rPr>
          <w:b/>
        </w:rPr>
        <w:t xml:space="preserve">quand le prix est haut</w:t>
      </w:r>
      <w:r>
        <w:t xml:space="preserve"> (janvier, 19 h) et on revend l'excédent </w:t>
      </w:r>
      <w:r>
        <w:rPr>
          <w:b/>
        </w:rPr>
        <w:t xml:space="preserve">quand il est bas</w:t>
      </w:r>
      <w:r>
        <w:t xml:space="preserve"> (août, 4 h du matin). Prendre un prix moyen annuel revient à supposer qu'on achète indifféremment à n'importe quelle heure.</w:t>
      </w:r>
    </w:p>
    <w:p>
      <w:pPr/>
      <w:r>
        <w:t xml:space="preserve">C'est exactement ce que démontre la Part 3 de ce même exercice : risque de volume seul 75 k€, risque de prix seul 0, les deux ensemble 165 k€ — </w:t>
      </w:r>
      <w:r>
        <w:rPr>
          <w:i/>
        </w:rPr>
        <w:t xml:space="preserve">the 90 of difference cannot be attributed to either one: it comes from their correlation</w:t>
      </w:r>
      <w:r>
        <w:t xml:space="preserve">. D'où l'exigence du §3.5 : </w:t>
      </w:r>
      <w:r>
        <w:rPr>
          <w:b/>
        </w:rPr>
        <w:t xml:space="preserve">hour by hour or day by day</w:t>
      </w:r>
      <w:r>
        <w:t xml:space="preserve">.</w:t>
      </w:r>
    </w:p>
    <w:p>
      <w:pPr>
        <w:pStyle w:val="Heading3"/>
      </w:pPr>
      <w:r>
        <w:t xml:space="preserve">Pourquoi un quatrième scénario de choc</w:t>
      </w:r>
    </w:p>
    <w:p>
      <w:pPr/>
      <w:r>
        <w:t xml:space="preserve">Il faut l'assumer franchement : par construction </w:t>
      </w:r>
      <w:r>
        <w:rPr>
          <w:rStyle w:val="CodeChar"/>
        </w:rPr>
        <w:t xml:space="preserve">Level = forward × (1 − 3 %)</w:t>
      </w:r>
      <w:r>
        <w:t xml:space="preserve">, donc </w:t>
      </w:r>
      <w:r>
        <w:rPr>
          <w:b/>
        </w:rPr>
        <w:t xml:space="preserve">l'espérance du spot est toujours sous le forward</w:t>
      </w:r>
      <w:r>
        <w:t xml:space="preserve">. Un modèle qui ne contient que des scénarios météo conclut mécaniquement « ne jamais se couvrir ». Ce n'est pas un résultat, c'est un artéfact de la méthode.</w:t>
      </w:r>
    </w:p>
    <w:p>
      <w:pPr/>
      <w:r>
        <w:t xml:space="preserve">Le §3.2 prévoit exactement le remède : </w:t>
      </w:r>
      <w:r>
        <w:rPr>
          <w:i/>
        </w:rPr>
        <w:t xml:space="preserve">a documented sensitivity such as a price-level shock justified by fundamentals rather than by weather</w:t>
      </w:r>
      <w:r>
        <w:t xml:space="preserve">.</w:t>
      </w:r>
    </w:p>
    <w:p>
      <w:pPr>
        <w:pStyle w:val="Code"/>
      </w:pPr>
      <w:bookmarkStart w:id="31" w:name="bongo_lang_python_31"/>
      <w:bookmarkEnd w:id="31"/>
      <w:r>
        <w:t xml:space="preserve">CHOC_FONDAMENTAL = 0.20    # 0.0 pour desactiver le scenario de choc</w:t>
        <w:br/>
        <w:t xml:space="preserve">PROBA_CHOC = 0.15          # probabilite du choc (queue haute a 1 sigma)</w:t>
      </w:r>
    </w:p>
    <w:p>
      <w:pPr/>
      <w:r>
        <w:t xml:space="preserve">Le choc reprend la météo de l'année la plus froide et ancre son Level sur </w:t>
      </w:r>
      <w:r>
        <w:rPr>
          <w:rStyle w:val="CodeChar"/>
        </w:rPr>
        <w:t xml:space="preserve">forward × 1,20</w:t>
      </w:r>
      <w:r>
        <w:t xml:space="preserve">. Le +20 % est la volatilité annuelle CRE, le 15 % correspond à la queue haute à 1 sigma. </w:t>
      </w:r>
      <w:r>
        <w:rPr>
          <w:b/>
        </w:rPr>
        <w:t xml:space="preserve">Ces deux valeurs sont des choix à défendre</w:t>
      </w:r>
      <w:r>
        <w:t xml:space="preserve">, pas des données : c'est le seul endroit du modèle où vous mettez une opinion.</w:t>
      </w:r>
    </w:p>
    <w:p>
      <w:pPr>
        <w:pStyle w:val="Heading3"/>
      </w:pPr>
      <w:r>
        <w:t xml:space="preserve">Les résultats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Stratégie</w:t>
            </w:r>
          </w:p>
        </w:tc>
        <w:tc>
          <w:tcPr>
            <w:tcW w:w="1337" w:type="dxa"/>
            <w:shd w:val="clear" w:color="auto" w:fill="F2F2F2"/>
          </w:tcPr>
          <w:p>
            <w:pPr/>
            <w:r>
              <w:t xml:space="preserve">2021</w:t>
            </w:r>
          </w:p>
        </w:tc>
        <w:tc>
          <w:tcPr>
            <w:tcW w:w="1337" w:type="dxa"/>
            <w:shd w:val="clear" w:color="auto" w:fill="F2F2F2"/>
          </w:tcPr>
          <w:p>
            <w:pPr/>
            <w:r>
              <w:t xml:space="preserve">2023</w:t>
            </w:r>
          </w:p>
        </w:tc>
        <w:tc>
          <w:tcPr>
            <w:tcW w:w="1337" w:type="dxa"/>
            <w:shd w:val="clear" w:color="auto" w:fill="F2F2F2"/>
          </w:tcPr>
          <w:p>
            <w:pPr/>
            <w:r>
              <w:t xml:space="preserve">2024</w:t>
            </w:r>
          </w:p>
        </w:tc>
        <w:tc>
          <w:tcPr>
            <w:tcW w:w="1337" w:type="dxa"/>
            <w:shd w:val="clear" w:color="auto" w:fill="F2F2F2"/>
          </w:tcPr>
          <w:p>
            <w:pPr/>
            <w:r>
              <w:t xml:space="preserve">choc +20 %</w:t>
            </w:r>
          </w:p>
        </w:tc>
        <w:tc>
          <w:tcPr>
            <w:tcW w:w="1337" w:type="dxa"/>
            <w:shd w:val="clear" w:color="auto" w:fill="F2F2F2"/>
          </w:tcPr>
          <w:p>
            <w:pPr/>
            <w:r>
              <w:t xml:space="preserve">Espérance</w:t>
            </w:r>
          </w:p>
        </w:tc>
        <w:tc>
          <w:tcPr>
            <w:tcW w:w="1337" w:type="dxa"/>
            <w:shd w:val="clear" w:color="auto" w:fill="F2F2F2"/>
          </w:tcPr>
          <w:p>
            <w:pPr/>
            <w:r>
              <w:t xml:space="preserve">Pire cas</w:t>
            </w:r>
          </w:p>
        </w:tc>
      </w:tr>
      <w:tr>
        <w:tc>
          <w:tcPr>
            <w:tcW w:w="1337" w:type="dxa"/>
          </w:tcPr>
          <w:p>
            <w:pPr/>
            <w:r>
              <w:rPr>
                <w:b/>
              </w:rPr>
              <w:t xml:space="preserve">Notre 70/20/10</w:t>
            </w:r>
          </w:p>
        </w:tc>
        <w:tc>
          <w:tcPr>
            <w:tcW w:w="1337" w:type="dxa"/>
          </w:tcPr>
          <w:p>
            <w:pPr/>
            <w:r>
              <w:t xml:space="preserve">4,02</w:t>
            </w:r>
          </w:p>
        </w:tc>
        <w:tc>
          <w:tcPr>
            <w:tcW w:w="1337" w:type="dxa"/>
          </w:tcPr>
          <w:p>
            <w:pPr/>
            <w:r>
              <w:t xml:space="preserve">6,30</w:t>
            </w:r>
          </w:p>
        </w:tc>
        <w:tc>
          <w:tcPr>
            <w:tcW w:w="1337" w:type="dxa"/>
          </w:tcPr>
          <w:p>
            <w:pPr/>
            <w:r>
              <w:t xml:space="preserve">5,72</w:t>
            </w:r>
          </w:p>
        </w:tc>
        <w:tc>
          <w:tcPr>
            <w:tcW w:w="1337" w:type="dxa"/>
          </w:tcPr>
          <w:p>
            <w:pPr/>
            <w:r>
              <w:t xml:space="preserve">−0,24</w:t>
            </w:r>
          </w:p>
        </w:tc>
        <w:tc>
          <w:tcPr>
            <w:tcW w:w="1337" w:type="dxa"/>
          </w:tcPr>
          <w:p>
            <w:pPr/>
            <w:r>
              <w:t xml:space="preserve">4,51</w:t>
            </w:r>
          </w:p>
        </w:tc>
        <w:tc>
          <w:tcPr>
            <w:tcW w:w="1337" w:type="dxa"/>
          </w:tcPr>
          <w:p>
            <w:pPr/>
            <w:r>
              <w:rPr>
                <w:b/>
              </w:rPr>
              <w:t xml:space="preserve">−0,24</w:t>
            </w:r>
          </w:p>
        </w:tc>
      </w:tr>
      <w:tr>
        <w:tc>
          <w:tcPr>
            <w:tcW w:w="1337" w:type="dxa"/>
          </w:tcPr>
          <w:p>
            <w:pPr/>
            <w:r>
              <w:t xml:space="preserve">Variante 50/25/25</w:t>
            </w:r>
          </w:p>
        </w:tc>
        <w:tc>
          <w:tcPr>
            <w:tcW w:w="1337" w:type="dxa"/>
          </w:tcPr>
          <w:p>
            <w:pPr/>
            <w:r>
              <w:t xml:space="preserve">4,91</w:t>
            </w:r>
          </w:p>
        </w:tc>
        <w:tc>
          <w:tcPr>
            <w:tcW w:w="1337" w:type="dxa"/>
          </w:tcPr>
          <w:p>
            <w:pPr/>
            <w:r>
              <w:t xml:space="preserve">7,88</w:t>
            </w:r>
          </w:p>
        </w:tc>
        <w:tc>
          <w:tcPr>
            <w:tcW w:w="1337" w:type="dxa"/>
          </w:tcPr>
          <w:p>
            <w:pPr/>
            <w:r>
              <w:t xml:space="preserve">7,07</w:t>
            </w:r>
          </w:p>
        </w:tc>
        <w:tc>
          <w:tcPr>
            <w:tcW w:w="1337" w:type="dxa"/>
          </w:tcPr>
          <w:p>
            <w:pPr/>
            <w:r>
              <w:t xml:space="preserve">−2,26</w:t>
            </w:r>
          </w:p>
        </w:tc>
        <w:tc>
          <w:tcPr>
            <w:tcW w:w="1337" w:type="dxa"/>
          </w:tcPr>
          <w:p>
            <w:pPr/>
            <w:r>
              <w:t xml:space="preserve">5,29</w:t>
            </w:r>
          </w:p>
        </w:tc>
        <w:tc>
          <w:tcPr>
            <w:tcW w:w="1337" w:type="dxa"/>
          </w:tcPr>
          <w:p>
            <w:pPr/>
            <w:r>
              <w:t xml:space="preserve">−2,26</w:t>
            </w:r>
          </w:p>
        </w:tc>
      </w:tr>
      <w:tr>
        <w:tc>
          <w:tcPr>
            <w:tcW w:w="1337" w:type="dxa"/>
          </w:tcPr>
          <w:p>
            <w:pPr/>
            <w:r>
              <w:t xml:space="preserve">B – peu couverte</w:t>
            </w:r>
          </w:p>
        </w:tc>
        <w:tc>
          <w:tcPr>
            <w:tcW w:w="1337" w:type="dxa"/>
          </w:tcPr>
          <w:p>
            <w:pPr/>
            <w:r>
              <w:t xml:space="preserve">5,20</w:t>
            </w:r>
          </w:p>
        </w:tc>
        <w:tc>
          <w:tcPr>
            <w:tcW w:w="1337" w:type="dxa"/>
          </w:tcPr>
          <w:p>
            <w:pPr/>
            <w:r>
              <w:t xml:space="preserve">8,33</w:t>
            </w:r>
          </w:p>
        </w:tc>
        <w:tc>
          <w:tcPr>
            <w:tcW w:w="1337" w:type="dxa"/>
          </w:tcPr>
          <w:p>
            <w:pPr/>
            <w:r>
              <w:t xml:space="preserve">7,38</w:t>
            </w:r>
          </w:p>
        </w:tc>
        <w:tc>
          <w:tcPr>
            <w:tcW w:w="1337" w:type="dxa"/>
          </w:tcPr>
          <w:p>
            <w:pPr/>
            <w:r>
              <w:t xml:space="preserve">−2,42</w:t>
            </w:r>
          </w:p>
        </w:tc>
        <w:tc>
          <w:tcPr>
            <w:tcW w:w="1337" w:type="dxa"/>
          </w:tcPr>
          <w:p>
            <w:pPr/>
            <w:r>
              <w:t xml:space="preserve">5,56</w:t>
            </w:r>
          </w:p>
        </w:tc>
        <w:tc>
          <w:tcPr>
            <w:tcW w:w="1337" w:type="dxa"/>
          </w:tcPr>
          <w:p>
            <w:pPr/>
            <w:r>
              <w:t xml:space="preserve">−2,42</w:t>
            </w:r>
          </w:p>
        </w:tc>
      </w:tr>
      <w:tr>
        <w:tc>
          <w:tcPr>
            <w:tcW w:w="1337" w:type="dxa"/>
          </w:tcPr>
          <w:p>
            <w:pPr/>
            <w:r>
              <w:t xml:space="preserve">C – totalement couverte</w:t>
            </w:r>
          </w:p>
        </w:tc>
        <w:tc>
          <w:tcPr>
            <w:tcW w:w="1337" w:type="dxa"/>
          </w:tcPr>
          <w:p>
            <w:pPr/>
            <w:r>
              <w:t xml:space="preserve">4,94</w:t>
            </w:r>
          </w:p>
        </w:tc>
        <w:tc>
          <w:tcPr>
            <w:tcW w:w="1337" w:type="dxa"/>
          </w:tcPr>
          <w:p>
            <w:pPr/>
            <w:r>
              <w:t xml:space="preserve">7,79</w:t>
            </w:r>
          </w:p>
        </w:tc>
        <w:tc>
          <w:tcPr>
            <w:tcW w:w="1337" w:type="dxa"/>
          </w:tcPr>
          <w:p>
            <w:pPr/>
            <w:r>
              <w:t xml:space="preserve">6,78</w:t>
            </w:r>
          </w:p>
        </w:tc>
        <w:tc>
          <w:tcPr>
            <w:tcW w:w="1337" w:type="dxa"/>
          </w:tcPr>
          <w:p>
            <w:pPr/>
            <w:r>
              <w:t xml:space="preserve">−1,07</w:t>
            </w:r>
          </w:p>
        </w:tc>
        <w:tc>
          <w:tcPr>
            <w:tcW w:w="1337" w:type="dxa"/>
          </w:tcPr>
          <w:p>
            <w:pPr/>
            <w:r>
              <w:t xml:space="preserve">5,37</w:t>
            </w:r>
          </w:p>
        </w:tc>
        <w:tc>
          <w:tcPr>
            <w:tcW w:w="1337" w:type="dxa"/>
          </w:tcPr>
          <w:p>
            <w:pPr/>
            <w:r>
              <w:t xml:space="preserve">−1,07</w:t>
            </w:r>
          </w:p>
        </w:tc>
      </w:tr>
    </w:tbl>
    <w:p>
      <w:pPr/>
      <w:r>
        <w:drawing>
          <wp:inline distT="0" distB="0" distL="0" distR="0">
            <wp:extent cx="5486400" cy="4306398"/>
            <wp:docPr id="6" name="image6"/>
            <a:graphic xmlns:a="http://schemas.openxmlformats.org/drawingml/2006/main">
              <a:graphicData uri="http://schemas.openxmlformats.org/drawingml/2006/picture">
                <pic:pic xmlns:pic="http://schemas.openxmlformats.org/drawingml/2006/picture">
                  <pic:nvPicPr>
                    <pic:cNvPr id="6" name="image6"/>
                    <pic:cNvPicPr/>
                  </pic:nvPicPr>
                  <pic:blipFill>
                    <a:blip r:embed="rIdFig6"/>
                    <a:stretch>
                      <a:fillRect/>
                    </a:stretch>
                  </pic:blipFill>
                  <pic:spPr>
                    <a:xfrm>
                      <a:off x="0" y="0"/>
                      <a:ext cx="5486400" cy="4306398"/>
                    </a:xfrm>
                    <a:prstGeom prst="rect">
                      <a:avLst/>
                    </a:prstGeom>
                  </pic:spPr>
                </pic:pic>
              </a:graphicData>
            </a:graphic>
          </wp:inline>
        </w:drawing>
      </w:r>
    </w:p>
    <w:p>
      <w:pPr/>
      <w:r>
        <w:rPr>
          <w:b/>
        </w:rPr>
        <w:t xml:space="preserve">La figure de </w:t>
      </w:r>
      <w:r>
        <w:rPr>
          <w:rStyle w:val="CodeChar"/>
          <w:b/>
        </w:rPr>
        <w:t xml:space="preserve">t1_strategie.py</w:t>
      </w:r>
      <w:r>
        <w:t xml:space="preserve"> : trois panneaux, quatre scénarios. Les prix spot journaliers, les charges journalières moyennes, et le coût total au spot de chacun.</w:t>
      </w:r>
    </w:p>
    <w:p>
      <w:pPr/>
      <w:r>
        <w:t xml:space="preserve">Le panneau du bas donne la fourchette dans laquelle toute la décision se joue : de </w:t>
      </w:r>
      <w:r>
        <w:rPr>
          <w:b/>
        </w:rPr>
        <w:t xml:space="preserve">43,5 M€</w:t>
      </w:r>
      <w:r>
        <w:t xml:space="preserve"> (scénario 2023) à </w:t>
      </w:r>
      <w:r>
        <w:rPr>
          <w:b/>
        </w:rPr>
        <w:t xml:space="preserve">56,2 M€</w:t>
      </w:r>
      <w:r>
        <w:t xml:space="preserve"> (choc +20 %), soit près de 13 M€ d'écart sur un portefeuille de 537 GWh. Entre les trois années météo seules, l'écart n'est que de 3,4 M€. Autrement dit, c'est le scénario de choc — et lui seul — qui porte le risque auquel la couverture répond ; sans lui, les six stratégies du tableau ci-dessus se tiendraient dans un mouchoir de poche.</w:t>
      </w:r>
    </w:p>
    <w:p>
      <w:pPr/>
      <w:r>
        <w:t xml:space="preserve">Le panneau du milieu contient la démonstration la plus utile de tout le document : </w:t>
      </w:r>
      <w:r>
        <w:rPr>
          <w:b/>
        </w:rPr>
        <w:t xml:space="preserve">de mai à octobre, les quatre courbes de charge sont confondues</w:t>
      </w:r>
      <w:r>
        <w:t xml:space="preserve">. C'est </w:t>
      </w:r>
      <w:r>
        <w:rPr>
          <w:rStyle w:val="CodeChar"/>
        </w:rPr>
        <w:t xml:space="preserve">g = 0</w:t>
      </w:r>
      <w:r>
        <w:t xml:space="preserve"> hors période de chauffe — sans thermosensibilité, la météo ne change rien au volume, et les scénarios ne se séparent qu'entre novembre et avril. La courbe du scénario 2021 est d'ailleurs invisible : elle est recouverte par celle du choc, qui réutilise la météo de l'année la plus froide et ne modifie que le niveau de prix, jamais le volume.</w:t>
      </w:r>
    </w:p>
    <w:p>
      <w:pPr/>
      <w:r>
        <w:t xml:space="preserve">La relation est </w:t>
      </w:r>
      <w:r>
        <w:rPr>
          <w:b/>
        </w:rPr>
        <w:t xml:space="preserve">monotone</w:t>
      </w:r>
      <w:r>
        <w:t xml:space="preserve"> : plus on couvre, meilleur est le pire cas et plus faible est l'espérance. Trente et une combinaisons ont été balayées ; </w:t>
      </w:r>
      <w:r>
        <w:rPr>
          <w:b/>
        </w:rPr>
        <w:t xml:space="preserve">aucune ne tient le plancher de 5 €/MWh</w:t>
      </w:r>
      <w:r>
        <w:t xml:space="preserve">. Notre 70/20/10 est celle qui protège le mieux.</w:t>
      </w:r>
    </w:p>
    <w:p>
      <w:pPr>
        <w:pStyle w:val="Heading3"/>
      </w:pPr>
      <w:r>
        <w:t xml:space="preserve">Toutes les stratégies testées</w:t>
      </w:r>
    </w:p>
    <w:p>
      <w:pPr/>
      <w:r>
        <w:rPr>
          <w:b/>
        </w:rPr>
        <w:t xml:space="preserve">A, B, C et D ne sont pas de nous</w:t>
      </w:r>
      <w:r>
        <w:t xml:space="preserve"> : ce sont les quatre exemples du prof, session 4 page 27, repris avec ses noms et ses ratios. Les guidelines réclament « au moins deux » stratégies suffisamment différentes, en citant 40/40 contre 50/40 contre 40/60 — soit littéralement B, A et C.</w:t>
      </w:r>
    </w:p>
    <w:p>
      <w:pPr/>
      <w:r>
        <w:rPr>
          <w:b/>
        </w:rPr>
        <w:t xml:space="preserve">Au-delà des six du tableau, le code a balayé 31 combinaisons</w:t>
      </w:r>
      <w:r>
        <w:t xml:space="preserve"> (T1 de 0 à 100 % par pas de 10, avec complément à 90 % puis à 100 %). Les plus parlantes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Espérance</w:t>
            </w:r>
          </w:p>
        </w:tc>
        <w:tc>
          <w:tcPr>
            <w:tcW w:w="3120" w:type="dxa"/>
            <w:shd w:val="clear" w:color="auto" w:fill="F2F2F2"/>
          </w:tcPr>
          <w:p>
            <w:pPr/>
            <w:r>
              <w:t xml:space="preserve">Pire cas</w:t>
            </w:r>
          </w:p>
        </w:tc>
      </w:tr>
      <w:tr>
        <w:tc>
          <w:tcPr>
            <w:tcW w:w="3120" w:type="dxa"/>
          </w:tcPr>
          <w:p>
            <w:pPr/>
            <w:r>
              <w:t xml:space="preserve">100 / 0 / 0</w:t>
            </w:r>
          </w:p>
        </w:tc>
        <w:tc>
          <w:tcPr>
            <w:tcW w:w="3120" w:type="dxa"/>
          </w:tcPr>
          <w:p>
            <w:pPr/>
            <w:r>
              <w:t xml:space="preserve">3,46</w:t>
            </w:r>
          </w:p>
        </w:tc>
        <w:tc>
          <w:tcPr>
            <w:tcW w:w="3120" w:type="dxa"/>
          </w:tcPr>
          <w:p>
            <w:pPr/>
            <w:r>
              <w:rPr>
                <w:b/>
              </w:rPr>
              <w:t xml:space="preserve">1,93</w:t>
            </w:r>
            <w:r>
              <w:t xml:space="preserve"> ← meilleure protection</w:t>
            </w:r>
          </w:p>
        </w:tc>
      </w:tr>
      <w:tr>
        <w:tc>
          <w:tcPr>
            <w:tcW w:w="3120" w:type="dxa"/>
          </w:tcPr>
          <w:p>
            <w:pPr/>
            <w:r>
              <w:t xml:space="preserve">90 / 10 / 0</w:t>
            </w:r>
          </w:p>
        </w:tc>
        <w:tc>
          <w:tcPr>
            <w:tcW w:w="3120" w:type="dxa"/>
          </w:tcPr>
          <w:p>
            <w:pPr/>
            <w:r>
              <w:t xml:space="preserve">3,78</w:t>
            </w:r>
          </w:p>
        </w:tc>
        <w:tc>
          <w:tcPr>
            <w:tcW w:w="3120" w:type="dxa"/>
          </w:tcPr>
          <w:p>
            <w:pPr/>
            <w:r>
              <w:t xml:space="preserve">1,43</w:t>
            </w:r>
          </w:p>
        </w:tc>
      </w:tr>
      <w:tr>
        <w:tc>
          <w:tcPr>
            <w:tcW w:w="3120" w:type="dxa"/>
          </w:tcPr>
          <w:p>
            <w:pPr/>
            <w:r>
              <w:t xml:space="preserve">90 / 5 / 5</w:t>
            </w:r>
          </w:p>
        </w:tc>
        <w:tc>
          <w:tcPr>
            <w:tcW w:w="3120" w:type="dxa"/>
          </w:tcPr>
          <w:p>
            <w:pPr/>
            <w:r>
              <w:t xml:space="preserve">3,83</w:t>
            </w:r>
          </w:p>
        </w:tc>
        <w:tc>
          <w:tcPr>
            <w:tcW w:w="3120" w:type="dxa"/>
          </w:tcPr>
          <w:p>
            <w:pPr/>
            <w:r>
              <w:t xml:space="preserve">1,09</w:t>
            </w:r>
          </w:p>
        </w:tc>
      </w:tr>
      <w:tr>
        <w:tc>
          <w:tcPr>
            <w:tcW w:w="3120" w:type="dxa"/>
          </w:tcPr>
          <w:p>
            <w:pPr/>
            <w:r>
              <w:t xml:space="preserve">80 / 10 / 10</w:t>
            </w:r>
          </w:p>
        </w:tc>
        <w:tc>
          <w:tcPr>
            <w:tcW w:w="3120" w:type="dxa"/>
          </w:tcPr>
          <w:p>
            <w:pPr/>
            <w:r>
              <w:t xml:space="preserve">4,19</w:t>
            </w:r>
          </w:p>
        </w:tc>
        <w:tc>
          <w:tcPr>
            <w:tcW w:w="3120" w:type="dxa"/>
          </w:tcPr>
          <w:p>
            <w:pPr/>
            <w:r>
              <w:t xml:space="preserve">0,26</w:t>
            </w:r>
          </w:p>
        </w:tc>
      </w:tr>
      <w:tr>
        <w:tc>
          <w:tcPr>
            <w:tcW w:w="3120" w:type="dxa"/>
          </w:tcPr>
          <w:p>
            <w:pPr/>
            <w:r>
              <w:t xml:space="preserve">70 / 30 / 0</w:t>
            </w:r>
          </w:p>
        </w:tc>
        <w:tc>
          <w:tcPr>
            <w:tcW w:w="3120" w:type="dxa"/>
          </w:tcPr>
          <w:p>
            <w:pPr/>
            <w:r>
              <w:t xml:space="preserve">4,41</w:t>
            </w:r>
          </w:p>
        </w:tc>
        <w:tc>
          <w:tcPr>
            <w:tcW w:w="3120" w:type="dxa"/>
          </w:tcPr>
          <w:p>
            <w:pPr/>
            <w:r>
              <w:t xml:space="preserve">0,43</w:t>
            </w:r>
          </w:p>
        </w:tc>
      </w:tr>
      <w:tr>
        <w:tc>
          <w:tcPr>
            <w:tcW w:w="3120" w:type="dxa"/>
          </w:tcPr>
          <w:p>
            <w:pPr/>
            <w:r>
              <w:t xml:space="preserve">60 / 30 / 10</w:t>
            </w:r>
          </w:p>
        </w:tc>
        <w:tc>
          <w:tcPr>
            <w:tcW w:w="3120" w:type="dxa"/>
          </w:tcPr>
          <w:p>
            <w:pPr/>
            <w:r>
              <w:t xml:space="preserve">4,83</w:t>
            </w:r>
          </w:p>
        </w:tc>
        <w:tc>
          <w:tcPr>
            <w:tcW w:w="3120" w:type="dxa"/>
          </w:tcPr>
          <w:p>
            <w:pPr/>
            <w:r>
              <w:t xml:space="preserve">−0,74</w:t>
            </w:r>
          </w:p>
        </w:tc>
      </w:tr>
      <w:tr>
        <w:tc>
          <w:tcPr>
            <w:tcW w:w="3120" w:type="dxa"/>
          </w:tcPr>
          <w:p>
            <w:pPr/>
            <w:r>
              <w:t xml:space="preserve">50 / 50 / 0</w:t>
            </w:r>
          </w:p>
        </w:tc>
        <w:tc>
          <w:tcPr>
            <w:tcW w:w="3120" w:type="dxa"/>
          </w:tcPr>
          <w:p>
            <w:pPr/>
            <w:r>
              <w:t xml:space="preserve">5,05</w:t>
            </w:r>
          </w:p>
        </w:tc>
        <w:tc>
          <w:tcPr>
            <w:tcW w:w="3120" w:type="dxa"/>
          </w:tcPr>
          <w:p>
            <w:pPr/>
            <w:r>
              <w:t xml:space="preserve">−0,57</w:t>
            </w:r>
          </w:p>
        </w:tc>
      </w:tr>
      <w:tr>
        <w:tc>
          <w:tcPr>
            <w:tcW w:w="3120" w:type="dxa"/>
          </w:tcPr>
          <w:p>
            <w:pPr/>
            <w:r>
              <w:t xml:space="preserve">0 / 0 / 100</w:t>
            </w:r>
          </w:p>
        </w:tc>
        <w:tc>
          <w:tcPr>
            <w:tcW w:w="3120" w:type="dxa"/>
          </w:tcPr>
          <w:p>
            <w:pPr/>
            <w:r>
              <w:rPr>
                <w:b/>
              </w:rPr>
              <w:t xml:space="preserve">7,60</w:t>
            </w:r>
            <w:r>
              <w:t xml:space="preserve"> ← meilleure espérance</w:t>
            </w:r>
          </w:p>
        </w:tc>
        <w:tc>
          <w:tcPr>
            <w:tcW w:w="3120" w:type="dxa"/>
          </w:tcPr>
          <w:p>
            <w:pPr/>
            <w:r>
              <w:t xml:space="preserve">−9,84</w:t>
            </w:r>
          </w:p>
        </w:tc>
      </w:tr>
    </w:tbl>
    <w:p>
      <w:pPr/>
      <w:r>
        <w:t xml:space="preserve">La relation est </w:t>
      </w:r>
      <w:r>
        <w:rPr>
          <w:b/>
        </w:rPr>
        <w:t xml:space="preserve">strictement monotone</w:t>
      </w:r>
      <w:r>
        <w:t xml:space="preserve"> sur les 31, et aucune ne tient le plancher.</w:t>
      </w:r>
    </w:p>
    <w:p>
      <w:pPr/>
      <w:r>
        <w:t xml:space="preserve">Trois autres dimensions ont été testées : le </w:t>
      </w:r>
      <w:r>
        <w:rPr>
          <w:b/>
        </w:rPr>
        <w:t xml:space="preserve">mix de produits</w:t>
      </w:r>
      <w:r>
        <w:t xml:space="preserve"> à couverture égale (cal 83,31 · trimestres 87,55 · trimestres+peak 89,11 €/MWh), les </w:t>
      </w:r>
      <w:r>
        <w:rPr>
          <w:b/>
        </w:rPr>
        <w:t xml:space="preserve">sept options du T2</w:t>
      </w:r>
      <w:r>
        <w:t xml:space="preserve"> (ne rien acheter, compléter à 85 / 90 / 100 %, chacune en Cal et en trimestres) et les quatre </w:t>
      </w:r>
      <w:r>
        <w:rPr>
          <w:b/>
        </w:rPr>
        <w:t xml:space="preserve">tests de sensibilité</w:t>
      </w:r>
      <w:r>
        <w:t xml:space="preserve"> (plancher, </w:t>
      </w:r>
      <w:r>
        <w:rPr>
          <w:rStyle w:val="CodeChar"/>
        </w:rPr>
        <w:t xml:space="preserve">b</w:t>
      </w:r>
      <w:r>
        <w:t xml:space="preserve">, α, mix).</w:t>
      </w:r>
    </w:p>
    <w:p>
      <w:pPr/>
      <w:r>
        <w:t xml:space="preserve">Le point à retenir pour l'oral : notre 70/20/10 n'a pas la meilleure espérance, mais </w:t>
      </w:r>
      <w:r>
        <w:rPr>
          <w:b/>
        </w:rPr>
        <w:t xml:space="preserve">le meilleur pire cas des six</w:t>
      </w:r>
      <w:r>
        <w:t xml:space="preserve">, et ce classement ne bouge sur aucun des quatre tests.</w:t>
      </w:r>
    </w:p>
    <w:p>
      <w:pPr>
        <w:pStyle w:val="Heading3"/>
      </w:pPr>
      <w:r>
        <w:t xml:space="preserve">Le coût de la protection</w:t>
      </w:r>
    </w:p>
    <w:p>
      <w:pPr/>
      <w:r>
        <w:t xml:space="preserve">Le §3.5 demande de chiffrer ce qu'on paie pour se protéger. Par rapport à la stratégie la moins couverte :</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Espérance cédée</w:t>
            </w:r>
          </w:p>
        </w:tc>
        <w:tc>
          <w:tcPr>
            <w:tcW w:w="2340" w:type="dxa"/>
            <w:shd w:val="clear" w:color="auto" w:fill="F2F2F2"/>
          </w:tcPr>
          <w:p>
            <w:pPr/>
            <w:r>
              <w:t xml:space="preserve">Pire cas gagné</w:t>
            </w:r>
          </w:p>
        </w:tc>
        <w:tc>
          <w:tcPr>
            <w:tcW w:w="2340" w:type="dxa"/>
            <w:shd w:val="clear" w:color="auto" w:fill="F2F2F2"/>
          </w:tcPr>
          <w:p>
            <w:pPr/>
            <w:r>
              <w:t xml:space="preserve">Prix de la protection</w:t>
            </w:r>
          </w:p>
        </w:tc>
      </w:tr>
      <w:tr>
        <w:tc>
          <w:tcPr>
            <w:tcW w:w="2340" w:type="dxa"/>
          </w:tcPr>
          <w:p>
            <w:pPr/>
            <w:r>
              <w:t xml:space="preserve">Notre 70/20/10</w:t>
            </w:r>
          </w:p>
        </w:tc>
        <w:tc>
          <w:tcPr>
            <w:tcW w:w="2340" w:type="dxa"/>
          </w:tcPr>
          <w:p>
            <w:pPr/>
            <w:r>
              <w:t xml:space="preserve">0,78</w:t>
            </w:r>
          </w:p>
        </w:tc>
        <w:tc>
          <w:tcPr>
            <w:tcW w:w="2340" w:type="dxa"/>
          </w:tcPr>
          <w:p>
            <w:pPr/>
            <w:r>
              <w:t xml:space="preserve">2,02</w:t>
            </w:r>
          </w:p>
        </w:tc>
        <w:tc>
          <w:tcPr>
            <w:tcW w:w="2340" w:type="dxa"/>
          </w:tcPr>
          <w:p>
            <w:pPr/>
            <w:r>
              <w:rPr>
                <w:b/>
              </w:rPr>
              <w:t xml:space="preserve">0,39</w:t>
            </w:r>
          </w:p>
        </w:tc>
      </w:tr>
    </w:tbl>
    <w:p>
      <w:pPr/>
      <w:r>
        <w:t xml:space="preserve">On cède 0,39 €/MWh d'espérance pour chaque €/MWh de pire cas gagné. C'est la phrase qui fait passer l'étape 5 en Outstanding.</w:t>
      </w:r>
    </w:p>
    <w:p>
      <w:pPr>
        <w:pStyle w:val="Heading3"/>
      </w:pPr>
      <w:r>
        <w:t xml:space="preserve">La sensibilité, balayée automatiquement</w:t>
      </w:r>
    </w:p>
    <w:p>
      <w:pPr/>
      <w:r>
        <w:t xml:space="preserve">Le code teste quatre axes à chaque exécution : le plancher (0 à 10), la pente b (minimum annuel, mutualisée, maximum annuel), α (0,2 / 0,5 / 0,6) et le mix (cal / trimestres / +peak). </w:t>
      </w:r>
      <w:r>
        <w:rPr>
          <w:b/>
        </w:rPr>
        <w:t xml:space="preserve">Le classement des stratégies ne change sur aucun des quatre.</w:t>
      </w:r>
      <w:r>
        <w:t xml:space="preserve"> Une décision robuste est un résultat en soi — annoncez-le.</w:t>
      </w:r>
    </w:p>
    <w:p>
      <w:pPr>
        <w:pStyle w:val="Heading3"/>
      </w:pPr>
      <w:r>
        <w:t xml:space="preserve">La conclusion, et elle est honnête</w:t>
      </w:r>
    </w:p>
    <w:p>
      <w:pPr/>
      <w:r>
        <w:t xml:space="preserve">À 95 €/MWh imposés, le portefeuille </w:t>
      </w:r>
      <w:r>
        <w:rPr>
          <w:b/>
        </w:rPr>
        <w:t xml:space="preserve">ne finance pas</w:t>
      </w:r>
      <w:r>
        <w:t xml:space="preserve"> une marge protégée de 5 €/MWh. Il faudrait vendre à 98,07 €/MWh avec une couverture totale, ou 100,24 avec notre 70/20/10. Ce n'est pas un bug du modèle : c'est la réponse à la question que pose le §3.5, </w:t>
      </w:r>
      <w:r>
        <w:rPr>
          <w:i/>
        </w:rPr>
        <w:t xml:space="preserve">what would change your answer if the floor were higher or lower?</w:t>
      </w:r>
    </w:p>
    <w:p>
      <w:pPr>
        <w:pStyle w:val="Heading3"/>
      </w:pPr>
      <w:r>
        <w:t xml:space="preserve">Ce qu'il faut savoir dire</w:t>
      </w:r>
    </w:p>
    <w:p>
      <w:pPr>
        <w:pStyle w:val="ListParagraph"/>
        <w:numPr>
          <w:ilvl w:val="0"/>
          <w:numId w:val="16"/>
        </w:numPr>
      </w:pPr>
      <w:r>
        <w:t xml:space="preserve">La règle est </w:t>
      </w:r>
      <w:r>
        <w:rPr>
          <w:b/>
        </w:rPr>
        <w:t xml:space="preserve">max espérance sous contrainte de pire cas</w:t>
      </w:r>
      <w:r>
        <w:t xml:space="preserve">, et dans cet ordre.</w:t>
      </w:r>
    </w:p>
    <w:p>
      <w:pPr>
        <w:pStyle w:val="ListParagraph"/>
        <w:numPr>
          <w:ilvl w:val="0"/>
          <w:numId w:val="16"/>
        </w:numPr>
      </w:pPr>
      <w:r>
        <w:t xml:space="preserve">Pourquoi le scénario de choc est indispensable, et que ses deux paramètres sont vos choix.</w:t>
      </w:r>
    </w:p>
    <w:p>
      <w:pPr>
        <w:pStyle w:val="ListParagraph"/>
        <w:numPr>
          <w:ilvl w:val="0"/>
          <w:numId w:val="16"/>
        </w:numPr>
      </w:pPr>
      <w:r>
        <w:t xml:space="preserve">Que le plancher n'est pas atteint, </w:t>
      </w:r>
      <w:r>
        <w:rPr>
          <w:b/>
        </w:rPr>
        <w:t xml:space="preserve">pourquoi</w:t>
      </w:r>
      <w:r>
        <w:t xml:space="preserve">, et à quel prix de vente il le serait.</w:t>
      </w:r>
    </w:p>
    <w:p>
      <w:pPr>
        <w:pStyle w:val="Heading2"/>
      </w:pPr>
      <w:r>
        <w:t xml:space="preserve">Étape 13 — Le travail au T2</w:t>
      </w:r>
    </w:p>
    <w:p>
      <w:pPr/>
      <w:r>
        <w:t xml:space="preserve">La règle d'or du §4 : </w:t>
      </w:r>
      <w:r>
        <w:rPr>
          <w:b/>
        </w:rPr>
        <w:t xml:space="preserve">les achats du T1 sont un fait, pas une décision</w:t>
      </w:r>
      <w:r>
        <w:t xml:space="preserve">. Le doc prévient même que re-optimiser le T1 avec le recul fait perdre le crédit des deux dates.</w:t>
      </w:r>
    </w:p>
    <w:p>
      <w:pPr>
        <w:pStyle w:val="Code"/>
      </w:pPr>
      <w:bookmarkStart w:id="32" w:name="bongo_lang_python_32"/>
      <w:bookmarkEnd w:id="32"/>
      <w:r>
        <w:t xml:space="preserve">STRATEGIE_T1 = "Notre strategie 70/20/10"</w:t>
        <w:br/>
        <w:t xml:space="preserve">mix_t1 = cp.construire_mix(cp.STRATEGIES[STRATEGIE_T1][0], volumes_q_t1, index)</w:t>
      </w:r>
    </w:p>
    <w:p>
      <w:pPr/>
      <w:r>
        <w:t xml:space="preserve">Le mix T1 entre en dur dans tous les calculs qui suivent et n'est jamais rediscuté.</w:t>
      </w:r>
    </w:p>
    <w:p>
      <w:pPr>
        <w:pStyle w:val="Heading3"/>
      </w:pPr>
      <w:r>
        <w:t xml:space="preserve">4.1 — Anticipation contre réalité</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Scénario</w:t>
            </w:r>
          </w:p>
        </w:tc>
        <w:tc>
          <w:tcPr>
            <w:tcW w:w="1872" w:type="dxa"/>
            <w:shd w:val="clear" w:color="auto" w:fill="F2F2F2"/>
          </w:tcPr>
          <w:p>
            <w:pPr/>
            <w:r>
              <w:t xml:space="preserve">Forward T2 anticipé</w:t>
            </w:r>
          </w:p>
        </w:tc>
        <w:tc>
          <w:tcPr>
            <w:tcW w:w="1872" w:type="dxa"/>
            <w:shd w:val="clear" w:color="auto" w:fill="F2F2F2"/>
          </w:tcPr>
          <w:p>
            <w:pPr/>
            <w:r>
              <w:t xml:space="preserve">Réel</w:t>
            </w:r>
          </w:p>
        </w:tc>
        <w:tc>
          <w:tcPr>
            <w:tcW w:w="1872" w:type="dxa"/>
            <w:shd w:val="clear" w:color="auto" w:fill="F2F2F2"/>
          </w:tcPr>
          <w:p>
            <w:pPr/>
            <w:r>
              <w:t xml:space="preserve">Erreur</w:t>
            </w:r>
          </w:p>
        </w:tc>
        <w:tc>
          <w:tcPr>
            <w:tcW w:w="1872" w:type="dxa"/>
            <w:shd w:val="clear" w:color="auto" w:fill="F2F2F2"/>
          </w:tcPr>
          <w:p>
            <w:pPr/>
            <w:r>
              <w:t xml:space="preserve">Erreur / sigma</w:t>
            </w:r>
          </w:p>
        </w:tc>
      </w:tr>
      <w:tr>
        <w:tc>
          <w:tcPr>
            <w:tcW w:w="1872" w:type="dxa"/>
          </w:tcPr>
          <w:p>
            <w:pPr/>
            <w:r>
              <w:t xml:space="preserve">2021</w:t>
            </w:r>
          </w:p>
        </w:tc>
        <w:tc>
          <w:tcPr>
            <w:tcW w:w="1872" w:type="dxa"/>
          </w:tcPr>
          <w:p>
            <w:pPr/>
            <w:r>
              <w:t xml:space="preserve">82,02</w:t>
            </w:r>
          </w:p>
        </w:tc>
        <w:tc>
          <w:tcPr>
            <w:tcW w:w="1872" w:type="dxa"/>
          </w:tcPr>
          <w:p>
            <w:pPr/>
            <w:r>
              <w:t xml:space="preserve">73,70</w:t>
            </w:r>
          </w:p>
        </w:tc>
        <w:tc>
          <w:tcPr>
            <w:tcW w:w="1872" w:type="dxa"/>
          </w:tcPr>
          <w:p>
            <w:pPr/>
            <w:r>
              <w:t xml:space="preserve">−8,32</w:t>
            </w:r>
          </w:p>
        </w:tc>
        <w:tc>
          <w:tcPr>
            <w:tcW w:w="1872" w:type="dxa"/>
          </w:tcPr>
          <w:p>
            <w:pPr/>
            <w:r>
              <w:t xml:space="preserve">−1,14</w:t>
            </w:r>
          </w:p>
        </w:tc>
      </w:tr>
      <w:tr>
        <w:tc>
          <w:tcPr>
            <w:tcW w:w="1872" w:type="dxa"/>
          </w:tcPr>
          <w:p>
            <w:pPr/>
            <w:r>
              <w:t xml:space="preserve">2023</w:t>
            </w:r>
          </w:p>
        </w:tc>
        <w:tc>
          <w:tcPr>
            <w:tcW w:w="1872" w:type="dxa"/>
          </w:tcPr>
          <w:p>
            <w:pPr/>
            <w:r>
              <w:t xml:space="preserve">80,66</w:t>
            </w:r>
          </w:p>
        </w:tc>
        <w:tc>
          <w:tcPr>
            <w:tcW w:w="1872" w:type="dxa"/>
          </w:tcPr>
          <w:p>
            <w:pPr/>
            <w:r>
              <w:t xml:space="preserve">73,70</w:t>
            </w:r>
          </w:p>
        </w:tc>
        <w:tc>
          <w:tcPr>
            <w:tcW w:w="1872" w:type="dxa"/>
          </w:tcPr>
          <w:p>
            <w:pPr/>
            <w:r>
              <w:t xml:space="preserve">−6,96</w:t>
            </w:r>
          </w:p>
        </w:tc>
        <w:tc>
          <w:tcPr>
            <w:tcW w:w="1872" w:type="dxa"/>
          </w:tcPr>
          <w:p>
            <w:pPr/>
            <w:r>
              <w:t xml:space="preserve">−0,95</w:t>
            </w:r>
          </w:p>
        </w:tc>
      </w:tr>
      <w:tr>
        <w:tc>
          <w:tcPr>
            <w:tcW w:w="1872" w:type="dxa"/>
          </w:tcPr>
          <w:p>
            <w:pPr/>
            <w:r>
              <w:t xml:space="preserve">2024</w:t>
            </w:r>
          </w:p>
        </w:tc>
        <w:tc>
          <w:tcPr>
            <w:tcW w:w="1872" w:type="dxa"/>
          </w:tcPr>
          <w:p>
            <w:pPr/>
            <w:r>
              <w:t xml:space="preserve">80,39</w:t>
            </w:r>
          </w:p>
        </w:tc>
        <w:tc>
          <w:tcPr>
            <w:tcW w:w="1872" w:type="dxa"/>
          </w:tcPr>
          <w:p>
            <w:pPr/>
            <w:r>
              <w:t xml:space="preserve">73,70</w:t>
            </w:r>
          </w:p>
        </w:tc>
        <w:tc>
          <w:tcPr>
            <w:tcW w:w="1872" w:type="dxa"/>
          </w:tcPr>
          <w:p>
            <w:pPr/>
            <w:r>
              <w:t xml:space="preserve">−6,69</w:t>
            </w:r>
          </w:p>
        </w:tc>
        <w:tc>
          <w:tcPr>
            <w:tcW w:w="1872" w:type="dxa"/>
          </w:tcPr>
          <w:p>
            <w:pPr/>
            <w:r>
              <w:t xml:space="preserve">−0,92</w:t>
            </w:r>
          </w:p>
        </w:tc>
      </w:tr>
      <w:tr>
        <w:tc>
          <w:tcPr>
            <w:tcW w:w="1872" w:type="dxa"/>
          </w:tcPr>
          <w:p>
            <w:pPr/>
            <w:r>
              <w:t xml:space="preserve">choc +20 %</w:t>
            </w:r>
          </w:p>
        </w:tc>
        <w:tc>
          <w:tcPr>
            <w:tcW w:w="1872" w:type="dxa"/>
          </w:tcPr>
          <w:p>
            <w:pPr/>
            <w:r>
              <w:t xml:space="preserve">90,09</w:t>
            </w:r>
          </w:p>
        </w:tc>
        <w:tc>
          <w:tcPr>
            <w:tcW w:w="1872" w:type="dxa"/>
          </w:tcPr>
          <w:p>
            <w:pPr/>
            <w:r>
              <w:t xml:space="preserve">73,70</w:t>
            </w:r>
          </w:p>
        </w:tc>
        <w:tc>
          <w:tcPr>
            <w:tcW w:w="1872" w:type="dxa"/>
          </w:tcPr>
          <w:p>
            <w:pPr/>
            <w:r>
              <w:t xml:space="preserve">−16,39</w:t>
            </w:r>
          </w:p>
        </w:tc>
        <w:tc>
          <w:tcPr>
            <w:tcW w:w="1872" w:type="dxa"/>
          </w:tcPr>
          <w:p>
            <w:pPr/>
            <w:r>
              <w:t xml:space="preserve">−2,25</w:t>
            </w:r>
          </w:p>
        </w:tc>
      </w:tr>
    </w:tbl>
    <w:p>
      <w:pPr/>
      <w:r>
        <w:t xml:space="preserve">Le prix observé tombe </w:t>
      </w:r>
      <w:r>
        <w:rPr>
          <w:b/>
        </w:rPr>
        <w:t xml:space="preserve">hors</w:t>
      </w:r>
      <w:r>
        <w:t xml:space="preserve"> de la fourchette anticipée [80,39 ; 82,02]. Les erreurs restent sous 1,2 sigma pour les scénarios météo : le mouvement était banal pour un marché, inatteignable pour un modèle de température.</w:t>
      </w:r>
    </w:p>
    <w:p>
      <w:pPr>
        <w:pStyle w:val="Heading3"/>
      </w:pPr>
      <w:r>
        <w:t xml:space="preserve">4.2 — Réviser les probabilités</w:t>
      </w:r>
    </w:p>
    <w:p>
      <w:pPr/>
      <w:r>
        <w:t xml:space="preserve">Le §4.2 est explicite : garder 50/50 est accepté si c'est justifié, mais </w:t>
      </w:r>
      <w:r>
        <w:rPr>
          <w:i/>
        </w:rPr>
        <w:t xml:space="preserve">what is not accepted is changing the probabilities without a reason, or choosing them so that the strategy you prefer wins</w:t>
      </w:r>
      <w:r>
        <w:t xml:space="preserve">. Il faut donc une </w:t>
      </w:r>
      <w:r>
        <w:rPr>
          <w:b/>
        </w:rPr>
        <w:t xml:space="preserve">règle mécanique, posée avant de regarder le résultat</w:t>
      </w:r>
      <w:r>
        <w:t xml:space="preserve">.</w:t>
      </w:r>
    </w:p>
    <w:p>
      <w:pPr/>
      <w:r>
        <w:t xml:space="preserve">Celle du code est une mise à jour bayésienne : postérieure ∝ antérieure × vraisemblance du prix observé.</w:t>
      </w:r>
    </w:p>
    <w:p>
      <w:pPr>
        <w:pStyle w:val="Code"/>
      </w:pPr>
      <w:bookmarkStart w:id="33" w:name="bongo_lang_python_33"/>
      <w:bookmarkEnd w:id="33"/>
      <w:r>
        <w:t xml:space="preserve">def probabilites_revisees(scenarios, priors, alpha=None, forward_observe=None):</w:t>
        <w:br/>
        <w:t xml:space="preserve">    sigma = sc.sigma_t2()</w:t>
        <w:br/>
        <w:t xml:space="preserve">    poids = {an: priors[an] * float(np.exp(</w:t>
        <w:br/>
        <w:t xml:space="preserve">        -0.5 * ((sc.forward_t2_anticipe(s["niveau"], alpha) - observe) / sigma) ** 2))</w:t>
        <w:br/>
        <w:t xml:space="preserve">        for an, s in scenarios.items()}</w:t>
        <w:br/>
        <w:t xml:space="preserve">    total = sum(poids.values())</w:t>
        <w:br/>
        <w:t xml:space="preserve">    return {an: p / total for an, p in poids.items()}</w:t>
      </w:r>
    </w:p>
    <w:p>
      <w:pPr/>
      <w:r>
        <w:t xml:space="preserve">La vraisemblance est gaussienne, d'écart-type celui de la CRE. Un scénario dont le forward anticipé tombe loin du prix observé devient moins crédible, mécaniquement.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Scénario</w:t>
            </w:r>
          </w:p>
        </w:tc>
        <w:tc>
          <w:tcPr>
            <w:tcW w:w="3120" w:type="dxa"/>
            <w:shd w:val="clear" w:color="auto" w:fill="F2F2F2"/>
          </w:tcPr>
          <w:p>
            <w:pPr/>
            <w:r>
              <w:t xml:space="preserve">Au T1</w:t>
            </w:r>
          </w:p>
        </w:tc>
        <w:tc>
          <w:tcPr>
            <w:tcW w:w="3120" w:type="dxa"/>
            <w:shd w:val="clear" w:color="auto" w:fill="F2F2F2"/>
          </w:tcPr>
          <w:p>
            <w:pPr/>
            <w:r>
              <w:t xml:space="preserve">Au T2</w:t>
            </w:r>
          </w:p>
        </w:tc>
      </w:tr>
      <w:tr>
        <w:tc>
          <w:tcPr>
            <w:tcW w:w="3120" w:type="dxa"/>
          </w:tcPr>
          <w:p>
            <w:pPr/>
            <w:r>
              <w:t xml:space="preserve">2021</w:t>
            </w:r>
          </w:p>
        </w:tc>
        <w:tc>
          <w:tcPr>
            <w:tcW w:w="3120" w:type="dxa"/>
          </w:tcPr>
          <w:p>
            <w:pPr/>
            <w:r>
              <w:t xml:space="preserve">28,3 %</w:t>
            </w:r>
          </w:p>
        </w:tc>
        <w:tc>
          <w:tcPr>
            <w:tcW w:w="3120" w:type="dxa"/>
          </w:tcPr>
          <w:p>
            <w:pPr/>
            <w:r>
              <w:t xml:space="preserve">28,1 %</w:t>
            </w:r>
          </w:p>
        </w:tc>
      </w:tr>
      <w:tr>
        <w:tc>
          <w:tcPr>
            <w:tcW w:w="3120" w:type="dxa"/>
          </w:tcPr>
          <w:p>
            <w:pPr/>
            <w:r>
              <w:t xml:space="preserve">2023</w:t>
            </w:r>
          </w:p>
        </w:tc>
        <w:tc>
          <w:tcPr>
            <w:tcW w:w="3120" w:type="dxa"/>
          </w:tcPr>
          <w:p>
            <w:pPr/>
            <w:r>
              <w:t xml:space="preserve">28,3 %</w:t>
            </w:r>
          </w:p>
        </w:tc>
        <w:tc>
          <w:tcPr>
            <w:tcW w:w="3120" w:type="dxa"/>
          </w:tcPr>
          <w:p>
            <w:pPr/>
            <w:r>
              <w:t xml:space="preserve">34,2 %</w:t>
            </w:r>
          </w:p>
        </w:tc>
      </w:tr>
      <w:tr>
        <w:tc>
          <w:tcPr>
            <w:tcW w:w="3120" w:type="dxa"/>
          </w:tcPr>
          <w:p>
            <w:pPr/>
            <w:r>
              <w:t xml:space="preserve">2024</w:t>
            </w:r>
          </w:p>
        </w:tc>
        <w:tc>
          <w:tcPr>
            <w:tcW w:w="3120" w:type="dxa"/>
          </w:tcPr>
          <w:p>
            <w:pPr/>
            <w:r>
              <w:t xml:space="preserve">28,3 %</w:t>
            </w:r>
          </w:p>
        </w:tc>
        <w:tc>
          <w:tcPr>
            <w:tcW w:w="3120" w:type="dxa"/>
          </w:tcPr>
          <w:p>
            <w:pPr/>
            <w:r>
              <w:t xml:space="preserve">35,4 %</w:t>
            </w:r>
          </w:p>
        </w:tc>
      </w:tr>
      <w:tr>
        <w:tc>
          <w:tcPr>
            <w:tcW w:w="3120" w:type="dxa"/>
          </w:tcPr>
          <w:p>
            <w:pPr/>
            <w:r>
              <w:t xml:space="preserve">choc +20 %</w:t>
            </w:r>
          </w:p>
        </w:tc>
        <w:tc>
          <w:tcPr>
            <w:tcW w:w="3120" w:type="dxa"/>
          </w:tcPr>
          <w:p>
            <w:pPr/>
            <w:r>
              <w:t xml:space="preserve">15,0 %</w:t>
            </w:r>
          </w:p>
        </w:tc>
        <w:tc>
          <w:tcPr>
            <w:tcW w:w="3120" w:type="dxa"/>
          </w:tcPr>
          <w:p>
            <w:pPr/>
            <w:r>
              <w:rPr>
                <w:b/>
              </w:rPr>
              <w:t xml:space="preserve">2,3 %</w:t>
            </w:r>
          </w:p>
        </w:tc>
      </w:tr>
    </w:tbl>
    <w:p>
      <w:pPr/>
      <w:r>
        <w:t xml:space="preserve">Le choc s'effondre : le marché a baissé de 11,5 %, un choc à la hausse devient peu crédible. La révision est motivée par </w:t>
      </w:r>
      <w:r>
        <w:rPr>
          <w:b/>
        </w:rPr>
        <w:t xml:space="preserve">une information nouvelle</w:t>
      </w:r>
      <w:r>
        <w:t xml:space="preserve">, le prix — pas par la stratégie qu'on préfère.</w:t>
      </w:r>
    </w:p>
    <w:p>
      <w:pPr>
        <w:pStyle w:val="Heading3"/>
      </w:pPr>
      <w:r>
        <w:t xml:space="preserve">4.3 — Volume et ratio réellement atteint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Prévision au T1</w:t>
            </w:r>
          </w:p>
        </w:tc>
        <w:tc>
          <w:tcPr>
            <w:tcW w:w="4680" w:type="dxa"/>
          </w:tcPr>
          <w:p>
            <w:pPr/>
            <w:r>
              <w:t xml:space="preserve">536 627 MWh</w:t>
            </w:r>
          </w:p>
        </w:tc>
      </w:tr>
      <w:tr>
        <w:tc>
          <w:tcPr>
            <w:tcW w:w="4680" w:type="dxa"/>
          </w:tcPr>
          <w:p>
            <w:pPr/>
            <w:r>
              <w:t xml:space="preserve">Prévision au T2</w:t>
            </w:r>
          </w:p>
        </w:tc>
        <w:tc>
          <w:tcPr>
            <w:tcW w:w="4680" w:type="dxa"/>
          </w:tcPr>
          <w:p>
            <w:pPr/>
            <w:r>
              <w:t xml:space="preserve">501 962 MWh (−6,46 %)</w:t>
            </w:r>
          </w:p>
        </w:tc>
      </w:tr>
      <w:tr>
        <w:tc>
          <w:tcPr>
            <w:tcW w:w="4680" w:type="dxa"/>
          </w:tcPr>
          <w:p>
            <w:pPr/>
            <w:r>
              <w:t xml:space="preserve">Acheté au T1</w:t>
            </w:r>
          </w:p>
        </w:tc>
        <w:tc>
          <w:tcPr>
            <w:tcW w:w="4680" w:type="dxa"/>
          </w:tcPr>
          <w:p>
            <w:pPr/>
            <w:r>
              <w:t xml:space="preserve">375 639 MWh, soit 70,0 % de l'ancienne prévision</w:t>
            </w:r>
          </w:p>
        </w:tc>
      </w:tr>
      <w:tr>
        <w:tc>
          <w:tcPr>
            <w:tcW w:w="4680" w:type="dxa"/>
          </w:tcPr>
          <w:p>
            <w:pPr/>
            <w:r>
              <w:rPr>
                <w:b/>
              </w:rPr>
              <w:t xml:space="preserve">Ratio réellement atteint</w:t>
            </w:r>
          </w:p>
        </w:tc>
        <w:tc>
          <w:tcPr>
            <w:tcW w:w="4680" w:type="dxa"/>
          </w:tcPr>
          <w:p>
            <w:pPr/>
            <w:r>
              <w:rPr>
                <w:b/>
              </w:rPr>
              <w:t xml:space="preserve">74,8 % de la nouvelle</w:t>
            </w:r>
          </w:p>
        </w:tc>
      </w:tr>
    </w:tbl>
    <w:p>
      <w:pPr/>
      <w:r>
        <w:t xml:space="preserve">Le portefeuille a rétréci, donc on est </w:t>
      </w:r>
      <w:r>
        <w:rPr>
          <w:b/>
        </w:rPr>
        <w:t xml:space="preserve">sur-couvert de 4,8 points</w:t>
      </w:r>
      <w:r>
        <w:t xml:space="preserve"> par rapport au plan, sans avoir rien fait. La marge de manœuvre jusqu'à 100 % tombe de 30 % à 25,2 %. C'est le risque de volume du cours, en une ligne.</w:t>
      </w:r>
    </w:p>
    <w:p>
      <w:pPr>
        <w:pStyle w:val="Heading3"/>
      </w:pPr>
      <w:r>
        <w:t xml:space="preserve">Le mark-to-market de la position T1</w:t>
      </w:r>
    </w:p>
    <w:p>
      <w:pPr>
        <w:pStyle w:val="Code"/>
      </w:pPr>
      <w:bookmarkStart w:id="34" w:name="bongo_lang_python_34"/>
      <w:bookmarkEnd w:id="34"/>
      <w:r>
        <w:t xml:space="preserve">for (p, n), mw in sorted(mix.items()):</w:t>
        <w:br/>
        <w:t xml:space="preserve">    h = cp.heures_livrees(p, n, index)</w:t>
        <w:br/>
        <w:t xml:space="preserve">    t1, t2 = sc.prix_eex(p, n, "T1"), sc.prix_eex(p, n, "T2")</w:t>
        <w:br/>
        <w:t xml:space="preserve">    lignes.append({... "MtM MEUR": mw * h * (t2 - t1) / 1e6})</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Produit</w:t>
            </w:r>
          </w:p>
        </w:tc>
        <w:tc>
          <w:tcPr>
            <w:tcW w:w="1560" w:type="dxa"/>
            <w:shd w:val="clear" w:color="auto" w:fill="F2F2F2"/>
          </w:tcPr>
          <w:p>
            <w:pPr/>
            <w:r>
              <w:t xml:space="preserve">MWh</w:t>
            </w:r>
          </w:p>
        </w:tc>
        <w:tc>
          <w:tcPr>
            <w:tcW w:w="1560" w:type="dxa"/>
            <w:shd w:val="clear" w:color="auto" w:fill="F2F2F2"/>
          </w:tcPr>
          <w:p>
            <w:pPr/>
            <w:r>
              <w:t xml:space="preserve">Prix T1</w:t>
            </w:r>
          </w:p>
        </w:tc>
        <w:tc>
          <w:tcPr>
            <w:tcW w:w="1560" w:type="dxa"/>
            <w:shd w:val="clear" w:color="auto" w:fill="F2F2F2"/>
          </w:tcPr>
          <w:p>
            <w:pPr/>
            <w:r>
              <w:t xml:space="preserve">Prix T2</w:t>
            </w:r>
          </w:p>
        </w:tc>
        <w:tc>
          <w:tcPr>
            <w:tcW w:w="1560" w:type="dxa"/>
            <w:shd w:val="clear" w:color="auto" w:fill="F2F2F2"/>
          </w:tcPr>
          <w:p>
            <w:pPr/>
            <w:r>
              <w:t xml:space="preserve">Écart</w:t>
            </w:r>
          </w:p>
        </w:tc>
        <w:tc>
          <w:tcPr>
            <w:tcW w:w="1560" w:type="dxa"/>
            <w:shd w:val="clear" w:color="auto" w:fill="F2F2F2"/>
          </w:tcPr>
          <w:p>
            <w:pPr/>
            <w:r>
              <w:t xml:space="preserve">MtM</w:t>
            </w:r>
          </w:p>
        </w:tc>
      </w:tr>
      <w:tr>
        <w:tc>
          <w:tcPr>
            <w:tcW w:w="1560" w:type="dxa"/>
          </w:tcPr>
          <w:p>
            <w:pPr/>
            <w:r>
              <w:t xml:space="preserve">Q1-27 Base</w:t>
            </w:r>
          </w:p>
        </w:tc>
        <w:tc>
          <w:tcPr>
            <w:tcW w:w="1560" w:type="dxa"/>
          </w:tcPr>
          <w:p>
            <w:pPr/>
            <w:r>
              <w:t xml:space="preserve">107 054</w:t>
            </w:r>
          </w:p>
        </w:tc>
        <w:tc>
          <w:tcPr>
            <w:tcW w:w="1560" w:type="dxa"/>
          </w:tcPr>
          <w:p>
            <w:pPr/>
            <w:r>
              <w:t xml:space="preserve">139,00</w:t>
            </w:r>
          </w:p>
        </w:tc>
        <w:tc>
          <w:tcPr>
            <w:tcW w:w="1560" w:type="dxa"/>
          </w:tcPr>
          <w:p>
            <w:pPr/>
            <w:r>
              <w:t xml:space="preserve">119,54</w:t>
            </w:r>
          </w:p>
        </w:tc>
        <w:tc>
          <w:tcPr>
            <w:tcW w:w="1560" w:type="dxa"/>
          </w:tcPr>
          <w:p>
            <w:pPr/>
            <w:r>
              <w:t xml:space="preserve">−19,46</w:t>
            </w:r>
          </w:p>
        </w:tc>
        <w:tc>
          <w:tcPr>
            <w:tcW w:w="1560" w:type="dxa"/>
          </w:tcPr>
          <w:p>
            <w:pPr/>
            <w:r>
              <w:t xml:space="preserve">−2,08 M€</w:t>
            </w:r>
          </w:p>
        </w:tc>
      </w:tr>
      <w:tr>
        <w:tc>
          <w:tcPr>
            <w:tcW w:w="1560" w:type="dxa"/>
          </w:tcPr>
          <w:p>
            <w:pPr/>
            <w:r>
              <w:t xml:space="preserve">Q2-27 Base</w:t>
            </w:r>
          </w:p>
        </w:tc>
        <w:tc>
          <w:tcPr>
            <w:tcW w:w="1560" w:type="dxa"/>
          </w:tcPr>
          <w:p>
            <w:pPr/>
            <w:r>
              <w:t xml:space="preserve">82 805</w:t>
            </w:r>
          </w:p>
        </w:tc>
        <w:tc>
          <w:tcPr>
            <w:tcW w:w="1560" w:type="dxa"/>
          </w:tcPr>
          <w:p>
            <w:pPr/>
            <w:r>
              <w:t xml:space="preserve">45,18</w:t>
            </w:r>
          </w:p>
        </w:tc>
        <w:tc>
          <w:tcPr>
            <w:tcW w:w="1560" w:type="dxa"/>
          </w:tcPr>
          <w:p>
            <w:pPr/>
            <w:r>
              <w:t xml:space="preserve">42,47</w:t>
            </w:r>
          </w:p>
        </w:tc>
        <w:tc>
          <w:tcPr>
            <w:tcW w:w="1560" w:type="dxa"/>
          </w:tcPr>
          <w:p>
            <w:pPr/>
            <w:r>
              <w:t xml:space="preserve">−2,71</w:t>
            </w:r>
          </w:p>
        </w:tc>
        <w:tc>
          <w:tcPr>
            <w:tcW w:w="1560" w:type="dxa"/>
          </w:tcPr>
          <w:p>
            <w:pPr/>
            <w:r>
              <w:t xml:space="preserve">−0,22 M€</w:t>
            </w:r>
          </w:p>
        </w:tc>
      </w:tr>
      <w:tr>
        <w:tc>
          <w:tcPr>
            <w:tcW w:w="1560" w:type="dxa"/>
          </w:tcPr>
          <w:p>
            <w:pPr/>
            <w:r>
              <w:t xml:space="preserve">Q3-27 Base</w:t>
            </w:r>
          </w:p>
        </w:tc>
        <w:tc>
          <w:tcPr>
            <w:tcW w:w="1560" w:type="dxa"/>
          </w:tcPr>
          <w:p>
            <w:pPr/>
            <w:r>
              <w:t xml:space="preserve">80 517</w:t>
            </w:r>
          </w:p>
        </w:tc>
        <w:tc>
          <w:tcPr>
            <w:tcW w:w="1560" w:type="dxa"/>
          </w:tcPr>
          <w:p>
            <w:pPr/>
            <w:r>
              <w:t xml:space="preserve">61,09</w:t>
            </w:r>
          </w:p>
        </w:tc>
        <w:tc>
          <w:tcPr>
            <w:tcW w:w="1560" w:type="dxa"/>
          </w:tcPr>
          <w:p>
            <w:pPr/>
            <w:r>
              <w:t xml:space="preserve">56,20</w:t>
            </w:r>
          </w:p>
        </w:tc>
        <w:tc>
          <w:tcPr>
            <w:tcW w:w="1560" w:type="dxa"/>
          </w:tcPr>
          <w:p>
            <w:pPr/>
            <w:r>
              <w:t xml:space="preserve">−4,89</w:t>
            </w:r>
          </w:p>
        </w:tc>
        <w:tc>
          <w:tcPr>
            <w:tcW w:w="1560" w:type="dxa"/>
          </w:tcPr>
          <w:p>
            <w:pPr/>
            <w:r>
              <w:t xml:space="preserve">−0,39 M€</w:t>
            </w:r>
          </w:p>
        </w:tc>
      </w:tr>
      <w:tr>
        <w:tc>
          <w:tcPr>
            <w:tcW w:w="1560" w:type="dxa"/>
          </w:tcPr>
          <w:p>
            <w:pPr/>
            <w:r>
              <w:t xml:space="preserve">Q4-27 Base</w:t>
            </w:r>
          </w:p>
        </w:tc>
        <w:tc>
          <w:tcPr>
            <w:tcW w:w="1560" w:type="dxa"/>
          </w:tcPr>
          <w:p>
            <w:pPr/>
            <w:r>
              <w:t xml:space="preserve">105 263</w:t>
            </w:r>
          </w:p>
        </w:tc>
        <w:tc>
          <w:tcPr>
            <w:tcW w:w="1560" w:type="dxa"/>
          </w:tcPr>
          <w:p>
            <w:pPr/>
            <w:r>
              <w:t xml:space="preserve">88,78</w:t>
            </w:r>
          </w:p>
        </w:tc>
        <w:tc>
          <w:tcPr>
            <w:tcW w:w="1560" w:type="dxa"/>
          </w:tcPr>
          <w:p>
            <w:pPr/>
            <w:r>
              <w:t xml:space="preserve">77,24</w:t>
            </w:r>
          </w:p>
        </w:tc>
        <w:tc>
          <w:tcPr>
            <w:tcW w:w="1560" w:type="dxa"/>
          </w:tcPr>
          <w:p>
            <w:pPr/>
            <w:r>
              <w:t xml:space="preserve">−11,54</w:t>
            </w:r>
          </w:p>
        </w:tc>
        <w:tc>
          <w:tcPr>
            <w:tcW w:w="1560" w:type="dxa"/>
          </w:tcPr>
          <w:p>
            <w:pPr/>
            <w:r>
              <w:t xml:space="preserve">−1,21 M€</w:t>
            </w:r>
          </w:p>
        </w:tc>
      </w:tr>
      <w:tr>
        <w:tc>
          <w:tcPr>
            <w:tcW w:w="1560" w:type="dxa"/>
          </w:tcPr>
          <w:p>
            <w:pPr/>
            <w:r>
              <w:rPr>
                <w:b/>
              </w:rPr>
              <w:t xml:space="preserve">Total</w:t>
            </w:r>
          </w:p>
        </w:tc>
        <w:tc>
          <w:tcPr>
            <w:tcW w:w="1560" w:type="dxa"/>
          </w:tcPr>
          <w:p>
            <w:pPr/>
            <w:r>
              <w:t xml:space="preserve">375 639</w:t>
            </w:r>
          </w:p>
        </w:tc>
        <w:tc>
          <w:tcPr>
            <w:tcW w:w="1560" w:type="dxa"/>
          </w:tcPr>
          <w:p>
            <w:pPr/>
          </w:p>
        </w:tc>
        <w:tc>
          <w:tcPr>
            <w:tcW w:w="1560" w:type="dxa"/>
          </w:tcPr>
          <w:p>
            <w:pPr/>
          </w:p>
        </w:tc>
        <w:tc>
          <w:tcPr>
            <w:tcW w:w="1560" w:type="dxa"/>
          </w:tcPr>
          <w:p>
            <w:pPr/>
          </w:p>
        </w:tc>
        <w:tc>
          <w:tcPr>
            <w:tcW w:w="1560" w:type="dxa"/>
          </w:tcPr>
          <w:p>
            <w:pPr/>
            <w:r>
              <w:rPr>
                <w:b/>
              </w:rPr>
              <w:t xml:space="preserve">−3,92 M€</w:t>
            </w:r>
          </w:p>
        </w:tc>
      </w:tr>
    </w:tbl>
    <w:p>
      <w:pPr/>
      <w:r>
        <w:t xml:space="preserve">Soit </w:t>
      </w:r>
      <w:r>
        <w:rPr>
          <w:b/>
        </w:rPr>
        <w:t xml:space="preserve">−10,43 €/MWh couvert</w:t>
      </w:r>
      <w:r>
        <w:t xml:space="preserve">. Ce n'est pas une erreur : on a acheté une assurance qui ne s'est pas déclenchée. La formuler ainsi est plus solide que de la passer sous silence.</w:t>
      </w:r>
    </w:p>
    <w:p>
      <w:pPr>
        <w:pStyle w:val="Heading3"/>
      </w:pPr>
      <w:r>
        <w:t xml:space="preserve">4.4 — Décider la part restante</w:t>
      </w:r>
    </w:p>
    <w:p>
      <w:pPr/>
      <w:r>
        <w:t xml:space="preserve">Sept options testées (quatre cibles × deux formes), T1 figé, Levels réancrés sur 73,70, nouvelles probabilités, nouveau volume.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Option</w:t>
            </w:r>
          </w:p>
        </w:tc>
        <w:tc>
          <w:tcPr>
            <w:tcW w:w="1560" w:type="dxa"/>
            <w:shd w:val="clear" w:color="auto" w:fill="F2F2F2"/>
          </w:tcPr>
          <w:p>
            <w:pPr/>
            <w:r>
              <w:t xml:space="preserve">Achat T2</w:t>
            </w:r>
          </w:p>
        </w:tc>
        <w:tc>
          <w:tcPr>
            <w:tcW w:w="1560" w:type="dxa"/>
            <w:shd w:val="clear" w:color="auto" w:fill="F2F2F2"/>
          </w:tcPr>
          <w:p>
            <w:pPr/>
            <w:r>
              <w:t xml:space="preserve">Couverture</w:t>
            </w:r>
          </w:p>
        </w:tc>
        <w:tc>
          <w:tcPr>
            <w:tcW w:w="1560" w:type="dxa"/>
            <w:shd w:val="clear" w:color="auto" w:fill="F2F2F2"/>
          </w:tcPr>
          <w:p>
            <w:pPr/>
            <w:r>
              <w:t xml:space="preserve">Espérance</w:t>
            </w:r>
          </w:p>
        </w:tc>
        <w:tc>
          <w:tcPr>
            <w:tcW w:w="1560" w:type="dxa"/>
            <w:shd w:val="clear" w:color="auto" w:fill="F2F2F2"/>
          </w:tcPr>
          <w:p>
            <w:pPr/>
            <w:r>
              <w:t xml:space="preserve">Pire cas</w:t>
            </w:r>
          </w:p>
        </w:tc>
        <w:tc>
          <w:tcPr>
            <w:tcW w:w="1560" w:type="dxa"/>
            <w:shd w:val="clear" w:color="auto" w:fill="F2F2F2"/>
          </w:tcPr>
          <w:p>
            <w:pPr/>
            <w:r>
              <w:t xml:space="preserve">Admissible</w:t>
            </w:r>
          </w:p>
        </w:tc>
      </w:tr>
      <w:tr>
        <w:tc>
          <w:tcPr>
            <w:tcW w:w="1560" w:type="dxa"/>
          </w:tcPr>
          <w:p>
            <w:pPr/>
            <w:r>
              <w:t xml:space="preserve">Ne rien acheter de plus</w:t>
            </w:r>
          </w:p>
        </w:tc>
        <w:tc>
          <w:tcPr>
            <w:tcW w:w="1560" w:type="dxa"/>
          </w:tcPr>
          <w:p>
            <w:pPr/>
            <w:r>
              <w:t xml:space="preserve">0 %</w:t>
            </w:r>
          </w:p>
        </w:tc>
        <w:tc>
          <w:tcPr>
            <w:tcW w:w="1560" w:type="dxa"/>
          </w:tcPr>
          <w:p>
            <w:pPr/>
            <w:r>
              <w:t xml:space="preserve">74,8 %</w:t>
            </w:r>
          </w:p>
        </w:tc>
        <w:tc>
          <w:tcPr>
            <w:tcW w:w="1560" w:type="dxa"/>
          </w:tcPr>
          <w:p>
            <w:pPr/>
            <w:r>
              <w:t xml:space="preserve">8,24</w:t>
            </w:r>
          </w:p>
        </w:tc>
        <w:tc>
          <w:tcPr>
            <w:tcW w:w="1560" w:type="dxa"/>
          </w:tcPr>
          <w:p>
            <w:pPr/>
            <w:r>
              <w:t xml:space="preserve">2,49</w:t>
            </w:r>
          </w:p>
        </w:tc>
        <w:tc>
          <w:tcPr>
            <w:tcW w:w="1560" w:type="dxa"/>
          </w:tcPr>
          <w:p>
            <w:pPr/>
            <w:r>
              <w:t xml:space="preserve">non</w:t>
            </w:r>
          </w:p>
        </w:tc>
      </w:tr>
      <w:tr>
        <w:tc>
          <w:tcPr>
            <w:tcW w:w="1560" w:type="dxa"/>
          </w:tcPr>
          <w:p>
            <w:pPr/>
            <w:r>
              <w:t xml:space="preserve">Compléter à 85 % – cal</w:t>
            </w:r>
          </w:p>
        </w:tc>
        <w:tc>
          <w:tcPr>
            <w:tcW w:w="1560" w:type="dxa"/>
          </w:tcPr>
          <w:p>
            <w:pPr/>
            <w:r>
              <w:t xml:space="preserve">10,2 %</w:t>
            </w:r>
          </w:p>
        </w:tc>
        <w:tc>
          <w:tcPr>
            <w:tcW w:w="1560" w:type="dxa"/>
          </w:tcPr>
          <w:p>
            <w:pPr/>
            <w:r>
              <w:t xml:space="preserve">85 %</w:t>
            </w:r>
          </w:p>
        </w:tc>
        <w:tc>
          <w:tcPr>
            <w:tcW w:w="1560" w:type="dxa"/>
          </w:tcPr>
          <w:p>
            <w:pPr/>
            <w:r>
              <w:t xml:space="preserve">7,81</w:t>
            </w:r>
          </w:p>
        </w:tc>
        <w:tc>
          <w:tcPr>
            <w:tcW w:w="1560" w:type="dxa"/>
          </w:tcPr>
          <w:p>
            <w:pPr/>
            <w:r>
              <w:t xml:space="preserve">3,71</w:t>
            </w:r>
          </w:p>
        </w:tc>
        <w:tc>
          <w:tcPr>
            <w:tcW w:w="1560" w:type="dxa"/>
          </w:tcPr>
          <w:p>
            <w:pPr/>
            <w:r>
              <w:t xml:space="preserve">non</w:t>
            </w:r>
          </w:p>
        </w:tc>
      </w:tr>
      <w:tr>
        <w:tc>
          <w:tcPr>
            <w:tcW w:w="1560" w:type="dxa"/>
          </w:tcPr>
          <w:p>
            <w:pPr/>
            <w:r>
              <w:t xml:space="preserve">Compléter à 90 % – cal</w:t>
            </w:r>
          </w:p>
        </w:tc>
        <w:tc>
          <w:tcPr>
            <w:tcW w:w="1560" w:type="dxa"/>
          </w:tcPr>
          <w:p>
            <w:pPr/>
            <w:r>
              <w:t xml:space="preserve">15,2 %</w:t>
            </w:r>
          </w:p>
        </w:tc>
        <w:tc>
          <w:tcPr>
            <w:tcW w:w="1560" w:type="dxa"/>
          </w:tcPr>
          <w:p>
            <w:pPr/>
            <w:r>
              <w:t xml:space="preserve">90 %</w:t>
            </w:r>
          </w:p>
        </w:tc>
        <w:tc>
          <w:tcPr>
            <w:tcW w:w="1560" w:type="dxa"/>
          </w:tcPr>
          <w:p>
            <w:pPr/>
            <w:r>
              <w:t xml:space="preserve">7,60</w:t>
            </w:r>
          </w:p>
        </w:tc>
        <w:tc>
          <w:tcPr>
            <w:tcW w:w="1560" w:type="dxa"/>
          </w:tcPr>
          <w:p>
            <w:pPr/>
            <w:r>
              <w:t xml:space="preserve">4,31</w:t>
            </w:r>
          </w:p>
        </w:tc>
        <w:tc>
          <w:tcPr>
            <w:tcW w:w="1560" w:type="dxa"/>
          </w:tcPr>
          <w:p>
            <w:pPr/>
            <w:r>
              <w:t xml:space="preserve">non</w:t>
            </w:r>
          </w:p>
        </w:tc>
      </w:tr>
      <w:tr>
        <w:tc>
          <w:tcPr>
            <w:tcW w:w="1560" w:type="dxa"/>
          </w:tcPr>
          <w:p>
            <w:pPr/>
            <w:r>
              <w:rPr>
                <w:b/>
              </w:rPr>
              <w:t xml:space="preserve">Compléter à 100 % – cal</w:t>
            </w:r>
          </w:p>
        </w:tc>
        <w:tc>
          <w:tcPr>
            <w:tcW w:w="1560" w:type="dxa"/>
          </w:tcPr>
          <w:p>
            <w:pPr/>
            <w:r>
              <w:rPr>
                <w:b/>
              </w:rPr>
              <w:t xml:space="preserve">25,2 %</w:t>
            </w:r>
          </w:p>
        </w:tc>
        <w:tc>
          <w:tcPr>
            <w:tcW w:w="1560" w:type="dxa"/>
          </w:tcPr>
          <w:p>
            <w:pPr/>
            <w:r>
              <w:rPr>
                <w:b/>
              </w:rPr>
              <w:t xml:space="preserve">100 %</w:t>
            </w:r>
          </w:p>
        </w:tc>
        <w:tc>
          <w:tcPr>
            <w:tcW w:w="1560" w:type="dxa"/>
          </w:tcPr>
          <w:p>
            <w:pPr/>
            <w:r>
              <w:rPr>
                <w:b/>
              </w:rPr>
              <w:t xml:space="preserve">7,14</w:t>
            </w:r>
          </w:p>
        </w:tc>
        <w:tc>
          <w:tcPr>
            <w:tcW w:w="1560" w:type="dxa"/>
          </w:tcPr>
          <w:p>
            <w:pPr/>
            <w:r>
              <w:rPr>
                <w:b/>
              </w:rPr>
              <w:t xml:space="preserve">5,51</w:t>
            </w:r>
          </w:p>
        </w:tc>
        <w:tc>
          <w:tcPr>
            <w:tcW w:w="1560" w:type="dxa"/>
          </w:tcPr>
          <w:p>
            <w:pPr/>
            <w:r>
              <w:rPr>
                <w:b/>
              </w:rPr>
              <w:t xml:space="preserve">oui</w:t>
            </w:r>
          </w:p>
        </w:tc>
      </w:tr>
    </w:tbl>
    <w:p>
      <w:pPr/>
      <w:r>
        <w:rPr>
          <w:b/>
        </w:rPr>
        <w:t xml:space="preserve">Décision : acheter 14,42 MW de Cal-27 Base à 73,70 €/MWh</w:t>
      </w:r>
      <w:r>
        <w:t xml:space="preserve">, soit 126 323 MWh pour 9,31 M€. C'est la seule option dont le pire cas tient le plancher.</w:t>
      </w:r>
    </w:p>
    <w:p>
      <w:pPr/>
      <w:r>
        <w:t xml:space="preserve">Notez l'inversion par rapport au T1 : </w:t>
      </w:r>
      <w:r>
        <w:rPr>
          <w:b/>
        </w:rPr>
        <w:t xml:space="preserve">au T2, le plancher devient atteignable</w:t>
      </w:r>
      <w:r>
        <w:t xml:space="preserve">, parce que le marché a baissé de 11,5 % et que la part non couverte s'achète beaucoup moins cher qu'au 22 septembre.</w:t>
      </w:r>
    </w:p>
    <w:p>
      <w:pPr>
        <w:pStyle w:val="Heading3"/>
      </w:pPr>
      <w:r>
        <w:t xml:space="preserve">Ce qu'il faut savoir dire</w:t>
      </w:r>
    </w:p>
    <w:p>
      <w:pPr>
        <w:pStyle w:val="ListParagraph"/>
        <w:numPr>
          <w:ilvl w:val="0"/>
          <w:numId w:val="17"/>
        </w:numPr>
      </w:pPr>
      <w:r>
        <w:t xml:space="preserve">Que le T1 est </w:t>
      </w:r>
      <w:r>
        <w:rPr>
          <w:b/>
        </w:rPr>
        <w:t xml:space="preserve">figé</w:t>
      </w:r>
      <w:r>
        <w:t xml:space="preserve">, et pourquoi le doc en fait une faute éliminatoire.</w:t>
      </w:r>
    </w:p>
    <w:p>
      <w:pPr>
        <w:pStyle w:val="ListParagraph"/>
        <w:numPr>
          <w:ilvl w:val="0"/>
          <w:numId w:val="17"/>
        </w:numPr>
      </w:pPr>
      <w:r>
        <w:t xml:space="preserve">Que la règle de révision des probabilités a été posée </w:t>
      </w:r>
      <w:r>
        <w:rPr>
          <w:b/>
        </w:rPr>
        <w:t xml:space="preserve">avant</w:t>
      </w:r>
      <w:r>
        <w:t xml:space="preserve"> d'en voir l'effet.</w:t>
      </w:r>
    </w:p>
    <w:p>
      <w:pPr>
        <w:pStyle w:val="ListParagraph"/>
        <w:numPr>
          <w:ilvl w:val="0"/>
          <w:numId w:val="17"/>
        </w:numPr>
      </w:pPr>
      <w:r>
        <w:t xml:space="preserve">Que le mark-to-market négatif est le prix d'une assurance, pas une erreur de jugement.</w:t>
      </w:r>
    </w:p>
    <w:p>
      <w:pPr>
        <w:pStyle w:val="Heading2"/>
      </w:pPr>
      <w:r>
        <w:t xml:space="preserve">Étape 14 — La position ouverte du 1er janvier 2027</w:t>
      </w:r>
    </w:p>
    <w:p>
      <w:pPr/>
      <w:r>
        <w:t xml:space="preserve">Une couverture est un </w:t>
      </w:r>
      <w:r>
        <w:rPr>
          <w:b/>
        </w:rPr>
        <w:t xml:space="preserve">engagement de livraison, pas un stock</w:t>
      </w:r>
      <w:r>
        <w:t xml:space="preserve"> : un Cal-27 Base de 14 MW livre 14 MW à chaque heure de l'année, y compris à 4 h du matin le 1er janvier quand on n'en consomme que 42. L'écart se solde au day-ahead.</w:t>
      </w:r>
    </w:p>
    <w:p>
      <w:pPr>
        <w:pStyle w:val="Code"/>
      </w:pPr>
      <w:bookmarkStart w:id="35" w:name="bongo_lang_latex_35"/>
      <w:bookmarkEnd w:id="35"/>
      <w:r>
        <w:t xml:space="preserve">\text{position ouverte}_h = \text{charge prévue}_h - \text{couverture livrée}_h</w:t>
      </w:r>
    </w:p>
    <w:p>
      <w:pPr/>
      <w:r>
        <w:t xml:space="preserve">Positive, on est </w:t>
      </w:r>
      <w:r>
        <w:rPr>
          <w:b/>
        </w:rPr>
        <w:t xml:space="preserve">short</w:t>
      </w:r>
      <w:r>
        <w:t xml:space="preserve"> : il faut acheter. Négative, on est </w:t>
      </w:r>
      <w:r>
        <w:rPr>
          <w:b/>
        </w:rPr>
        <w:t xml:space="preserve">long</w:t>
      </w:r>
      <w:r>
        <w:t xml:space="preserve"> : il faut revendre.</w:t>
      </w:r>
    </w:p>
    <w:p>
      <w:pPr>
        <w:pStyle w:val="Heading3"/>
      </w:pPr>
      <w:r>
        <w:t xml:space="preserve">Les trois pièges du 1er janvier 2027</w:t>
      </w:r>
    </w:p>
    <w:p>
      <w:pPr>
        <w:pStyle w:val="ListParagraph"/>
        <w:numPr>
          <w:ilvl w:val="0"/>
          <w:numId w:val="18"/>
        </w:numPr>
      </w:pPr>
      <w:r>
        <w:rPr>
          <w:b/>
        </w:rPr>
        <w:t xml:space="preserve">C'est un vendredi.</w:t>
      </w:r>
      <w:r>
        <w:t xml:space="preserve"> Dans le calendrier EEX c'est donc un jour ouvré : les produits Peak livrent.</w:t>
      </w:r>
    </w:p>
    <w:p>
      <w:pPr>
        <w:pStyle w:val="ListParagraph"/>
        <w:numPr>
          <w:ilvl w:val="0"/>
          <w:numId w:val="18"/>
        </w:numPr>
      </w:pPr>
      <w:r>
        <w:rPr>
          <w:b/>
        </w:rPr>
        <w:t xml:space="preserve">C'est un jour férié.</w:t>
      </w:r>
      <w:r>
        <w:t xml:space="preserve"> Les clients consomment comme un dimanche. Le §5.2 l'écrit noir sur blanc : </w:t>
      </w:r>
      <w:r>
        <w:rPr>
          <w:i/>
        </w:rPr>
        <w:t xml:space="preserve">using a holiday profile and not an ordinary Friday</w:t>
      </w:r>
      <w:r>
        <w:t xml:space="preserve">.</w:t>
      </w:r>
    </w:p>
    <w:p>
      <w:pPr>
        <w:pStyle w:val="ListParagraph"/>
        <w:numPr>
          <w:ilvl w:val="0"/>
          <w:numId w:val="18"/>
        </w:numPr>
      </w:pPr>
      <w:r>
        <w:rPr>
          <w:b/>
        </w:rPr>
        <w:t xml:space="preserve">Les deux à la fois.</w:t>
      </w:r>
      <w:r>
        <w:t xml:space="preserve"> Qui a acheté du Peak reçoit de la puissance de 8 h à 20 h un jour où ses clients sont chez eux : il se retrouve </w:t>
      </w:r>
      <w:r>
        <w:rPr>
          <w:b/>
        </w:rPr>
        <w:t xml:space="preserve">long en pleine journée</w:t>
      </w:r>
      <w:r>
        <w:t xml:space="preserve">, à revendre au pire moment.</w:t>
      </w:r>
    </w:p>
    <w:p>
      <w:pPr/>
      <w:r>
        <w:t xml:space="preserve">Notre portefeuille n'a que du Base, donc le troisième piège ne nous touche pas. </w:t>
      </w:r>
      <w:r>
        <w:rPr>
          <w:b/>
        </w:rPr>
        <w:t xml:space="preserve">Revendiquez-le comme un choix</w:t>
      </w:r>
      <w:r>
        <w:t xml:space="preserve">, pas comme une chance : il découle de l'analyse peak/off-peak de l'étape 11.</w:t>
      </w:r>
    </w:p>
    <w:p>
      <w:pPr>
        <w:pStyle w:val="Heading3"/>
      </w:pPr>
      <w:r>
        <w:t xml:space="preserve">Pourquoi le profil férié est déjà là</w:t>
      </w:r>
    </w:p>
    <w:p>
      <w:pPr/>
      <w:r>
        <w:t xml:space="preserve">Rien de spécial à coder : le travail a été fait à l'étape 6. </w:t>
      </w:r>
      <w:r>
        <w:rPr>
          <w:rStyle w:val="CodeChar"/>
        </w:rPr>
        <w:t xml:space="preserve">_type_jour()</w:t>
      </w:r>
      <w:r>
        <w:t xml:space="preserve"> renvoie 7 pour les fériés, donc </w:t>
      </w:r>
      <w:r>
        <w:rPr>
          <w:rStyle w:val="CodeChar"/>
        </w:rPr>
        <w:t xml:space="preserve">apparier_jours()</w:t>
      </w:r>
      <w:r>
        <w:t xml:space="preserve"> est allé chercher un </w:t>
      </w:r>
      <w:r>
        <w:rPr>
          <w:b/>
        </w:rPr>
        <w:t xml:space="preserve">jour férié de 2025</w:t>
      </w:r>
      <w:r>
        <w:t xml:space="preserve"> pour alimenter le 1er janvier 2027. La décision prise soixante lignes plus tôt dans outils/</w:t>
      </w:r>
      <w:r>
        <w:rPr>
          <w:rStyle w:val="CodeChar"/>
        </w:rPr>
        <w:t xml:space="preserve">calendrier.py</w:t>
      </w:r>
      <w:r>
        <w:t xml:space="preserve"> paie ici.</w:t>
      </w:r>
    </w:p>
    <w:p>
      <w:pPr/>
      <w:r>
        <w:t xml:space="preserve">De même, la conversion des produits en MW livrés réutilise telle quelle la fonction de l'étape 11, simplement restreinte au jour :</w:t>
      </w:r>
    </w:p>
    <w:p>
      <w:pPr>
        <w:pStyle w:val="Code"/>
      </w:pPr>
      <w:bookmarkStart w:id="36" w:name="bongo_lang_python_36"/>
      <w:bookmarkEnd w:id="36"/>
      <w:r>
        <w:t xml:space="preserve">jour = index[np.asarray(index.date) == pd.Timestamp(JOUR_SPOT).date()]</w:t>
        <w:br/>
        <w:t xml:space="preserve">livre = cp.livraison(mix_final, jour)</w:t>
        <w:br/>
        <w:t xml:space="preserve">pos["position normale MW"] = pos["charge normale MW"] - pos["couverture MW"]</w:t>
        <w:br/>
        <w:t xml:space="preserve">pos["sens"] = np.where(pos["position normale MW"] &gt; 0, "SHORT (acheter)", "LONG (revendre)")</w:t>
      </w:r>
    </w:p>
    <w:p>
      <w:pPr/>
      <w:r>
        <w:rPr>
          <w:rStyle w:val="CodeChar"/>
        </w:rPr>
        <w:t xml:space="preserve">mix_final</w:t>
      </w:r>
      <w:r>
        <w:t xml:space="preserve"> est la fusion du mix T1 et du mix T2.</w:t>
      </w:r>
    </w:p>
    <w:p>
      <w:pPr>
        <w:pStyle w:val="Heading3"/>
      </w:pPr>
      <w:r>
        <w:t xml:space="preserve">Le tableau</w:t>
      </w:r>
    </w:p>
    <w:p>
      <w:pPr/>
      <w:r>
        <w:t xml:space="preserve">Couverture plate de </w:t>
      </w:r>
      <w:r>
        <w:rPr>
          <w:b/>
        </w:rPr>
        <w:t xml:space="preserve">64,01 MW</w:t>
      </w:r>
      <w:r>
        <w:t xml:space="preserve"> : 49,58 MW de Q1-27 achetés au T1, plus 14,42 MW de Cal-27 achetés au T2. La charge, elle, va de 42,21 à 98,71 MW.</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Heure</w:t>
            </w:r>
          </w:p>
        </w:tc>
        <w:tc>
          <w:tcPr>
            <w:tcW w:w="1872" w:type="dxa"/>
            <w:shd w:val="clear" w:color="auto" w:fill="F2F2F2"/>
          </w:tcPr>
          <w:p>
            <w:pPr/>
            <w:r>
              <w:t xml:space="preserve">Charge (MW)</w:t>
            </w:r>
          </w:p>
        </w:tc>
        <w:tc>
          <w:tcPr>
            <w:tcW w:w="1872" w:type="dxa"/>
            <w:shd w:val="clear" w:color="auto" w:fill="F2F2F2"/>
          </w:tcPr>
          <w:p>
            <w:pPr/>
            <w:r>
              <w:t xml:space="preserve">Couverture (MW)</w:t>
            </w:r>
          </w:p>
        </w:tc>
        <w:tc>
          <w:tcPr>
            <w:tcW w:w="1872" w:type="dxa"/>
            <w:shd w:val="clear" w:color="auto" w:fill="F2F2F2"/>
          </w:tcPr>
          <w:p>
            <w:pPr/>
            <w:r>
              <w:t xml:space="preserve">Position (MW)</w:t>
            </w:r>
          </w:p>
        </w:tc>
        <w:tc>
          <w:tcPr>
            <w:tcW w:w="1872" w:type="dxa"/>
            <w:shd w:val="clear" w:color="auto" w:fill="F2F2F2"/>
          </w:tcPr>
          <w:p>
            <w:pPr/>
            <w:r>
              <w:t xml:space="preserve">Sens</w:t>
            </w:r>
          </w:p>
        </w:tc>
      </w:tr>
      <w:tr>
        <w:tc>
          <w:tcPr>
            <w:tcW w:w="1872" w:type="dxa"/>
          </w:tcPr>
          <w:p>
            <w:pPr/>
            <w:r>
              <w:t xml:space="preserve">00:00–01:00</w:t>
            </w:r>
          </w:p>
        </w:tc>
        <w:tc>
          <w:tcPr>
            <w:tcW w:w="1872" w:type="dxa"/>
          </w:tcPr>
          <w:p>
            <w:pPr/>
            <w:r>
              <w:t xml:space="preserve">54,26</w:t>
            </w:r>
          </w:p>
        </w:tc>
        <w:tc>
          <w:tcPr>
            <w:tcW w:w="1872" w:type="dxa"/>
          </w:tcPr>
          <w:p>
            <w:pPr/>
            <w:r>
              <w:t xml:space="preserve">64,01</w:t>
            </w:r>
          </w:p>
        </w:tc>
        <w:tc>
          <w:tcPr>
            <w:tcW w:w="1872" w:type="dxa"/>
          </w:tcPr>
          <w:p>
            <w:pPr/>
            <w:r>
              <w:t xml:space="preserve">−9,74</w:t>
            </w:r>
          </w:p>
        </w:tc>
        <w:tc>
          <w:tcPr>
            <w:tcW w:w="1872" w:type="dxa"/>
          </w:tcPr>
          <w:p>
            <w:pPr/>
            <w:r>
              <w:t xml:space="preserve">long</w:t>
            </w:r>
          </w:p>
        </w:tc>
      </w:tr>
      <w:tr>
        <w:tc>
          <w:tcPr>
            <w:tcW w:w="1872" w:type="dxa"/>
          </w:tcPr>
          <w:p>
            <w:pPr/>
            <w:r>
              <w:t xml:space="preserve">03:00–04:00</w:t>
            </w:r>
          </w:p>
        </w:tc>
        <w:tc>
          <w:tcPr>
            <w:tcW w:w="1872" w:type="dxa"/>
          </w:tcPr>
          <w:p>
            <w:pPr/>
            <w:r>
              <w:t xml:space="preserve">43,22</w:t>
            </w:r>
          </w:p>
        </w:tc>
        <w:tc>
          <w:tcPr>
            <w:tcW w:w="1872" w:type="dxa"/>
          </w:tcPr>
          <w:p>
            <w:pPr/>
            <w:r>
              <w:t xml:space="preserve">64,01</w:t>
            </w:r>
          </w:p>
        </w:tc>
        <w:tc>
          <w:tcPr>
            <w:tcW w:w="1872" w:type="dxa"/>
          </w:tcPr>
          <w:p>
            <w:pPr/>
            <w:r>
              <w:t xml:space="preserve">−20,78</w:t>
            </w:r>
          </w:p>
        </w:tc>
        <w:tc>
          <w:tcPr>
            <w:tcW w:w="1872" w:type="dxa"/>
          </w:tcPr>
          <w:p>
            <w:pPr/>
            <w:r>
              <w:t xml:space="preserve">long</w:t>
            </w:r>
          </w:p>
        </w:tc>
      </w:tr>
      <w:tr>
        <w:tc>
          <w:tcPr>
            <w:tcW w:w="1872" w:type="dxa"/>
          </w:tcPr>
          <w:p>
            <w:pPr/>
            <w:r>
              <w:t xml:space="preserve">05:00–06:00</w:t>
            </w:r>
          </w:p>
        </w:tc>
        <w:tc>
          <w:tcPr>
            <w:tcW w:w="1872" w:type="dxa"/>
          </w:tcPr>
          <w:p>
            <w:pPr/>
            <w:r>
              <w:t xml:space="preserve">42,21</w:t>
            </w:r>
          </w:p>
        </w:tc>
        <w:tc>
          <w:tcPr>
            <w:tcW w:w="1872" w:type="dxa"/>
          </w:tcPr>
          <w:p>
            <w:pPr/>
            <w:r>
              <w:t xml:space="preserve">64,01</w:t>
            </w:r>
          </w:p>
        </w:tc>
        <w:tc>
          <w:tcPr>
            <w:tcW w:w="1872" w:type="dxa"/>
          </w:tcPr>
          <w:p>
            <w:pPr/>
            <w:r>
              <w:rPr>
                <w:b/>
              </w:rPr>
              <w:t xml:space="preserve">−21,80</w:t>
            </w:r>
          </w:p>
        </w:tc>
        <w:tc>
          <w:tcPr>
            <w:tcW w:w="1872" w:type="dxa"/>
          </w:tcPr>
          <w:p>
            <w:pPr/>
            <w:r>
              <w:t xml:space="preserve">long (maximum)</w:t>
            </w:r>
          </w:p>
        </w:tc>
      </w:tr>
      <w:tr>
        <w:tc>
          <w:tcPr>
            <w:tcW w:w="1872" w:type="dxa"/>
          </w:tcPr>
          <w:p>
            <w:pPr/>
            <w:r>
              <w:t xml:space="preserve">08:00–09:00</w:t>
            </w:r>
          </w:p>
        </w:tc>
        <w:tc>
          <w:tcPr>
            <w:tcW w:w="1872" w:type="dxa"/>
          </w:tcPr>
          <w:p>
            <w:pPr/>
            <w:r>
              <w:t xml:space="preserve">62,40</w:t>
            </w:r>
          </w:p>
        </w:tc>
        <w:tc>
          <w:tcPr>
            <w:tcW w:w="1872" w:type="dxa"/>
          </w:tcPr>
          <w:p>
            <w:pPr/>
            <w:r>
              <w:t xml:space="preserve">64,01</w:t>
            </w:r>
          </w:p>
        </w:tc>
        <w:tc>
          <w:tcPr>
            <w:tcW w:w="1872" w:type="dxa"/>
          </w:tcPr>
          <w:p>
            <w:pPr/>
            <w:r>
              <w:t xml:space="preserve">−1,61</w:t>
            </w:r>
          </w:p>
        </w:tc>
        <w:tc>
          <w:tcPr>
            <w:tcW w:w="1872" w:type="dxa"/>
          </w:tcPr>
          <w:p>
            <w:pPr/>
            <w:r>
              <w:t xml:space="preserve">long (bascule)</w:t>
            </w:r>
          </w:p>
        </w:tc>
      </w:tr>
      <w:tr>
        <w:tc>
          <w:tcPr>
            <w:tcW w:w="1872" w:type="dxa"/>
          </w:tcPr>
          <w:p>
            <w:pPr/>
            <w:r>
              <w:t xml:space="preserve">09:00–10:00</w:t>
            </w:r>
          </w:p>
        </w:tc>
        <w:tc>
          <w:tcPr>
            <w:tcW w:w="1872" w:type="dxa"/>
          </w:tcPr>
          <w:p>
            <w:pPr/>
            <w:r>
              <w:t xml:space="preserve">72,71</w:t>
            </w:r>
          </w:p>
        </w:tc>
        <w:tc>
          <w:tcPr>
            <w:tcW w:w="1872" w:type="dxa"/>
          </w:tcPr>
          <w:p>
            <w:pPr/>
            <w:r>
              <w:t xml:space="preserve">64,01</w:t>
            </w:r>
          </w:p>
        </w:tc>
        <w:tc>
          <w:tcPr>
            <w:tcW w:w="1872" w:type="dxa"/>
          </w:tcPr>
          <w:p>
            <w:pPr/>
            <w:r>
              <w:t xml:space="preserve">+8,71</w:t>
            </w:r>
          </w:p>
        </w:tc>
        <w:tc>
          <w:tcPr>
            <w:tcW w:w="1872" w:type="dxa"/>
          </w:tcPr>
          <w:p>
            <w:pPr/>
            <w:r>
              <w:t xml:space="preserve">short</w:t>
            </w:r>
          </w:p>
        </w:tc>
      </w:tr>
      <w:tr>
        <w:tc>
          <w:tcPr>
            <w:tcW w:w="1872" w:type="dxa"/>
          </w:tcPr>
          <w:p>
            <w:pPr/>
            <w:r>
              <w:t xml:space="preserve">12:00–13:00</w:t>
            </w:r>
          </w:p>
        </w:tc>
        <w:tc>
          <w:tcPr>
            <w:tcW w:w="1872" w:type="dxa"/>
          </w:tcPr>
          <w:p>
            <w:pPr/>
            <w:r>
              <w:t xml:space="preserve">91,39</w:t>
            </w:r>
          </w:p>
        </w:tc>
        <w:tc>
          <w:tcPr>
            <w:tcW w:w="1872" w:type="dxa"/>
          </w:tcPr>
          <w:p>
            <w:pPr/>
            <w:r>
              <w:t xml:space="preserve">64,01</w:t>
            </w:r>
          </w:p>
        </w:tc>
        <w:tc>
          <w:tcPr>
            <w:tcW w:w="1872" w:type="dxa"/>
          </w:tcPr>
          <w:p>
            <w:pPr/>
            <w:r>
              <w:t xml:space="preserve">+27,39</w:t>
            </w:r>
          </w:p>
        </w:tc>
        <w:tc>
          <w:tcPr>
            <w:tcW w:w="1872" w:type="dxa"/>
          </w:tcPr>
          <w:p>
            <w:pPr/>
            <w:r>
              <w:t xml:space="preserve">short</w:t>
            </w:r>
          </w:p>
        </w:tc>
      </w:tr>
      <w:tr>
        <w:tc>
          <w:tcPr>
            <w:tcW w:w="1872" w:type="dxa"/>
          </w:tcPr>
          <w:p>
            <w:pPr/>
            <w:r>
              <w:t xml:space="preserve">15:00–16:00</w:t>
            </w:r>
          </w:p>
        </w:tc>
        <w:tc>
          <w:tcPr>
            <w:tcW w:w="1872" w:type="dxa"/>
          </w:tcPr>
          <w:p>
            <w:pPr/>
            <w:r>
              <w:t xml:space="preserve">72,32</w:t>
            </w:r>
          </w:p>
        </w:tc>
        <w:tc>
          <w:tcPr>
            <w:tcW w:w="1872" w:type="dxa"/>
          </w:tcPr>
          <w:p>
            <w:pPr/>
            <w:r>
              <w:t xml:space="preserve">64,01</w:t>
            </w:r>
          </w:p>
        </w:tc>
        <w:tc>
          <w:tcPr>
            <w:tcW w:w="1872" w:type="dxa"/>
          </w:tcPr>
          <w:p>
            <w:pPr/>
            <w:r>
              <w:t xml:space="preserve">+8,32</w:t>
            </w:r>
          </w:p>
        </w:tc>
        <w:tc>
          <w:tcPr>
            <w:tcW w:w="1872" w:type="dxa"/>
          </w:tcPr>
          <w:p>
            <w:pPr/>
            <w:r>
              <w:t xml:space="preserve">short (creux)</w:t>
            </w:r>
          </w:p>
        </w:tc>
      </w:tr>
      <w:tr>
        <w:tc>
          <w:tcPr>
            <w:tcW w:w="1872" w:type="dxa"/>
          </w:tcPr>
          <w:p>
            <w:pPr/>
            <w:r>
              <w:t xml:space="preserve">19:00–20:00</w:t>
            </w:r>
          </w:p>
        </w:tc>
        <w:tc>
          <w:tcPr>
            <w:tcW w:w="1872" w:type="dxa"/>
          </w:tcPr>
          <w:p>
            <w:pPr/>
            <w:r>
              <w:t xml:space="preserve">98,71</w:t>
            </w:r>
          </w:p>
        </w:tc>
        <w:tc>
          <w:tcPr>
            <w:tcW w:w="1872" w:type="dxa"/>
          </w:tcPr>
          <w:p>
            <w:pPr/>
            <w:r>
              <w:t xml:space="preserve">64,01</w:t>
            </w:r>
          </w:p>
        </w:tc>
        <w:tc>
          <w:tcPr>
            <w:tcW w:w="1872" w:type="dxa"/>
          </w:tcPr>
          <w:p>
            <w:pPr/>
            <w:r>
              <w:rPr>
                <w:b/>
              </w:rPr>
              <w:t xml:space="preserve">+34,70</w:t>
            </w:r>
          </w:p>
        </w:tc>
        <w:tc>
          <w:tcPr>
            <w:tcW w:w="1872" w:type="dxa"/>
          </w:tcPr>
          <w:p>
            <w:pPr/>
            <w:r>
              <w:t xml:space="preserve">short (maximum)</w:t>
            </w:r>
          </w:p>
        </w:tc>
      </w:tr>
      <w:tr>
        <w:tc>
          <w:tcPr>
            <w:tcW w:w="1872" w:type="dxa"/>
          </w:tcPr>
          <w:p>
            <w:pPr/>
            <w:r>
              <w:t xml:space="preserve">22:00–23:00</w:t>
            </w:r>
          </w:p>
        </w:tc>
        <w:tc>
          <w:tcPr>
            <w:tcW w:w="1872" w:type="dxa"/>
          </w:tcPr>
          <w:p>
            <w:pPr/>
            <w:r>
              <w:t xml:space="preserve">69,96</w:t>
            </w:r>
          </w:p>
        </w:tc>
        <w:tc>
          <w:tcPr>
            <w:tcW w:w="1872" w:type="dxa"/>
          </w:tcPr>
          <w:p>
            <w:pPr/>
            <w:r>
              <w:t xml:space="preserve">64,01</w:t>
            </w:r>
          </w:p>
        </w:tc>
        <w:tc>
          <w:tcPr>
            <w:tcW w:w="1872" w:type="dxa"/>
          </w:tcPr>
          <w:p>
            <w:pPr/>
            <w:r>
              <w:t xml:space="preserve">+5,95</w:t>
            </w:r>
          </w:p>
        </w:tc>
        <w:tc>
          <w:tcPr>
            <w:tcW w:w="1872" w:type="dxa"/>
          </w:tcPr>
          <w:p>
            <w:pPr/>
            <w:r>
              <w:t xml:space="preserve">short</w:t>
            </w:r>
          </w:p>
        </w:tc>
      </w:tr>
      <w:tr>
        <w:tc>
          <w:tcPr>
            <w:tcW w:w="1872" w:type="dxa"/>
          </w:tcPr>
          <w:p>
            <w:pPr/>
            <w:r>
              <w:t xml:space="preserve">23:00–00:00</w:t>
            </w:r>
          </w:p>
        </w:tc>
        <w:tc>
          <w:tcPr>
            <w:tcW w:w="1872" w:type="dxa"/>
          </w:tcPr>
          <w:p>
            <w:pPr/>
            <w:r>
              <w:t xml:space="preserve">56,39</w:t>
            </w:r>
          </w:p>
        </w:tc>
        <w:tc>
          <w:tcPr>
            <w:tcW w:w="1872" w:type="dxa"/>
          </w:tcPr>
          <w:p>
            <w:pPr/>
            <w:r>
              <w:t xml:space="preserve">64,01</w:t>
            </w:r>
          </w:p>
        </w:tc>
        <w:tc>
          <w:tcPr>
            <w:tcW w:w="1872" w:type="dxa"/>
          </w:tcPr>
          <w:p>
            <w:pPr/>
            <w:r>
              <w:t xml:space="preserve">−7,62</w:t>
            </w:r>
          </w:p>
        </w:tc>
        <w:tc>
          <w:tcPr>
            <w:tcW w:w="1872" w:type="dxa"/>
          </w:tcPr>
          <w:p>
            <w:pPr/>
            <w:r>
              <w:t xml:space="preserve">long</w:t>
            </w:r>
          </w:p>
        </w:tc>
      </w:tr>
    </w:tbl>
    <w:p>
      <w:pPr/>
      <w:r>
        <w:rPr>
          <w:b/>
        </w:rPr>
        <w:t xml:space="preserve">Au total : 261,6 MWh à acheter et 150,4 MWh à revendre</w:t>
      </w:r>
      <w:r>
        <w:t xml:space="preserve"> sur la journée.</w:t>
      </w:r>
    </w:p>
    <w:p>
      <w:pPr>
        <w:pStyle w:val="Heading3"/>
      </w:pPr>
      <w:r>
        <w:t xml:space="preserve">Comment lire cette courbe</w:t>
      </w:r>
    </w:p>
    <w:p>
      <w:pPr/>
      <w:r>
        <w:t xml:space="preserve">Le profil est typiquement férié : creux de nuit très bas, pas de pointe du matin, un double sommet à midi (91 MW) et surtout le soir (99 MW à 19 h). Face à lui, un ruban plat à 64 MW.</w:t>
      </w:r>
    </w:p>
    <w:p>
      <w:pPr/>
      <w:r>
        <w:t xml:space="preserve">Résultat : </w:t>
      </w:r>
      <w:r>
        <w:rPr>
          <w:b/>
        </w:rPr>
        <w:t xml:space="preserve">long de minuit à 9 h, short de 9 h à 23 h, long à nouveau en fin de soirée</w:t>
      </w:r>
      <w:r>
        <w:t xml:space="preserve">. C'est le défaut structurel du produit Base — il ne connaît pas les heures. Un ruban dimensionné sur une moyenne annuelle sur-couvre les creux et sous-couvre les pointes, et c'est exactement ce que la position ouverte rend visible.</w:t>
      </w:r>
    </w:p>
    <w:p>
      <w:pPr/>
      <w:r>
        <w:t xml:space="preserve">Le fichier </w:t>
      </w:r>
      <w:r>
        <w:rPr>
          <w:rStyle w:val="CodeChar"/>
        </w:rPr>
        <w:t xml:space="preserve">position_ouverte_20270101.csv</w:t>
      </w:r>
      <w:r>
        <w:t xml:space="preserve"> contient le tableau complet avec une colonne de position par scénario. C'est lui qu'il faut ouvrir dans Excel pour la session 5 ; </w:t>
      </w:r>
      <w:r>
        <w:rPr>
          <w:rStyle w:val="CodeChar"/>
        </w:rPr>
        <w:t xml:space="preserve">t2_decision.py</w:t>
      </w:r>
      <w:r>
        <w:t xml:space="preserve"> trace déjà le graphique en barres (rouge au-dessus de zéro pour les heures à acheter, bleu en dessous pour celles à revendre).</w:t>
      </w:r>
    </w:p>
    <w:p>
      <w:pPr/>
      <w:r>
        <w:drawing>
          <wp:inline distT="0" distB="0" distL="0" distR="0">
            <wp:extent cx="5486400" cy="3792985"/>
            <wp:docPr id="7" name="image7"/>
            <a:graphic xmlns:a="http://schemas.openxmlformats.org/drawingml/2006/main">
              <a:graphicData uri="http://schemas.openxmlformats.org/drawingml/2006/picture">
                <pic:pic xmlns:pic="http://schemas.openxmlformats.org/drawingml/2006/picture">
                  <pic:nvPicPr>
                    <pic:cNvPr id="7" name="image7"/>
                    <pic:cNvPicPr/>
                  </pic:nvPicPr>
                  <pic:blipFill>
                    <a:blip r:embed="rIdFig7"/>
                    <a:stretch>
                      <a:fillRect/>
                    </a:stretch>
                  </pic:blipFill>
                  <pic:spPr>
                    <a:xfrm>
                      <a:off x="0" y="0"/>
                      <a:ext cx="5486400" cy="3792985"/>
                    </a:xfrm>
                    <a:prstGeom prst="rect">
                      <a:avLst/>
                    </a:prstGeom>
                  </pic:spPr>
                </pic:pic>
              </a:graphicData>
            </a:graphic>
          </wp:inline>
        </w:drawing>
      </w:r>
    </w:p>
    <w:p>
      <w:pPr/>
      <w:r>
        <w:t xml:space="preserve">La voilà. En haut : la charge à température normale (trait vert épais), les trois scénarios météo (pointillés), et la </w:t>
      </w:r>
      <w:r>
        <w:rPr>
          <w:b/>
        </w:rPr>
        <w:t xml:space="preserve">couverture livrée à 64 MW plats</w:t>
      </w:r>
      <w:r>
        <w:t xml:space="preserve"> (trait rouge) — un ruban de forwards ne sait pas faire autre chose qu'une ligne droite. En bas : la différence des deux, heure par heure.</w:t>
      </w:r>
    </w:p>
    <w:p>
      <w:pPr/>
      <w:r>
        <w:t xml:space="preserve">Deux choses à lire. </w:t>
      </w:r>
      <w:r>
        <w:rPr>
          <w:b/>
        </w:rPr>
        <w:t xml:space="preserve">La position change de signe deux fois</w:t>
      </w:r>
      <w:r>
        <w:t xml:space="preserve"> : longue (bleu) de minuit à 8h et de nouveau à 23h, courte (rouge) de 9h à 22h. Ce n'est pas un défaut de dimensionnement : un produit plat posé sur une courbe en cloche est forcément trop grand la nuit et trop petit le soir. </w:t>
      </w:r>
      <w:r>
        <w:rPr>
          <w:b/>
        </w:rPr>
        <w:t xml:space="preserve">L'amplitude est asymétrique</w:t>
      </w:r>
      <w:r>
        <w:t xml:space="preserve"> : jusqu'à −22 MW à revendre vers 5h, mais +35 MW à acheter vers 19h. On revend au creux, donc au prix bas, et on achète à la pointe, donc au prix haut. C'est tout le coût résiduel que la marge de l'étape 12 encaisse.</w:t>
      </w:r>
    </w:p>
    <w:p>
      <w:pPr/>
      <w:r>
        <w:t xml:space="preserve">Les pointillés donnent la mesure de ce qui reste incertain : à 19h, selon l'année météo retenue, la charge va de 79 MW (scénario 2023) à 104 MW (scénario 2021). Vingt-cinq MW d'écart sur une seule heure, qu'aucun forward ne couvre — c'est ce résidu-là qui passera par le spot.</w:t>
      </w:r>
    </w:p>
    <w:p>
      <w:pPr>
        <w:pStyle w:val="Heading3"/>
      </w:pPr>
      <w:r>
        <w:t xml:space="preserve">Ce qu'il faut savoir dire</w:t>
      </w:r>
    </w:p>
    <w:p>
      <w:pPr>
        <w:pStyle w:val="ListParagraph"/>
        <w:numPr>
          <w:ilvl w:val="0"/>
          <w:numId w:val="19"/>
        </w:numPr>
      </w:pPr>
      <w:r>
        <w:t xml:space="preserve">Qu'une couverture </w:t>
      </w:r>
      <w:r>
        <w:rPr>
          <w:b/>
        </w:rPr>
        <w:t xml:space="preserve">livre</w:t>
      </w:r>
      <w:r>
        <w:t xml:space="preserve">, elle ne se stocke pas : c'est pour ça qu'on peut être long.</w:t>
      </w:r>
    </w:p>
    <w:p>
      <w:pPr>
        <w:pStyle w:val="ListParagraph"/>
        <w:numPr>
          <w:ilvl w:val="0"/>
          <w:numId w:val="19"/>
        </w:numPr>
      </w:pPr>
      <w:r>
        <w:t xml:space="preserve">Le piège vendredi férié du Peak, même si on n'en a pas acheté.</w:t>
      </w:r>
    </w:p>
    <w:p>
      <w:pPr>
        <w:pStyle w:val="ListParagraph"/>
        <w:numPr>
          <w:ilvl w:val="0"/>
          <w:numId w:val="19"/>
        </w:numPr>
      </w:pPr>
      <w:r>
        <w:t xml:space="preserve">Que la forme de la position ouverte est la conséquence directe du choix Base, pas un hasard.</w:t>
      </w:r>
    </w:p>
    <w:p>
      <w:pPr>
        <w:pStyle w:val="Heading2"/>
      </w:pPr>
      <w:r>
        <w:t xml:space="preserve">Étape 15 — Le T3 et l'ordre day-ahead</w:t>
      </w:r>
    </w:p>
    <w:p>
      <w:pPr/>
      <w:r>
        <w:t xml:space="preserve">Le 31 décembre, trois choses changent d'un coup : le marché a rebondi, le portefeuille s'est reconstitué, et </w:t>
      </w:r>
      <w:r>
        <w:rPr>
          <w:b/>
        </w:rPr>
        <w:t xml:space="preserve">une centrale solaire de 80 MWc apparaît</w:t>
      </w:r>
      <w:r>
        <w:t xml:space="preserve"> — elle n'existait dans aucun document précédent.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T1 (22/09)</w:t>
            </w:r>
          </w:p>
        </w:tc>
        <w:tc>
          <w:tcPr>
            <w:tcW w:w="2340" w:type="dxa"/>
            <w:shd w:val="clear" w:color="auto" w:fill="F2F2F2"/>
          </w:tcPr>
          <w:p>
            <w:pPr/>
            <w:r>
              <w:t xml:space="preserve">T2 (01/12)</w:t>
            </w:r>
          </w:p>
        </w:tc>
        <w:tc>
          <w:tcPr>
            <w:tcW w:w="2340" w:type="dxa"/>
            <w:shd w:val="clear" w:color="auto" w:fill="F2F2F2"/>
          </w:tcPr>
          <w:p>
            <w:pPr/>
            <w:r>
              <w:rPr>
                <w:b/>
              </w:rPr>
              <w:t xml:space="preserve">T3 (31/12)</w:t>
            </w:r>
          </w:p>
        </w:tc>
      </w:tr>
      <w:tr>
        <w:tc>
          <w:tcPr>
            <w:tcW w:w="2340" w:type="dxa"/>
          </w:tcPr>
          <w:p>
            <w:pPr/>
            <w:r>
              <w:t xml:space="preserve">Forward Cal-27 Base</w:t>
            </w:r>
          </w:p>
        </w:tc>
        <w:tc>
          <w:tcPr>
            <w:tcW w:w="2340" w:type="dxa"/>
          </w:tcPr>
          <w:p>
            <w:pPr/>
            <w:r>
              <w:t xml:space="preserve">83,31</w:t>
            </w:r>
          </w:p>
        </w:tc>
        <w:tc>
          <w:tcPr>
            <w:tcW w:w="2340" w:type="dxa"/>
          </w:tcPr>
          <w:p>
            <w:pPr/>
            <w:r>
              <w:t xml:space="preserve">73,70</w:t>
            </w:r>
          </w:p>
        </w:tc>
        <w:tc>
          <w:tcPr>
            <w:tcW w:w="2340" w:type="dxa"/>
          </w:tcPr>
          <w:p>
            <w:pPr/>
            <w:r>
              <w:rPr>
                <w:b/>
              </w:rPr>
              <w:t xml:space="preserve">78,37</w:t>
            </w:r>
          </w:p>
        </w:tc>
      </w:tr>
      <w:tr>
        <w:tc>
          <w:tcPr>
            <w:tcW w:w="2340" w:type="dxa"/>
          </w:tcPr>
          <w:p>
            <w:pPr/>
            <w:r>
              <w:t xml:space="preserve">Q1-27 Base</w:t>
            </w:r>
          </w:p>
        </w:tc>
        <w:tc>
          <w:tcPr>
            <w:tcW w:w="2340" w:type="dxa"/>
          </w:tcPr>
          <w:p>
            <w:pPr/>
            <w:r>
              <w:t xml:space="preserve">139,00</w:t>
            </w:r>
          </w:p>
        </w:tc>
        <w:tc>
          <w:tcPr>
            <w:tcW w:w="2340" w:type="dxa"/>
          </w:tcPr>
          <w:p>
            <w:pPr/>
            <w:r>
              <w:t xml:space="preserve">119,54</w:t>
            </w:r>
          </w:p>
        </w:tc>
        <w:tc>
          <w:tcPr>
            <w:tcW w:w="2340" w:type="dxa"/>
          </w:tcPr>
          <w:p>
            <w:pPr/>
            <w:r>
              <w:rPr>
                <w:b/>
              </w:rPr>
              <w:t xml:space="preserve">133,88</w:t>
            </w:r>
          </w:p>
        </w:tc>
      </w:tr>
      <w:tr>
        <w:tc>
          <w:tcPr>
            <w:tcW w:w="2340" w:type="dxa"/>
          </w:tcPr>
          <w:p>
            <w:pPr/>
            <w:r>
              <w:t xml:space="preserve">Clients RES1</w:t>
            </w:r>
          </w:p>
        </w:tc>
        <w:tc>
          <w:tcPr>
            <w:tcW w:w="2340" w:type="dxa"/>
          </w:tcPr>
          <w:p>
            <w:pPr/>
            <w:r>
              <w:t xml:space="preserve">200 000</w:t>
            </w:r>
          </w:p>
        </w:tc>
        <w:tc>
          <w:tcPr>
            <w:tcW w:w="2340" w:type="dxa"/>
          </w:tcPr>
          <w:p>
            <w:pPr/>
            <w:r>
              <w:t xml:space="preserve">188 200</w:t>
            </w:r>
          </w:p>
        </w:tc>
        <w:tc>
          <w:tcPr>
            <w:tcW w:w="2340" w:type="dxa"/>
          </w:tcPr>
          <w:p>
            <w:pPr/>
            <w:r>
              <w:rPr>
                <w:b/>
              </w:rPr>
              <w:t xml:space="preserve">191 531</w:t>
            </w:r>
          </w:p>
        </w:tc>
      </w:tr>
      <w:tr>
        <w:tc>
          <w:tcPr>
            <w:tcW w:w="2340" w:type="dxa"/>
          </w:tcPr>
          <w:p>
            <w:pPr/>
            <w:r>
              <w:t xml:space="preserve">Volume 2027</w:t>
            </w:r>
          </w:p>
        </w:tc>
        <w:tc>
          <w:tcPr>
            <w:tcW w:w="2340" w:type="dxa"/>
          </w:tcPr>
          <w:p>
            <w:pPr/>
            <w:r>
              <w:t xml:space="preserve">536 627</w:t>
            </w:r>
          </w:p>
        </w:tc>
        <w:tc>
          <w:tcPr>
            <w:tcW w:w="2340" w:type="dxa"/>
          </w:tcPr>
          <w:p>
            <w:pPr/>
            <w:r>
              <w:t xml:space="preserve">501 962</w:t>
            </w:r>
          </w:p>
        </w:tc>
        <w:tc>
          <w:tcPr>
            <w:tcW w:w="2340" w:type="dxa"/>
          </w:tcPr>
          <w:p>
            <w:pPr/>
            <w:r>
              <w:rPr>
                <w:b/>
              </w:rPr>
              <w:t xml:space="preserve">512 820 MWh</w:t>
            </w:r>
          </w:p>
        </w:tc>
      </w:tr>
    </w:tbl>
    <w:p>
      <w:pPr/>
      <w:r>
        <w:t xml:space="preserve">Le Q1-27 reprend 12 % en un mois : le marché anticipe un janvier froid, ce que la prévision de température confirmera.</w:t>
      </w:r>
    </w:p>
    <w:p>
      <w:pPr/>
      <w:r>
        <w:t xml:space="preserve">Tous les produits font le même V entre les trois jalons : baisse jusqu'au 1er décembre, remontée au 31. Mais </w:t>
      </w:r>
      <w:r>
        <w:rPr>
          <w:b/>
        </w:rPr>
        <w:t xml:space="preserve">l'amplitude est très inégale</w:t>
      </w:r>
      <w:r>
        <w:t xml:space="preserve"> — le Q1-27 perd puis reprend une vingtaine d'euros quand le Q2-27 bouge à peine de trois. C'est l'hiver qui porte toute la volatilité, et c'est précisément là que notre couverture était la plus faible.</w:t>
      </w:r>
    </w:p>
    <w:p>
      <w:pPr>
        <w:pStyle w:val="Heading3"/>
      </w:pPr>
      <w:r>
        <w:t xml:space="preserve">Objectif 1 — rééquilibrer la couverture</w:t>
      </w:r>
    </w:p>
    <w:p>
      <w:pPr/>
      <w:r>
        <w:t xml:space="preserve">Les achats du T1 et du T2 sont un </w:t>
      </w:r>
      <w:r>
        <w:rPr>
          <w:b/>
        </w:rPr>
        <w:t xml:space="preserve">fait</w:t>
      </w:r>
      <w:r>
        <w:t xml:space="preserve">, pas une décision : dans </w:t>
      </w:r>
      <w:r>
        <w:rPr>
          <w:rStyle w:val="CodeChar"/>
        </w:rPr>
        <w:t xml:space="preserve">t3_spot.py</w:t>
      </w:r>
      <w:r>
        <w:t xml:space="preserve"> ils sont une constante </w:t>
      </w:r>
      <w:r>
        <w:rPr>
          <w:rStyle w:val="CodeChar"/>
        </w:rPr>
        <w:t xml:space="preserve">POSITION</w:t>
      </w:r>
      <w:r>
        <w:t xml:space="preserve">, pas un calcul. Valorisés aux prix du 31/12 :</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Produit</w:t>
            </w:r>
          </w:p>
        </w:tc>
        <w:tc>
          <w:tcPr>
            <w:tcW w:w="1337" w:type="dxa"/>
            <w:shd w:val="clear" w:color="auto" w:fill="F2F2F2"/>
          </w:tcPr>
          <w:p>
            <w:pPr/>
            <w:r>
              <w:t xml:space="preserve">MW</w:t>
            </w:r>
          </w:p>
        </w:tc>
        <w:tc>
          <w:tcPr>
            <w:tcW w:w="1337" w:type="dxa"/>
            <w:shd w:val="clear" w:color="auto" w:fill="F2F2F2"/>
          </w:tcPr>
          <w:p>
            <w:pPr/>
            <w:r>
              <w:t xml:space="preserve">Acheté au</w:t>
            </w:r>
          </w:p>
        </w:tc>
        <w:tc>
          <w:tcPr>
            <w:tcW w:w="1337" w:type="dxa"/>
            <w:shd w:val="clear" w:color="auto" w:fill="F2F2F2"/>
          </w:tcPr>
          <w:p>
            <w:pPr/>
            <w:r>
              <w:t xml:space="preserve">MWh</w:t>
            </w:r>
          </w:p>
        </w:tc>
        <w:tc>
          <w:tcPr>
            <w:tcW w:w="1337" w:type="dxa"/>
            <w:shd w:val="clear" w:color="auto" w:fill="F2F2F2"/>
          </w:tcPr>
          <w:p>
            <w:pPr/>
            <w:r>
              <w:t xml:space="preserve">Prix payé</w:t>
            </w:r>
          </w:p>
        </w:tc>
        <w:tc>
          <w:tcPr>
            <w:tcW w:w="1337" w:type="dxa"/>
            <w:shd w:val="clear" w:color="auto" w:fill="F2F2F2"/>
          </w:tcPr>
          <w:p>
            <w:pPr/>
            <w:r>
              <w:t xml:space="preserve">Prix T3</w:t>
            </w:r>
          </w:p>
        </w:tc>
        <w:tc>
          <w:tcPr>
            <w:tcW w:w="1337" w:type="dxa"/>
            <w:shd w:val="clear" w:color="auto" w:fill="F2F2F2"/>
          </w:tcPr>
          <w:p>
            <w:pPr/>
            <w:r>
              <w:t xml:space="preserve">MtM</w:t>
            </w:r>
          </w:p>
        </w:tc>
      </w:tr>
      <w:tr>
        <w:tc>
          <w:tcPr>
            <w:tcW w:w="1337" w:type="dxa"/>
          </w:tcPr>
          <w:p>
            <w:pPr/>
            <w:r>
              <w:t xml:space="preserve">Q1-27 Base</w:t>
            </w:r>
          </w:p>
        </w:tc>
        <w:tc>
          <w:tcPr>
            <w:tcW w:w="1337" w:type="dxa"/>
          </w:tcPr>
          <w:p>
            <w:pPr/>
            <w:r>
              <w:t xml:space="preserve">49,58</w:t>
            </w:r>
          </w:p>
        </w:tc>
        <w:tc>
          <w:tcPr>
            <w:tcW w:w="1337" w:type="dxa"/>
          </w:tcPr>
          <w:p>
            <w:pPr/>
            <w:r>
              <w:t xml:space="preserve">T1</w:t>
            </w:r>
          </w:p>
        </w:tc>
        <w:tc>
          <w:tcPr>
            <w:tcW w:w="1337" w:type="dxa"/>
          </w:tcPr>
          <w:p>
            <w:pPr/>
            <w:r>
              <w:t xml:space="preserve">107 043</w:t>
            </w:r>
          </w:p>
        </w:tc>
        <w:tc>
          <w:tcPr>
            <w:tcW w:w="1337" w:type="dxa"/>
          </w:tcPr>
          <w:p>
            <w:pPr/>
            <w:r>
              <w:t xml:space="preserve">139,00</w:t>
            </w:r>
          </w:p>
        </w:tc>
        <w:tc>
          <w:tcPr>
            <w:tcW w:w="1337" w:type="dxa"/>
          </w:tcPr>
          <w:p>
            <w:pPr/>
            <w:r>
              <w:t xml:space="preserve">133,88</w:t>
            </w:r>
          </w:p>
        </w:tc>
        <w:tc>
          <w:tcPr>
            <w:tcW w:w="1337" w:type="dxa"/>
          </w:tcPr>
          <w:p>
            <w:pPr/>
            <w:r>
              <w:t xml:space="preserve">−548 k€</w:t>
            </w:r>
          </w:p>
        </w:tc>
      </w:tr>
      <w:tr>
        <w:tc>
          <w:tcPr>
            <w:tcW w:w="1337" w:type="dxa"/>
          </w:tcPr>
          <w:p>
            <w:pPr/>
            <w:r>
              <w:t xml:space="preserve">Q2-27 Base</w:t>
            </w:r>
          </w:p>
        </w:tc>
        <w:tc>
          <w:tcPr>
            <w:tcW w:w="1337" w:type="dxa"/>
          </w:tcPr>
          <w:p>
            <w:pPr/>
            <w:r>
              <w:t xml:space="preserve">37,91</w:t>
            </w:r>
          </w:p>
        </w:tc>
        <w:tc>
          <w:tcPr>
            <w:tcW w:w="1337" w:type="dxa"/>
          </w:tcPr>
          <w:p>
            <w:pPr/>
            <w:r>
              <w:t xml:space="preserve">T1</w:t>
            </w:r>
          </w:p>
        </w:tc>
        <w:tc>
          <w:tcPr>
            <w:tcW w:w="1337" w:type="dxa"/>
          </w:tcPr>
          <w:p>
            <w:pPr/>
            <w:r>
              <w:t xml:space="preserve">82 795</w:t>
            </w:r>
          </w:p>
        </w:tc>
        <w:tc>
          <w:tcPr>
            <w:tcW w:w="1337" w:type="dxa"/>
          </w:tcPr>
          <w:p>
            <w:pPr/>
            <w:r>
              <w:t xml:space="preserve">45,18</w:t>
            </w:r>
          </w:p>
        </w:tc>
        <w:tc>
          <w:tcPr>
            <w:tcW w:w="1337" w:type="dxa"/>
          </w:tcPr>
          <w:p>
            <w:pPr/>
            <w:r>
              <w:t xml:space="preserve">43,32</w:t>
            </w:r>
          </w:p>
        </w:tc>
        <w:tc>
          <w:tcPr>
            <w:tcW w:w="1337" w:type="dxa"/>
          </w:tcPr>
          <w:p>
            <w:pPr/>
            <w:r>
              <w:t xml:space="preserve">−154 k€</w:t>
            </w:r>
          </w:p>
        </w:tc>
      </w:tr>
      <w:tr>
        <w:tc>
          <w:tcPr>
            <w:tcW w:w="1337" w:type="dxa"/>
          </w:tcPr>
          <w:p>
            <w:pPr/>
            <w:r>
              <w:t xml:space="preserve">Q3-27 Base</w:t>
            </w:r>
          </w:p>
        </w:tc>
        <w:tc>
          <w:tcPr>
            <w:tcW w:w="1337" w:type="dxa"/>
          </w:tcPr>
          <w:p>
            <w:pPr/>
            <w:r>
              <w:t xml:space="preserve">36,47</w:t>
            </w:r>
          </w:p>
        </w:tc>
        <w:tc>
          <w:tcPr>
            <w:tcW w:w="1337" w:type="dxa"/>
          </w:tcPr>
          <w:p>
            <w:pPr/>
            <w:r>
              <w:t xml:space="preserve">T1</w:t>
            </w:r>
          </w:p>
        </w:tc>
        <w:tc>
          <w:tcPr>
            <w:tcW w:w="1337" w:type="dxa"/>
          </w:tcPr>
          <w:p>
            <w:pPr/>
            <w:r>
              <w:t xml:space="preserve">80 526</w:t>
            </w:r>
          </w:p>
        </w:tc>
        <w:tc>
          <w:tcPr>
            <w:tcW w:w="1337" w:type="dxa"/>
          </w:tcPr>
          <w:p>
            <w:pPr/>
            <w:r>
              <w:t xml:space="preserve">61,09</w:t>
            </w:r>
          </w:p>
        </w:tc>
        <w:tc>
          <w:tcPr>
            <w:tcW w:w="1337" w:type="dxa"/>
          </w:tcPr>
          <w:p>
            <w:pPr/>
            <w:r>
              <w:t xml:space="preserve">56,76</w:t>
            </w:r>
          </w:p>
        </w:tc>
        <w:tc>
          <w:tcPr>
            <w:tcW w:w="1337" w:type="dxa"/>
          </w:tcPr>
          <w:p>
            <w:pPr/>
            <w:r>
              <w:t xml:space="preserve">−349 k€</w:t>
            </w:r>
          </w:p>
        </w:tc>
      </w:tr>
      <w:tr>
        <w:tc>
          <w:tcPr>
            <w:tcW w:w="1337" w:type="dxa"/>
          </w:tcPr>
          <w:p>
            <w:pPr/>
            <w:r>
              <w:t xml:space="preserve">Q4-27 Base</w:t>
            </w:r>
          </w:p>
        </w:tc>
        <w:tc>
          <w:tcPr>
            <w:tcW w:w="1337" w:type="dxa"/>
          </w:tcPr>
          <w:p>
            <w:pPr/>
            <w:r>
              <w:t xml:space="preserve">47,65</w:t>
            </w:r>
          </w:p>
        </w:tc>
        <w:tc>
          <w:tcPr>
            <w:tcW w:w="1337" w:type="dxa"/>
          </w:tcPr>
          <w:p>
            <w:pPr/>
            <w:r>
              <w:t xml:space="preserve">T1</w:t>
            </w:r>
          </w:p>
        </w:tc>
        <w:tc>
          <w:tcPr>
            <w:tcW w:w="1337" w:type="dxa"/>
          </w:tcPr>
          <w:p>
            <w:pPr/>
            <w:r>
              <w:t xml:space="preserve">105 259</w:t>
            </w:r>
          </w:p>
        </w:tc>
        <w:tc>
          <w:tcPr>
            <w:tcW w:w="1337" w:type="dxa"/>
          </w:tcPr>
          <w:p>
            <w:pPr/>
            <w:r>
              <w:t xml:space="preserve">88,78</w:t>
            </w:r>
          </w:p>
        </w:tc>
        <w:tc>
          <w:tcPr>
            <w:tcW w:w="1337" w:type="dxa"/>
          </w:tcPr>
          <w:p>
            <w:pPr/>
            <w:r>
              <w:t xml:space="preserve">80,33</w:t>
            </w:r>
          </w:p>
        </w:tc>
        <w:tc>
          <w:tcPr>
            <w:tcW w:w="1337" w:type="dxa"/>
          </w:tcPr>
          <w:p>
            <w:pPr/>
            <w:r>
              <w:t xml:space="preserve">−889 k€</w:t>
            </w:r>
          </w:p>
        </w:tc>
      </w:tr>
      <w:tr>
        <w:tc>
          <w:tcPr>
            <w:tcW w:w="1337" w:type="dxa"/>
          </w:tcPr>
          <w:p>
            <w:pPr/>
            <w:r>
              <w:t xml:space="preserve">Cal-27 Base</w:t>
            </w:r>
          </w:p>
        </w:tc>
        <w:tc>
          <w:tcPr>
            <w:tcW w:w="1337" w:type="dxa"/>
          </w:tcPr>
          <w:p>
            <w:pPr/>
            <w:r>
              <w:t xml:space="preserve">14,42</w:t>
            </w:r>
          </w:p>
        </w:tc>
        <w:tc>
          <w:tcPr>
            <w:tcW w:w="1337" w:type="dxa"/>
          </w:tcPr>
          <w:p>
            <w:pPr/>
            <w:r>
              <w:rPr>
                <w:b/>
              </w:rPr>
              <w:t xml:space="preserve">T2</w:t>
            </w:r>
          </w:p>
        </w:tc>
        <w:tc>
          <w:tcPr>
            <w:tcW w:w="1337" w:type="dxa"/>
          </w:tcPr>
          <w:p>
            <w:pPr/>
            <w:r>
              <w:t xml:space="preserve">126 319</w:t>
            </w:r>
          </w:p>
        </w:tc>
        <w:tc>
          <w:tcPr>
            <w:tcW w:w="1337" w:type="dxa"/>
          </w:tcPr>
          <w:p>
            <w:pPr/>
            <w:r>
              <w:t xml:space="preserve">73,70</w:t>
            </w:r>
          </w:p>
        </w:tc>
        <w:tc>
          <w:tcPr>
            <w:tcW w:w="1337" w:type="dxa"/>
          </w:tcPr>
          <w:p>
            <w:pPr/>
            <w:r>
              <w:t xml:space="preserve">78,37</w:t>
            </w:r>
          </w:p>
        </w:tc>
        <w:tc>
          <w:tcPr>
            <w:tcW w:w="1337" w:type="dxa"/>
          </w:tcPr>
          <w:p>
            <w:pPr/>
            <w:r>
              <w:rPr>
                <w:b/>
              </w:rPr>
              <w:t xml:space="preserve">+590 k€</w:t>
            </w:r>
          </w:p>
        </w:tc>
      </w:tr>
      <w:tr>
        <w:tc>
          <w:tcPr>
            <w:tcW w:w="1337" w:type="dxa"/>
          </w:tcPr>
          <w:p>
            <w:pPr/>
            <w:r>
              <w:rPr>
                <w:b/>
              </w:rPr>
              <w:t xml:space="preserve">Total</w:t>
            </w:r>
          </w:p>
        </w:tc>
        <w:tc>
          <w:tcPr>
            <w:tcW w:w="1337" w:type="dxa"/>
          </w:tcPr>
          <w:p>
            <w:pPr/>
          </w:p>
        </w:tc>
        <w:tc>
          <w:tcPr>
            <w:tcW w:w="1337" w:type="dxa"/>
          </w:tcPr>
          <w:p>
            <w:pPr/>
          </w:p>
        </w:tc>
        <w:tc>
          <w:tcPr>
            <w:tcW w:w="1337" w:type="dxa"/>
          </w:tcPr>
          <w:p>
            <w:pPr/>
            <w:r>
              <w:rPr>
                <w:b/>
              </w:rPr>
              <w:t xml:space="preserve">501 942</w:t>
            </w:r>
          </w:p>
        </w:tc>
        <w:tc>
          <w:tcPr>
            <w:tcW w:w="1337" w:type="dxa"/>
          </w:tcPr>
          <w:p>
            <w:pPr/>
            <w:r>
              <w:rPr>
                <w:b/>
              </w:rPr>
              <w:t xml:space="preserve">84,06</w:t>
            </w:r>
          </w:p>
        </w:tc>
        <w:tc>
          <w:tcPr>
            <w:tcW w:w="1337" w:type="dxa"/>
          </w:tcPr>
          <w:p>
            <w:pPr/>
          </w:p>
        </w:tc>
        <w:tc>
          <w:tcPr>
            <w:tcW w:w="1337" w:type="dxa"/>
          </w:tcPr>
          <w:p>
            <w:pPr/>
            <w:r>
              <w:rPr>
                <w:b/>
              </w:rPr>
              <w:t xml:space="preserve">−1,35 M€</w:t>
            </w:r>
          </w:p>
        </w:tc>
      </w:tr>
    </w:tbl>
    <w:p>
      <w:pPr/>
      <w:r>
        <w:rPr>
          <w:b/>
        </w:rPr>
        <w:t xml:space="preserve">L'achat du T2 était le bon appel</w:t>
      </w:r>
      <w:r>
        <w:t xml:space="preserve"> : acheté au creux du marché, il est le seul en gain. Et le mark-to-market global s'est redressé de −3,92 M€ au T2 à −1,35 M€.</w:t>
      </w:r>
    </w:p>
    <w:p>
      <w:pPr/>
      <w:r>
        <w:t xml:space="preserve">Le ratio global tombe à 97,9 %, mais la moyenne cache l'essentiel :</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p>
        </w:tc>
        <w:tc>
          <w:tcPr>
            <w:tcW w:w="1872" w:type="dxa"/>
            <w:shd w:val="clear" w:color="auto" w:fill="F2F2F2"/>
          </w:tcPr>
          <w:p>
            <w:pPr/>
            <w:r>
              <w:t xml:space="preserve">Besoin T3</w:t>
            </w:r>
          </w:p>
        </w:tc>
        <w:tc>
          <w:tcPr>
            <w:tcW w:w="1872" w:type="dxa"/>
            <w:shd w:val="clear" w:color="auto" w:fill="F2F2F2"/>
          </w:tcPr>
          <w:p>
            <w:pPr/>
            <w:r>
              <w:t xml:space="preserve">Couvert</w:t>
            </w:r>
          </w:p>
        </w:tc>
        <w:tc>
          <w:tcPr>
            <w:tcW w:w="1872" w:type="dxa"/>
            <w:shd w:val="clear" w:color="auto" w:fill="F2F2F2"/>
          </w:tcPr>
          <w:p>
            <w:pPr/>
            <w:r>
              <w:t xml:space="preserve">Ratio</w:t>
            </w:r>
          </w:p>
        </w:tc>
        <w:tc>
          <w:tcPr>
            <w:tcW w:w="1872" w:type="dxa"/>
            <w:shd w:val="clear" w:color="auto" w:fill="F2F2F2"/>
          </w:tcPr>
          <w:p>
            <w:pPr/>
            <w:r>
              <w:t xml:space="preserve">Écart</w:t>
            </w:r>
          </w:p>
        </w:tc>
      </w:tr>
      <w:tr>
        <w:tc>
          <w:tcPr>
            <w:tcW w:w="1872" w:type="dxa"/>
          </w:tcPr>
          <w:p>
            <w:pPr/>
            <w:r>
              <w:rPr>
                <w:b/>
              </w:rPr>
              <w:t xml:space="preserve">Q1 (hiver)</w:t>
            </w:r>
          </w:p>
        </w:tc>
        <w:tc>
          <w:tcPr>
            <w:tcW w:w="1872" w:type="dxa"/>
          </w:tcPr>
          <w:p>
            <w:pPr/>
            <w:r>
              <w:t xml:space="preserve">146 113</w:t>
            </w:r>
          </w:p>
        </w:tc>
        <w:tc>
          <w:tcPr>
            <w:tcW w:w="1872" w:type="dxa"/>
          </w:tcPr>
          <w:p>
            <w:pPr/>
            <w:r>
              <w:t xml:space="preserve">138 176</w:t>
            </w:r>
          </w:p>
        </w:tc>
        <w:tc>
          <w:tcPr>
            <w:tcW w:w="1872" w:type="dxa"/>
          </w:tcPr>
          <w:p>
            <w:pPr/>
            <w:r>
              <w:rPr>
                <w:b/>
              </w:rPr>
              <w:t xml:space="preserve">94,6 %</w:t>
            </w:r>
          </w:p>
        </w:tc>
        <w:tc>
          <w:tcPr>
            <w:tcW w:w="1872" w:type="dxa"/>
          </w:tcPr>
          <w:p>
            <w:pPr/>
            <w:r>
              <w:t xml:space="preserve">short 7 937 MWh</w:t>
            </w:r>
          </w:p>
        </w:tc>
      </w:tr>
      <w:tr>
        <w:tc>
          <w:tcPr>
            <w:tcW w:w="1872" w:type="dxa"/>
          </w:tcPr>
          <w:p>
            <w:pPr/>
            <w:r>
              <w:t xml:space="preserve">Q2</w:t>
            </w:r>
          </w:p>
        </w:tc>
        <w:tc>
          <w:tcPr>
            <w:tcW w:w="1872" w:type="dxa"/>
          </w:tcPr>
          <w:p>
            <w:pPr/>
            <w:r>
              <w:t xml:space="preserve">113 058</w:t>
            </w:r>
          </w:p>
        </w:tc>
        <w:tc>
          <w:tcPr>
            <w:tcW w:w="1872" w:type="dxa"/>
          </w:tcPr>
          <w:p>
            <w:pPr/>
            <w:r>
              <w:t xml:space="preserve">114 289</w:t>
            </w:r>
          </w:p>
        </w:tc>
        <w:tc>
          <w:tcPr>
            <w:tcW w:w="1872" w:type="dxa"/>
          </w:tcPr>
          <w:p>
            <w:pPr/>
            <w:r>
              <w:t xml:space="preserve">101,1 %</w:t>
            </w:r>
          </w:p>
        </w:tc>
        <w:tc>
          <w:tcPr>
            <w:tcW w:w="1872" w:type="dxa"/>
          </w:tcPr>
          <w:p>
            <w:pPr/>
            <w:r>
              <w:t xml:space="preserve">long 1 231 MWh</w:t>
            </w:r>
          </w:p>
        </w:tc>
      </w:tr>
      <w:tr>
        <w:tc>
          <w:tcPr>
            <w:tcW w:w="1872" w:type="dxa"/>
          </w:tcPr>
          <w:p>
            <w:pPr/>
            <w:r>
              <w:t xml:space="preserve">Q3 (été)</w:t>
            </w:r>
          </w:p>
        </w:tc>
        <w:tc>
          <w:tcPr>
            <w:tcW w:w="1872" w:type="dxa"/>
          </w:tcPr>
          <w:p>
            <w:pPr/>
            <w:r>
              <w:t xml:space="preserve">109 950</w:t>
            </w:r>
          </w:p>
        </w:tc>
        <w:tc>
          <w:tcPr>
            <w:tcW w:w="1872" w:type="dxa"/>
          </w:tcPr>
          <w:p>
            <w:pPr/>
            <w:r>
              <w:t xml:space="preserve">112 365</w:t>
            </w:r>
          </w:p>
        </w:tc>
        <w:tc>
          <w:tcPr>
            <w:tcW w:w="1872" w:type="dxa"/>
          </w:tcPr>
          <w:p>
            <w:pPr/>
            <w:r>
              <w:t xml:space="preserve">102,2 %</w:t>
            </w:r>
          </w:p>
        </w:tc>
        <w:tc>
          <w:tcPr>
            <w:tcW w:w="1872" w:type="dxa"/>
          </w:tcPr>
          <w:p>
            <w:pPr/>
            <w:r>
              <w:t xml:space="preserve">long 2 415 MWh</w:t>
            </w:r>
          </w:p>
        </w:tc>
      </w:tr>
      <w:tr>
        <w:tc>
          <w:tcPr>
            <w:tcW w:w="1872" w:type="dxa"/>
          </w:tcPr>
          <w:p>
            <w:pPr/>
            <w:r>
              <w:rPr>
                <w:b/>
              </w:rPr>
              <w:t xml:space="preserve">Q4 (hiver)</w:t>
            </w:r>
          </w:p>
        </w:tc>
        <w:tc>
          <w:tcPr>
            <w:tcW w:w="1872" w:type="dxa"/>
          </w:tcPr>
          <w:p>
            <w:pPr/>
            <w:r>
              <w:t xml:space="preserve">143 699</w:t>
            </w:r>
          </w:p>
        </w:tc>
        <w:tc>
          <w:tcPr>
            <w:tcW w:w="1872" w:type="dxa"/>
          </w:tcPr>
          <w:p>
            <w:pPr/>
            <w:r>
              <w:t xml:space="preserve">137 113</w:t>
            </w:r>
          </w:p>
        </w:tc>
        <w:tc>
          <w:tcPr>
            <w:tcW w:w="1872" w:type="dxa"/>
          </w:tcPr>
          <w:p>
            <w:pPr/>
            <w:r>
              <w:rPr>
                <w:b/>
              </w:rPr>
              <w:t xml:space="preserve">95,4 %</w:t>
            </w:r>
          </w:p>
        </w:tc>
        <w:tc>
          <w:tcPr>
            <w:tcW w:w="1872" w:type="dxa"/>
          </w:tcPr>
          <w:p>
            <w:pPr/>
            <w:r>
              <w:t xml:space="preserve">short 6 586 MWh</w:t>
            </w:r>
          </w:p>
        </w:tc>
      </w:tr>
    </w:tbl>
    <w:p>
      <w:pPr/>
      <w:r>
        <w:rPr>
          <w:b/>
        </w:rPr>
        <w:t xml:space="preserve">On est short en hiver et long en été en même temps.</w:t>
      </w:r>
      <w:r>
        <w:t xml:space="preserve"> C'est le défaut du ruban Cal plat acheté au T2, qui livre autant en janvier qu'en juillet. Le rééquilibrage s'impose donc </w:t>
      </w:r>
      <w:r>
        <w:rPr>
          <w:b/>
        </w:rPr>
        <w:t xml:space="preserve">par trimestre</w:t>
      </w:r>
      <w:r>
        <w:t xml:space="preserve">, pas par un bout de Cal supplémentaire :</w:t>
      </w:r>
    </w:p>
    <w:p>
      <w:pPr>
        <w:pStyle w:val="Code"/>
      </w:pPr>
      <w:r>
        <w:t xml:space="preserve">ACHETER  3,68 MW de Q1-27 Base a 133,88  -&gt;  +1 063 kEUR</w:t>
        <w:br/>
        <w:t xml:space="preserve">VENDRE   0,56 MW de Q2-27 Base a  43,32  -&gt;     -53 kEUR</w:t>
        <w:br/>
        <w:t xml:space="preserve">VENDRE   1,09 MW de Q3-27 Base a  56,76  -&gt;    -137 kEUR</w:t>
        <w:br/>
        <w:t xml:space="preserve">ACHETER  2,98 MW de Q4-27 Base a  80,33  -&gt;    +529 kEUR</w:t>
        <w:br/>
        <w:t xml:space="preserve">                                             ----------</w:t>
        <w:br/>
        <w:t xml:space="preserve">                                   solde      +1,40 MEUR</w:t>
      </w:r>
    </w:p>
    <w:p>
      <w:pPr>
        <w:pStyle w:val="Heading3"/>
      </w:pPr>
      <w:r>
        <w:t xml:space="preserve">Objectif 2 — l'ordre day-ahead du 1er janvier</w:t>
      </w:r>
    </w:p>
    <w:p>
      <w:pPr/>
      <w:r>
        <w:t xml:space="preserve">La définition vient des takeaways de la session 5 :</w:t>
      </w:r>
    </w:p>
    <w:p>
      <w:pPr>
        <w:pStyle w:val="Quote"/>
      </w:pPr>
      <w:r>
        <w:rPr>
          <w:i/>
        </w:rPr>
        <w:t xml:space="preserve">Your spot exposure is the open position: </w:t>
      </w:r>
      <w:r>
        <w:rPr>
          <w:b/>
          <w:i/>
        </w:rPr>
        <w:t xml:space="preserve">load − hedges − own generation</w:t>
      </w:r>
      <w:r>
        <w:rPr>
          <w:i/>
        </w:rPr>
        <w:t xml:space="preserve">, for each 15-minute MTU.</w:t>
      </w:r>
    </w:p>
    <w:p>
      <w:pPr/>
      <w:r>
        <w:t xml:space="preserve">Deux termes nouveaux par rapport à l'étape 14 : la </w:t>
      </w:r>
      <w:r>
        <w:rPr>
          <w:b/>
        </w:rPr>
        <w:t xml:space="preserve">température prévue</w:t>
      </w:r>
      <w:r>
        <w:t xml:space="preserve"> (+0,44 °C de moyenne contre 4,79 °C de normale, donc </w:t>
      </w:r>
      <w:r>
        <w:rPr>
          <w:rStyle w:val="CodeChar"/>
        </w:rPr>
        <w:t xml:space="preserve">CM</w:t>
      </w:r>
      <w:r>
        <w:t xml:space="preserve"> à 1,09 pour RES1 et 1,14 pour PRO1) et la </w:t>
      </w:r>
      <w:r>
        <w:rPr>
          <w:b/>
        </w:rPr>
        <w:t xml:space="preserve">production solaire</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Heure</w:t>
            </w:r>
          </w:p>
        </w:tc>
        <w:tc>
          <w:tcPr>
            <w:tcW w:w="1872" w:type="dxa"/>
            <w:shd w:val="clear" w:color="auto" w:fill="F2F2F2"/>
          </w:tcPr>
          <w:p>
            <w:pPr/>
            <w:r>
              <w:t xml:space="preserve">Charge</w:t>
            </w:r>
          </w:p>
        </w:tc>
        <w:tc>
          <w:tcPr>
            <w:tcW w:w="1872" w:type="dxa"/>
            <w:shd w:val="clear" w:color="auto" w:fill="F2F2F2"/>
          </w:tcPr>
          <w:p>
            <w:pPr/>
            <w:r>
              <w:t xml:space="preserve">Solaire</w:t>
            </w:r>
          </w:p>
        </w:tc>
        <w:tc>
          <w:tcPr>
            <w:tcW w:w="1872" w:type="dxa"/>
            <w:shd w:val="clear" w:color="auto" w:fill="F2F2F2"/>
          </w:tcPr>
          <w:p>
            <w:pPr/>
            <w:r>
              <w:t xml:space="preserve">Couverture</w:t>
            </w:r>
          </w:p>
        </w:tc>
        <w:tc>
          <w:tcPr>
            <w:tcW w:w="1872" w:type="dxa"/>
            <w:shd w:val="clear" w:color="auto" w:fill="F2F2F2"/>
          </w:tcPr>
          <w:p>
            <w:pPr/>
            <w:r>
              <w:t xml:space="preserve">Position</w:t>
            </w:r>
          </w:p>
        </w:tc>
      </w:tr>
      <w:tr>
        <w:tc>
          <w:tcPr>
            <w:tcW w:w="1872" w:type="dxa"/>
          </w:tcPr>
          <w:p>
            <w:pPr/>
            <w:r>
              <w:t xml:space="preserve">04:00</w:t>
            </w:r>
          </w:p>
        </w:tc>
        <w:tc>
          <w:tcPr>
            <w:tcW w:w="1872" w:type="dxa"/>
          </w:tcPr>
          <w:p>
            <w:pPr/>
            <w:r>
              <w:t xml:space="preserve">48,65</w:t>
            </w:r>
          </w:p>
        </w:tc>
        <w:tc>
          <w:tcPr>
            <w:tcW w:w="1872" w:type="dxa"/>
          </w:tcPr>
          <w:p>
            <w:pPr/>
            <w:r>
              <w:t xml:space="preserve">0</w:t>
            </w:r>
          </w:p>
        </w:tc>
        <w:tc>
          <w:tcPr>
            <w:tcW w:w="1872" w:type="dxa"/>
          </w:tcPr>
          <w:p>
            <w:pPr/>
            <w:r>
              <w:t xml:space="preserve">64,00</w:t>
            </w:r>
          </w:p>
        </w:tc>
        <w:tc>
          <w:tcPr>
            <w:tcW w:w="1872" w:type="dxa"/>
          </w:tcPr>
          <w:p>
            <w:pPr/>
            <w:r>
              <w:rPr>
                <w:b/>
              </w:rPr>
              <w:t xml:space="preserve">−15,35</w:t>
            </w:r>
            <w:r>
              <w:t xml:space="preserve"> long</w:t>
            </w:r>
          </w:p>
        </w:tc>
      </w:tr>
      <w:tr>
        <w:tc>
          <w:tcPr>
            <w:tcW w:w="1872" w:type="dxa"/>
          </w:tcPr>
          <w:p>
            <w:pPr/>
            <w:r>
              <w:t xml:space="preserve">12:00</w:t>
            </w:r>
          </w:p>
        </w:tc>
        <w:tc>
          <w:tcPr>
            <w:tcW w:w="1872" w:type="dxa"/>
          </w:tcPr>
          <w:p>
            <w:pPr/>
            <w:r>
              <w:t xml:space="preserve">95,92</w:t>
            </w:r>
          </w:p>
        </w:tc>
        <w:tc>
          <w:tcPr>
            <w:tcW w:w="1872" w:type="dxa"/>
          </w:tcPr>
          <w:p>
            <w:pPr/>
            <w:r>
              <w:t xml:space="preserve">24,0</w:t>
            </w:r>
          </w:p>
        </w:tc>
        <w:tc>
          <w:tcPr>
            <w:tcW w:w="1872" w:type="dxa"/>
          </w:tcPr>
          <w:p>
            <w:pPr/>
            <w:r>
              <w:t xml:space="preserve">64,00</w:t>
            </w:r>
          </w:p>
        </w:tc>
        <w:tc>
          <w:tcPr>
            <w:tcW w:w="1872" w:type="dxa"/>
          </w:tcPr>
          <w:p>
            <w:pPr/>
            <w:r>
              <w:t xml:space="preserve">+7,92</w:t>
            </w:r>
          </w:p>
        </w:tc>
      </w:tr>
      <w:tr>
        <w:tc>
          <w:tcPr>
            <w:tcW w:w="1872" w:type="dxa"/>
          </w:tcPr>
          <w:p>
            <w:pPr/>
            <w:r>
              <w:rPr>
                <w:b/>
              </w:rPr>
              <w:t xml:space="preserve">14:00</w:t>
            </w:r>
          </w:p>
        </w:tc>
        <w:tc>
          <w:tcPr>
            <w:tcW w:w="1872" w:type="dxa"/>
          </w:tcPr>
          <w:p>
            <w:pPr/>
            <w:r>
              <w:rPr>
                <w:b/>
              </w:rPr>
              <w:t xml:space="preserve">81,89</w:t>
            </w:r>
          </w:p>
        </w:tc>
        <w:tc>
          <w:tcPr>
            <w:tcW w:w="1872" w:type="dxa"/>
          </w:tcPr>
          <w:p>
            <w:pPr/>
            <w:r>
              <w:rPr>
                <w:b/>
              </w:rPr>
              <w:t xml:space="preserve">14,0</w:t>
            </w:r>
          </w:p>
        </w:tc>
        <w:tc>
          <w:tcPr>
            <w:tcW w:w="1872" w:type="dxa"/>
          </w:tcPr>
          <w:p>
            <w:pPr/>
            <w:r>
              <w:rPr>
                <w:b/>
              </w:rPr>
              <w:t xml:space="preserve">64,00</w:t>
            </w:r>
          </w:p>
        </w:tc>
        <w:tc>
          <w:tcPr>
            <w:tcW w:w="1872" w:type="dxa"/>
          </w:tcPr>
          <w:p>
            <w:pPr/>
            <w:r>
              <w:rPr>
                <w:b/>
              </w:rPr>
              <w:t xml:space="preserve">+3,89</w:t>
            </w:r>
          </w:p>
        </w:tc>
      </w:tr>
      <w:tr>
        <w:tc>
          <w:tcPr>
            <w:tcW w:w="1872" w:type="dxa"/>
          </w:tcPr>
          <w:p>
            <w:pPr/>
            <w:r>
              <w:t xml:space="preserve">15:00</w:t>
            </w:r>
          </w:p>
        </w:tc>
        <w:tc>
          <w:tcPr>
            <w:tcW w:w="1872" w:type="dxa"/>
          </w:tcPr>
          <w:p>
            <w:pPr/>
            <w:r>
              <w:t xml:space="preserve">79,91</w:t>
            </w:r>
          </w:p>
        </w:tc>
        <w:tc>
          <w:tcPr>
            <w:tcW w:w="1872" w:type="dxa"/>
          </w:tcPr>
          <w:p>
            <w:pPr/>
            <w:r>
              <w:t xml:space="preserve">5,0</w:t>
            </w:r>
          </w:p>
        </w:tc>
        <w:tc>
          <w:tcPr>
            <w:tcW w:w="1872" w:type="dxa"/>
          </w:tcPr>
          <w:p>
            <w:pPr/>
            <w:r>
              <w:t xml:space="preserve">64,00</w:t>
            </w:r>
          </w:p>
        </w:tc>
        <w:tc>
          <w:tcPr>
            <w:tcW w:w="1872" w:type="dxa"/>
          </w:tcPr>
          <w:p>
            <w:pPr/>
            <w:r>
              <w:t xml:space="preserve">+10,91</w:t>
            </w:r>
          </w:p>
        </w:tc>
      </w:tr>
      <w:tr>
        <w:tc>
          <w:tcPr>
            <w:tcW w:w="1872" w:type="dxa"/>
          </w:tcPr>
          <w:p>
            <w:pPr/>
            <w:r>
              <w:rPr>
                <w:b/>
              </w:rPr>
              <w:t xml:space="preserve">19:00</w:t>
            </w:r>
          </w:p>
        </w:tc>
        <w:tc>
          <w:tcPr>
            <w:tcW w:w="1872" w:type="dxa"/>
          </w:tcPr>
          <w:p>
            <w:pPr/>
            <w:r>
              <w:rPr>
                <w:b/>
              </w:rPr>
              <w:t xml:space="preserve">114,39</w:t>
            </w:r>
          </w:p>
        </w:tc>
        <w:tc>
          <w:tcPr>
            <w:tcW w:w="1872" w:type="dxa"/>
          </w:tcPr>
          <w:p>
            <w:pPr/>
            <w:r>
              <w:t xml:space="preserve">0</w:t>
            </w:r>
          </w:p>
        </w:tc>
        <w:tc>
          <w:tcPr>
            <w:tcW w:w="1872" w:type="dxa"/>
          </w:tcPr>
          <w:p>
            <w:pPr/>
            <w:r>
              <w:t xml:space="preserve">64,00</w:t>
            </w:r>
          </w:p>
        </w:tc>
        <w:tc>
          <w:tcPr>
            <w:tcW w:w="1872" w:type="dxa"/>
          </w:tcPr>
          <w:p>
            <w:pPr/>
            <w:r>
              <w:rPr>
                <w:b/>
              </w:rPr>
              <w:t xml:space="preserve">+50,39</w:t>
            </w:r>
            <w:r>
              <w:t xml:space="preserve"> short</w:t>
            </w:r>
          </w:p>
        </w:tc>
      </w:tr>
    </w:tbl>
    <w:p>
      <w:pPr/>
      <w:r>
        <w:t xml:space="preserve">Sur la journée : 1 849,5 MWh de charge contre 1 682,1 à température normale, 110,5 MWh de solaire, </w:t>
      </w:r>
      <w:r>
        <w:rPr>
          <w:b/>
        </w:rPr>
        <w:t xml:space="preserve">292,6 MWh à acheter et 89,6 à revendre</w:t>
      </w:r>
      <w:r>
        <w:t xml:space="preserve">.</w:t>
      </w:r>
    </w:p>
    <w:p>
      <w:pPr/>
      <w:r>
        <w:drawing>
          <wp:inline distT="0" distB="0" distL="0" distR="0">
            <wp:extent cx="5486400" cy="3786434"/>
            <wp:docPr id="8" name="image8"/>
            <a:graphic xmlns:a="http://schemas.openxmlformats.org/drawingml/2006/main">
              <a:graphicData uri="http://schemas.openxmlformats.org/drawingml/2006/picture">
                <pic:pic xmlns:pic="http://schemas.openxmlformats.org/drawingml/2006/picture">
                  <pic:nvPicPr>
                    <pic:cNvPr id="8" name="image8"/>
                    <pic:cNvPicPr/>
                  </pic:nvPicPr>
                  <pic:blipFill>
                    <a:blip r:embed="rIdFig8"/>
                    <a:stretch>
                      <a:fillRect/>
                    </a:stretch>
                  </pic:blipFill>
                  <pic:spPr>
                    <a:xfrm>
                      <a:off x="0" y="0"/>
                      <a:ext cx="5486400" cy="3786434"/>
                    </a:xfrm>
                    <a:prstGeom prst="rect">
                      <a:avLst/>
                    </a:prstGeom>
                  </pic:spPr>
                </pic:pic>
              </a:graphicData>
            </a:graphic>
          </wp:inline>
        </w:drawing>
      </w:r>
    </w:p>
    <w:p>
      <w:pPr/>
      <w:r>
        <w:rPr>
          <w:b/>
        </w:rPr>
        <w:t xml:space="preserve">La même journée que l'étape 14, trois mois plus tard, avec deux informations de plus.</w:t>
      </w:r>
      <w:r>
        <w:t xml:space="preserve"> C'est la figure de </w:t>
      </w:r>
      <w:r>
        <w:rPr>
          <w:rStyle w:val="CodeChar"/>
        </w:rPr>
        <w:t xml:space="preserve">t3_spot.py</w:t>
      </w:r>
      <w:r>
        <w:t xml:space="preserve">. En haut : la charge à température prévue (vert), la charge à température normale (pointillé gris), la couverture à 64 MW (rouge) et la production solaire (barres orange). En bas : la position ouverte heure par heure, l'heure 14h-15h de l'objectif 2 surlignée en jaune.</w:t>
      </w:r>
    </w:p>
    <w:p>
      <w:pPr/>
      <w:r>
        <w:t xml:space="preserve">L'écart entre le trait vert et le pointillé gris, c'est la prévision météo — </w:t>
      </w:r>
      <w:r>
        <w:rPr>
          <w:b/>
        </w:rPr>
        <w:t xml:space="preserve">+0,44 °C annoncés contre 4,79 °C de normale</w:t>
      </w:r>
      <w:r>
        <w:t xml:space="preserve">, donc un CM autour de 1,09, donc 4 à 14 MW de charge en plus selon l'heure. Les barres orange, c'est la centrale de 80 MWc : elle ne produit qu'entre 8h et 16h, culmine à 24 MW vers midi, et </w:t>
      </w:r>
      <w:r>
        <w:rPr>
          <w:b/>
        </w:rPr>
        <w:t xml:space="preserve">ne touche jamais la pointe du soir</w:t>
      </w:r>
      <w:r>
        <w:t xml:space="preserve">. Une centrale solaire ne couvre pas un portefeuille résidentiel d'hiver, elle déplace seulement le problème de midi vers 19h.</w:t>
      </w:r>
    </w:p>
    <w:p>
      <w:pPr/>
      <w:r>
        <w:t xml:space="preserve">Le panneau du bas le montre directement : la journée reste </w:t>
      </w:r>
      <w:r>
        <w:rPr>
          <w:b/>
        </w:rPr>
        <w:t xml:space="preserve">longue de minuit à 7h</w:t>
      </w:r>
      <w:r>
        <w:t xml:space="preserve"> (jusqu'à 15 MW à revendre), passe short à partir de 8h, puis se creuse à 13h-14h — c'est le solaire qui comble presque tout le besoin de milieu de journée — avant le mur du soir à </w:t>
      </w:r>
      <w:r>
        <w:rPr>
          <w:b/>
        </w:rPr>
        <w:t xml:space="preserve">+50 MW à 19h</w:t>
      </w:r>
      <w:r>
        <w:t xml:space="preserve">. À 14h, la barre surlignée vaut </w:t>
      </w:r>
      <w:r>
        <w:rPr>
          <w:b/>
        </w:rPr>
        <w:t xml:space="preserve">+3,89 MW</w:t>
      </w:r>
      <w:r>
        <w:t xml:space="preserve"> : c'est le chiffre de l'objectif 2.</w:t>
      </w:r>
    </w:p>
    <w:p>
      <w:pPr/>
      <w:r>
        <w:t xml:space="preserve">Pour l'heure demandée, la courbe d'ordre découle d'un principe de la session 5 : </w:t>
      </w:r>
      <w:r>
        <w:rPr>
          <w:i/>
        </w:rPr>
        <w:t xml:space="preserve">own generation is offered to the market, </w:t>
      </w:r>
      <w:r>
        <w:rPr>
          <w:b/>
          <w:i/>
        </w:rPr>
        <w:t xml:space="preserve">never reserved for your customers</w:t>
      </w:r>
      <w:r>
        <w:rPr>
          <w:i/>
        </w:rPr>
        <w:t xml:space="preserve"> — you dispatch against the price</w:t>
      </w:r>
      <w:r>
        <w:t xml:space="preserve">.</w:t>
      </w:r>
    </w:p>
    <w:p>
      <w:pPr>
        <w:pStyle w:val="Code"/>
      </w:pPr>
      <w:r>
        <w:t xml:space="preserve">prix &lt;  0 EUR/MWh  : on efface le solaire  -&gt;  ACHETER 17,89 MWh</w:t>
        <w:br/>
        <w:t xml:space="preserve">prix &gt;= 0 EUR/MWh  : le solaire est vendu  -&gt;  ACHETER  3,89 MWh</w:t>
      </w:r>
    </w:p>
    <w:p>
      <w:pPr/>
      <w:r>
        <w:t xml:space="preserve">Les 3,89 MWh sont un volume </w:t>
      </w:r>
      <w:r>
        <w:rPr>
          <w:b/>
        </w:rPr>
        <w:t xml:space="preserve">subi</w:t>
      </w:r>
      <w:r>
        <w:t xml:space="preserve"> : ordre sans limite de prix, parce que ne pas être servi coûte plus cher que n'importe quel prix de clearing. Le solaire, lui, porte une limite à son coût marginal (zéro) : en dessous, on préfère l'effacer.</w:t>
      </w:r>
    </w:p>
    <w:p>
      <w:pPr>
        <w:pStyle w:val="Heading3"/>
      </w:pPr>
      <w:r>
        <w:t xml:space="preserve">La réserve qu'il faut poser</w:t>
      </w:r>
    </w:p>
    <w:p>
      <w:pPr/>
      <w:r>
        <w:t xml:space="preserve">Si la centrale de 80 MWc appartient au portefeuille </w:t>
      </w:r>
      <w:r>
        <w:rPr>
          <w:b/>
        </w:rPr>
        <w:t xml:space="preserve">pour l'année entière</w:t>
      </w:r>
      <w:r>
        <w:t xml:space="preserve">, elle produit de l'ordre de 90 à 100 GWh, soit 18 à 20 % du besoin. L'objectif 1 s'inverserait alors complètement : on ne serait plus sous-couvert à 97,9 %, mais largement sur-couvert, et il faudrait vendre partout au lieu d'acheter l'hiver.</w:t>
      </w:r>
    </w:p>
    <w:p>
      <w:pPr/>
      <w:r>
        <w:rPr>
          <w:b/>
        </w:rPr>
        <w:t xml:space="preserve">Le fichier ne donne la production que pour le 1er janvier.</w:t>
      </w:r>
      <w:r>
        <w:t xml:space="preserve"> La constante </w:t>
      </w:r>
      <w:r>
        <w:rPr>
          <w:rStyle w:val="CodeChar"/>
        </w:rPr>
        <w:t xml:space="preserve">SOLAIRE_ANNUEL_MWH</w:t>
      </w:r>
      <w:r>
        <w:t xml:space="preserve"> est donc laissée à </w:t>
      </w:r>
      <w:r>
        <w:rPr>
          <w:rStyle w:val="CodeChar"/>
        </w:rPr>
        <w:t xml:space="preserve">None</w:t>
      </w:r>
      <w:r>
        <w:t xml:space="preserve"> dans le code : la renseigner suffit à faire basculer tout le raisonnement de l'objectif 1 vers un besoin net. À trancher avec le prof avant de figer la réponse.</w:t>
      </w:r>
    </w:p>
    <w:p>
      <w:pPr/>
      <w:r>
        <w:t xml:space="preserve">Même logique pour </w:t>
      </w:r>
      <w:r>
        <w:rPr>
          <w:rStyle w:val="CodeChar"/>
        </w:rPr>
        <w:t xml:space="preserve">PRIX_CLEARING</w:t>
      </w:r>
      <w:r>
        <w:t xml:space="preserve">, laissé à </w:t>
      </w:r>
      <w:r>
        <w:rPr>
          <w:rStyle w:val="CodeChar"/>
        </w:rPr>
        <w:t xml:space="preserve">None</w:t>
      </w:r>
      <w:r>
        <w:t xml:space="preserve"> : le </w:t>
      </w:r>
      <w:r>
        <w:rPr>
          <w:i/>
        </w:rPr>
        <w:t xml:space="preserve">hedge success</w:t>
      </w:r>
      <w:r>
        <w:t xml:space="preserve"> ne se calcule qu'une fois le prix spot publié — et le terme lui-même n'est défini nulle part dans les slides.</w:t>
      </w:r>
    </w:p>
    <w:p>
      <w:pPr>
        <w:pStyle w:val="Heading2"/>
      </w:pPr>
      <w:r>
        <w:t xml:space="preserve">Les limites à savoir nommer</w:t>
      </w:r>
    </w:p>
    <w:p>
      <w:pPr/>
      <w:r>
        <w:t xml:space="preserve">Trois faiblesses connues. Les annoncer vous-même vaut toujours mieux que de les laisser surgir dans les questions.</w:t>
      </w:r>
    </w:p>
    <w:p>
      <w:pPr>
        <w:pStyle w:val="Heading3"/>
      </w:pPr>
      <w:r>
        <w:t xml:space="preserve">1. La structure par terme du Shape ne suit pas le marché</w:t>
      </w:r>
    </w:p>
    <w:p>
      <w:pPr/>
      <w:r>
        <w:t xml:space="preserve">C'est la plus sérieuse. Le Level × Shape normalise la forme historique à une moyenne </w:t>
      </w:r>
      <w:r>
        <w:rPr>
          <w:b/>
        </w:rPr>
        <w:t xml:space="preserve">annuelle</w:t>
      </w:r>
      <w:r>
        <w:t xml:space="preserve"> de 1 et l'ancre sur le forward annuel. La saisonnalité qui en résulte est donc celle de l'année historique, pas celle que le marché price pour 2027.</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Q1 / moyenne</w:t>
            </w:r>
          </w:p>
        </w:tc>
        <w:tc>
          <w:tcPr>
            <w:tcW w:w="3120" w:type="dxa"/>
            <w:shd w:val="clear" w:color="auto" w:fill="F2F2F2"/>
          </w:tcPr>
          <w:p>
            <w:pPr/>
            <w:r>
              <w:t xml:space="preserve">Q4 / moyenne</w:t>
            </w:r>
          </w:p>
        </w:tc>
      </w:tr>
      <w:tr>
        <w:tc>
          <w:tcPr>
            <w:tcW w:w="3120" w:type="dxa"/>
          </w:tcPr>
          <w:p>
            <w:pPr/>
            <w:r>
              <w:rPr>
                <w:b/>
              </w:rPr>
              <w:t xml:space="preserve">Marché EEX au T1</w:t>
            </w:r>
          </w:p>
        </w:tc>
        <w:tc>
          <w:tcPr>
            <w:tcW w:w="3120" w:type="dxa"/>
          </w:tcPr>
          <w:p>
            <w:pPr/>
            <w:r>
              <w:rPr>
                <w:b/>
              </w:rPr>
              <w:t xml:space="preserve">1,67</w:t>
            </w:r>
          </w:p>
        </w:tc>
        <w:tc>
          <w:tcPr>
            <w:tcW w:w="3120" w:type="dxa"/>
          </w:tcPr>
          <w:p>
            <w:pPr/>
            <w:r>
              <w:t xml:space="preserve">1,07</w:t>
            </w:r>
          </w:p>
        </w:tc>
      </w:tr>
      <w:tr>
        <w:tc>
          <w:tcPr>
            <w:tcW w:w="3120" w:type="dxa"/>
          </w:tcPr>
          <w:p>
            <w:pPr/>
            <w:r>
              <w:t xml:space="preserve">Scénario 2021</w:t>
            </w:r>
          </w:p>
        </w:tc>
        <w:tc>
          <w:tcPr>
            <w:tcW w:w="3120" w:type="dxa"/>
          </w:tcPr>
          <w:p>
            <w:pPr/>
            <w:r>
              <w:t xml:space="preserve">0,49</w:t>
            </w:r>
          </w:p>
        </w:tc>
        <w:tc>
          <w:tcPr>
            <w:tcW w:w="3120" w:type="dxa"/>
          </w:tcPr>
          <w:p>
            <w:pPr/>
            <w:r>
              <w:t xml:space="preserve">2,03</w:t>
            </w:r>
          </w:p>
        </w:tc>
      </w:tr>
      <w:tr>
        <w:tc>
          <w:tcPr>
            <w:tcW w:w="3120" w:type="dxa"/>
          </w:tcPr>
          <w:p>
            <w:pPr/>
            <w:r>
              <w:t xml:space="preserve">Scénario 2023</w:t>
            </w:r>
          </w:p>
        </w:tc>
        <w:tc>
          <w:tcPr>
            <w:tcW w:w="3120" w:type="dxa"/>
          </w:tcPr>
          <w:p>
            <w:pPr/>
            <w:r>
              <w:t xml:space="preserve">1,35</w:t>
            </w:r>
          </w:p>
        </w:tc>
        <w:tc>
          <w:tcPr>
            <w:tcW w:w="3120" w:type="dxa"/>
          </w:tcPr>
          <w:p>
            <w:pPr/>
            <w:r>
              <w:t xml:space="preserve">0,83</w:t>
            </w:r>
          </w:p>
        </w:tc>
      </w:tr>
      <w:tr>
        <w:tc>
          <w:tcPr>
            <w:tcW w:w="3120" w:type="dxa"/>
          </w:tcPr>
          <w:p>
            <w:pPr/>
            <w:r>
              <w:t xml:space="preserve">Scénario 2024</w:t>
            </w:r>
          </w:p>
        </w:tc>
        <w:tc>
          <w:tcPr>
            <w:tcW w:w="3120" w:type="dxa"/>
          </w:tcPr>
          <w:p>
            <w:pPr/>
            <w:r>
              <w:t xml:space="preserve">1,09</w:t>
            </w:r>
          </w:p>
        </w:tc>
        <w:tc>
          <w:tcPr>
            <w:tcW w:w="3120" w:type="dxa"/>
          </w:tcPr>
          <w:p>
            <w:pPr/>
            <w:r>
              <w:t xml:space="preserve">1,50</w:t>
            </w:r>
          </w:p>
        </w:tc>
      </w:tr>
    </w:tbl>
    <w:p>
      <w:pPr/>
      <w:r>
        <w:t xml:space="preserve">2021 traîne la crise gazière de son quatrième trimestre, 2023 un premier trimestre cher. Conséquence directe : quand le modèle compare un achat en trimestres (aux vrais prix EEX) à un achat en Cal, il juge les trimestres « trop chers » — mais c'est parce qu'il confronte un prix Q1 </w:t>
      </w:r>
      <w:r>
        <w:rPr>
          <w:b/>
        </w:rPr>
        <w:t xml:space="preserve">réel</w:t>
      </w:r>
      <w:r>
        <w:t xml:space="preserve"> à un spot Q1 tiré au hasard dans l'histoire. </w:t>
      </w:r>
      <w:r>
        <w:rPr>
          <w:b/>
        </w:rPr>
        <w:t xml:space="preserve">Toute comparaison Cal contre trimestres est donc peu fiable en l'état.</w:t>
      </w:r>
    </w:p>
    <w:p>
      <w:pPr/>
      <w:r>
        <w:t xml:space="preserve">Un point important pour se défendre : la méthode telle qu'elle est implémentée suit </w:t>
      </w:r>
      <w:r>
        <w:rPr>
          <w:b/>
        </w:rPr>
        <w:t xml:space="preserve">exactement</w:t>
      </w:r>
      <w:r>
        <w:t xml:space="preserve"> la prescription du cours (</w:t>
      </w:r>
      <w:r>
        <w:rPr>
          <w:i/>
        </w:rPr>
        <w:t xml:space="preserve">normalising each shape to an average of 1, never reusing the historical price level</w:t>
      </w:r>
      <w:r>
        <w:t xml:space="preserve">). Ce n'est pas une erreur de codage, c'est une limite de la méthode prescrite.</w:t>
      </w:r>
    </w:p>
    <w:p>
      <w:pPr/>
      <w:r>
        <w:rPr>
          <w:b/>
        </w:rPr>
        <w:t xml:space="preserve">Le correctif</w:t>
      </w:r>
      <w:r>
        <w:t xml:space="preserve">, si vous voulez aller plus loin : normaliser la forme à l'intérieur de </w:t>
      </w:r>
      <w:r>
        <w:rPr>
          <w:b/>
        </w:rPr>
        <w:t xml:space="preserve">chaque trimestre</w:t>
      </w:r>
      <w:r>
        <w:t xml:space="preserve"> et ancrer chaque trimestre sur son propre prix EEX (119,54 / 42,47 / 56,20 / 77,24 au T2). L'année historique ne fournirait plus que la forme intra-trimestre et intra-journalière, qui est son vrai apport. Une quinzaine de lignes dans </w:t>
      </w:r>
      <w:r>
        <w:rPr>
          <w:rStyle w:val="CodeChar"/>
        </w:rPr>
        <w:t xml:space="preserve">scenario_spot()</w:t>
      </w:r>
      <w:r>
        <w:t xml:space="preserve">.</w:t>
      </w:r>
    </w:p>
    <w:p>
      <w:pPr>
        <w:pStyle w:val="Heading3"/>
      </w:pPr>
      <w:r>
        <w:t xml:space="preserve">2. Le r² de la régression vaut 0,243</w:t>
      </w:r>
    </w:p>
    <w:p>
      <w:pPr/>
      <w:r>
        <w:t xml:space="preserve">Le volume explique un quart de la variance du prix, pas davantage. Les pentes annuelles vont de 1,93 à 3,62, presque du simple au double. Le code mutualise sur 454 jours pour stabiliser l'estimation et teste la sensibilité — le classement des stratégies ne bouge pas, ce qui est rassurant. Mais </w:t>
      </w:r>
      <w:r>
        <w:rPr>
          <w:b/>
        </w:rPr>
        <w:t xml:space="preserve">b n'est pas une loi</w:t>
      </w:r>
      <w:r>
        <w:t xml:space="preserve">, c'est une régularité statistique moyenne, et il faut le présenter ainsi.</w:t>
      </w:r>
    </w:p>
    <w:p>
      <w:pPr>
        <w:pStyle w:val="Heading3"/>
      </w:pPr>
      <w:r>
        <w:t xml:space="preserve">3. Trois années douces, et un choc dont vous choisissez les paramètres</w:t>
      </w:r>
    </w:p>
    <w:p>
      <w:pPr/>
      <w:r>
        <w:t xml:space="preserve">2021, 2023 et 2024 ont des anomalies de volume comprises entre −1,69 % et −0,05 % : </w:t>
      </w:r>
      <w:r>
        <w:rPr>
          <w:b/>
        </w:rPr>
        <w:t xml:space="preserve">aucune n'est un vrai hiver froid</w:t>
      </w:r>
      <w:r>
        <w:t xml:space="preserve">. C'est la raison d'être du scénario de choc, mais ses deux paramètres (+20 % de niveau, 15 % de probabilité) sont des choix défendables, pas des mesures.</w:t>
      </w:r>
    </w:p>
    <w:p>
      <w:pPr/>
      <w:r>
        <w:t xml:space="preserve">La meilleure amélioration possible du dossier, si vous avez le temps : </w:t>
      </w:r>
      <w:r>
        <w:rPr>
          <w:b/>
        </w:rPr>
        <w:t xml:space="preserve">ajouter une vraie année froide</w:t>
      </w:r>
      <w:r>
        <w:t xml:space="preserve"> (2012 ou 2017) à la liste </w:t>
      </w:r>
      <w:r>
        <w:rPr>
          <w:rStyle w:val="CodeChar"/>
        </w:rPr>
        <w:t xml:space="preserve">ANNEES</w:t>
      </w:r>
      <w:r>
        <w:t xml:space="preserve">. Un scénario froid documenté vaut mieux qu'un choc synthétique, et le code le prend sans modification — il suffit des deux CSV dans </w:t>
      </w:r>
      <w:r>
        <w:rPr>
          <w:rStyle w:val="CodeChar"/>
        </w:rPr>
        <w:t xml:space="preserve">historique/</w:t>
      </w:r>
      <w:r>
        <w:t xml:space="preserve">.</w:t>
      </w:r>
    </w:p>
    <w:p>
      <w:pPr>
        <w:pStyle w:val="Heading3"/>
      </w:pPr>
      <w:r>
        <w:t xml:space="preserve">Ce que le modèle ne fait pas du tout</w:t>
      </w:r>
    </w:p>
    <w:p>
      <w:pPr/>
      <w:r>
        <w:t xml:space="preserve">Deux sujets apparaissent dans le cours mais </w:t>
      </w:r>
      <w:r>
        <w:rPr>
          <w:b/>
        </w:rPr>
        <w:t xml:space="preserve">ne sont pas exigés</w:t>
      </w:r>
      <w:r>
        <w:t xml:space="preserve"> par les guidelines du Market Game :</w:t>
      </w:r>
    </w:p>
    <w:p>
      <w:pPr>
        <w:pStyle w:val="ListParagraph"/>
        <w:numPr>
          <w:ilvl w:val="0"/>
          <w:numId w:val="20"/>
        </w:numPr>
      </w:pPr>
      <w:r>
        <w:t xml:space="preserve">la </w:t>
      </w:r>
      <w:r>
        <w:rPr>
          <w:b/>
        </w:rPr>
        <w:t xml:space="preserve">production photovoltaïque</w:t>
      </w:r>
      <w:r>
        <w:t xml:space="preserve"> et la duck curve (session 2) ;</w:t>
      </w:r>
    </w:p>
    <w:p>
      <w:pPr>
        <w:pStyle w:val="ListParagraph"/>
        <w:numPr>
          <w:ilvl w:val="0"/>
          <w:numId w:val="20"/>
        </w:numPr>
      </w:pPr>
      <w:r>
        <w:t xml:space="preserve">une génération de scénarios par </w:t>
      </w:r>
      <w:r>
        <w:rPr>
          <w:b/>
        </w:rPr>
        <w:t xml:space="preserve">séries temporelles ou Monte-Carlo</w:t>
      </w:r>
      <w:r>
        <w:t xml:space="preserve"> — le §3.2 la propose comme alternative au calcul de b, pas comme obligation, et prévient qu'il vaut mieux maîtriser l'outil qu'on utilise.</w:t>
      </w:r>
    </w:p>
    <w:p>
      <w:pPr/>
      <w:r>
        <w:t xml:space="preserve">Les citer comme prolongements possibles vaut mieux que de faire comme s'ils n'existaient pas.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Fig2" Type="http://schemas.openxmlformats.org/officeDocument/2006/relationships/image" Target="media/image2.png"/><Relationship Id="rIdFig3" Type="http://schemas.openxmlformats.org/officeDocument/2006/relationships/image" Target="media/image3.png"/><Relationship Id="rIdFig4" Type="http://schemas.openxmlformats.org/officeDocument/2006/relationships/image" Target="media/image4.png"/><Relationship Id="rIdFig5" Type="http://schemas.openxmlformats.org/officeDocument/2006/relationships/image" Target="media/image5.png"/><Relationship Id="rIdFig6" Type="http://schemas.openxmlformats.org/officeDocument/2006/relationships/image" Target="media/image6.png"/><Relationship Id="rIdFig7" Type="http://schemas.openxmlformats.org/officeDocument/2006/relationships/image" Target="media/image7.png"/><Relationship Id="rIdFig8"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Market Game 2027 — comprendre le code étape par étape</dc:title>
  <dc:description>Claude Docs node/64a4ef24-05ec@59 docx-w6</dc:description>
  <cp:revision>59</cp:revision>
</cp:coreProperties>
</file>