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dtvu8fp4olez" w:id="0"/>
      <w:bookmarkEnd w:id="0"/>
      <w:r w:rsidDel="00000000" w:rsidR="00000000" w:rsidRPr="00000000">
        <w:rPr>
          <w:b w:val="1"/>
          <w:bCs w:val="1"/>
          <w:sz w:val="46"/>
          <w:szCs w:val="46"/>
          <w:rtl w:val="0"/>
        </w:rPr>
        <w:t xml:space="preserve">IT3081 – STATISTICAL MODELLING</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kdbaq603s4s" w:id="1"/>
      <w:bookmarkEnd w:id="1"/>
      <w:r w:rsidDel="00000000" w:rsidR="00000000" w:rsidRPr="00000000">
        <w:rPr>
          <w:b w:val="1"/>
          <w:bCs w:val="1"/>
          <w:sz w:val="34"/>
          <w:szCs w:val="34"/>
          <w:rtl w:val="0"/>
        </w:rPr>
        <w:t xml:space="preserve">GROUP ASSIGNMENT – PART D JOURNAL REVIEW</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plp6izgpkagy" w:id="2"/>
      <w:bookmarkEnd w:id="2"/>
      <w:r w:rsidDel="00000000" w:rsidR="00000000" w:rsidRPr="00000000">
        <w:rPr>
          <w:b w:val="1"/>
          <w:bCs w:val="1"/>
          <w:sz w:val="34"/>
          <w:szCs w:val="34"/>
          <w:rtl w:val="0"/>
        </w:rPr>
        <w:t xml:space="preserve">Loan Default Risk Analysis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dczcrel32oan" w:id="3"/>
      <w:bookmarkEnd w:id="3"/>
      <w:r w:rsidDel="00000000" w:rsidR="00000000" w:rsidRPr="00000000">
        <w:rPr>
          <w:b w:val="1"/>
          <w:bCs w:val="1"/>
          <w:color w:val="000000"/>
          <w:sz w:val="26"/>
          <w:szCs w:val="26"/>
          <w:rtl w:val="0"/>
        </w:rPr>
        <w:t xml:space="preserve">Delshikan KT</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aw62n4xv1z9" w:id="4"/>
      <w:bookmarkEnd w:id="4"/>
      <w:r w:rsidDel="00000000" w:rsidR="00000000" w:rsidRPr="00000000">
        <w:rPr>
          <w:b w:val="1"/>
          <w:bCs w:val="1"/>
          <w:color w:val="000000"/>
          <w:sz w:val="26"/>
          <w:szCs w:val="26"/>
          <w:rtl w:val="0"/>
        </w:rPr>
        <w:t xml:space="preserve">IT24102237</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80xoq29ty4l0" w:id="5"/>
      <w:bookmarkEnd w:id="5"/>
      <w:r w:rsidDel="00000000" w:rsidR="00000000" w:rsidRPr="00000000">
        <w:rPr>
          <w:b w:val="1"/>
          <w:bCs w:val="1"/>
          <w:color w:val="000000"/>
          <w:sz w:val="26"/>
          <w:szCs w:val="26"/>
          <w:rtl w:val="0"/>
        </w:rPr>
        <w:t xml:space="preserve">Part D – Innovation &amp; Validation Lead</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Assigned Tasks:</w:t>
      </w:r>
      <w:r w:rsidDel="00000000" w:rsidR="00000000" w:rsidRPr="00000000">
        <w:rPr>
          <w:rtl w:val="0"/>
        </w:rPr>
        <w:t xml:space="preserve"> Task 8 – Critical Evaluation of Bayesian Statistical Methods; Task 9 – Time Series Analysis; Task 10 – Industry Innovation Proposal; Task 11 – Industry Expert Validation.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Review the three research papers allocated to Person D and connect their findings to Bayesian methods, credit-risk prediction and the development of an innovative decision-support solution for the group's Loan Default Risk Analysis project.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5tsxq7mhbgiy" w:id="6"/>
      <w:bookmarkEnd w:id="6"/>
      <w:r w:rsidDel="00000000" w:rsidR="00000000" w:rsidRPr="00000000">
        <w:rPr>
          <w:b w:val="1"/>
          <w:bCs w:val="1"/>
          <w:sz w:val="46"/>
          <w:szCs w:val="46"/>
          <w:rtl w:val="0"/>
        </w:rPr>
        <w:t xml:space="preserve">1. Using a Naive Bayesian Classifier Methodology for Loan Risk Assessment: Evidence from a Tunisian Commercial Bank</w:t>
      </w:r>
    </w:p>
    <w:p w:rsidR="00000000" w:rsidDel="00000000" w:rsidP="00000000" w:rsidRDefault="00000000" w:rsidRPr="00000000" w14:paraId="0000000B">
      <w:pPr>
        <w:spacing w:after="240" w:before="240" w:lineRule="auto"/>
        <w:rPr>
          <w:color w:val="1155cc"/>
          <w:u w:val="single"/>
        </w:rPr>
      </w:pPr>
      <w:r w:rsidDel="00000000" w:rsidR="00000000" w:rsidRPr="00000000">
        <w:rPr>
          <w:b w:val="1"/>
          <w:bCs w:val="1"/>
          <w:rtl w:val="0"/>
        </w:rPr>
        <w:t xml:space="preserve">Citation &amp; Context:</w:t>
      </w:r>
      <w:r w:rsidDel="00000000" w:rsidR="00000000" w:rsidRPr="00000000">
        <w:rPr>
          <w:rtl w:val="0"/>
        </w:rPr>
        <w:t xml:space="preserve"> The study examines loan-default risk for short-term commercial loans issued to industrial companies by a Tunisian commercial bank. It emphasizes the importance of identifying high-risk borrowers using historical financial information so that banks can make more informed credit decisions. The study uses </w:t>
      </w:r>
      <w:r w:rsidDel="00000000" w:rsidR="00000000" w:rsidRPr="00000000">
        <w:rPr>
          <w:b w:val="1"/>
          <w:bCs w:val="1"/>
          <w:rtl w:val="0"/>
        </w:rPr>
        <w:t xml:space="preserve">924 credit files from 2003 to 2006</w:t>
      </w:r>
      <w:r w:rsidDel="00000000" w:rsidR="00000000" w:rsidRPr="00000000">
        <w:rPr>
          <w:rtl w:val="0"/>
        </w:rPr>
        <w:t xml:space="preserve">. </w:t>
      </w:r>
      <w:hyperlink r:id="rId6">
        <w:r w:rsidDel="00000000" w:rsidR="00000000" w:rsidRPr="00000000">
          <w:rPr>
            <w:color w:val="1155cc"/>
            <w:u w:val="single"/>
            <w:rtl w:val="0"/>
          </w:rPr>
          <w:t xml:space="preserve">revistas.esan.edu.pe</w:t>
        </w:r>
      </w:hyperlink>
      <w:r w:rsidDel="00000000" w:rsidR="00000000" w:rsidRPr="00000000">
        <w:rPr>
          <w:rtl w:val="0"/>
        </w:rPr>
      </w:r>
    </w:p>
    <w:p w:rsidR="00000000" w:rsidDel="00000000" w:rsidP="00000000" w:rsidRDefault="00000000" w:rsidRPr="00000000" w14:paraId="0000000C">
      <w:pPr>
        <w:spacing w:after="240" w:before="240" w:lineRule="auto"/>
        <w:rPr>
          <w:color w:val="1155cc"/>
          <w:u w:val="single"/>
        </w:rPr>
      </w:pPr>
      <w:r w:rsidDel="00000000" w:rsidR="00000000" w:rsidRPr="00000000">
        <w:rPr>
          <w:b w:val="1"/>
          <w:bCs w:val="1"/>
          <w:rtl w:val="0"/>
        </w:rPr>
        <w:t xml:space="preserve">Method Used:</w:t>
      </w:r>
      <w:r w:rsidDel="00000000" w:rsidR="00000000" w:rsidRPr="00000000">
        <w:rPr>
          <w:rtl w:val="0"/>
        </w:rPr>
        <w:t xml:space="preserve"> The researcher applies a </w:t>
      </w:r>
      <w:r w:rsidDel="00000000" w:rsidR="00000000" w:rsidRPr="00000000">
        <w:rPr>
          <w:b w:val="1"/>
          <w:bCs w:val="1"/>
          <w:rtl w:val="0"/>
        </w:rPr>
        <w:t xml:space="preserve">Naïve Bayesian classifier</w:t>
      </w:r>
      <w:r w:rsidDel="00000000" w:rsidR="00000000" w:rsidRPr="00000000">
        <w:rPr>
          <w:rtl w:val="0"/>
        </w:rPr>
        <w:t xml:space="preserve"> to estimate default risk. The predictor variables include financial measures relating to working capital, leverage, solvency, profitability and cash flow. The model is assessed using classification rates, Type I and Type II errors and a Receiver Operating Characteristic (ROC) curve. </w:t>
      </w:r>
      <w:hyperlink r:id="rId7">
        <w:r w:rsidDel="00000000" w:rsidR="00000000" w:rsidRPr="00000000">
          <w:rPr>
            <w:color w:val="1155cc"/>
            <w:u w:val="single"/>
            <w:rtl w:val="0"/>
          </w:rPr>
          <w:t xml:space="preserve">DOI</w:t>
        </w:r>
      </w:hyperlink>
      <w:r w:rsidDel="00000000" w:rsidR="00000000" w:rsidRPr="00000000">
        <w:rPr>
          <w:rtl w:val="0"/>
        </w:rPr>
      </w:r>
    </w:p>
    <w:p w:rsidR="00000000" w:rsidDel="00000000" w:rsidP="00000000" w:rsidRDefault="00000000" w:rsidRPr="00000000" w14:paraId="0000000D">
      <w:pPr>
        <w:spacing w:after="240" w:before="240" w:lineRule="auto"/>
        <w:rPr>
          <w:color w:val="1155cc"/>
          <w:u w:val="single"/>
        </w:rPr>
      </w:pPr>
      <w:r w:rsidDel="00000000" w:rsidR="00000000" w:rsidRPr="00000000">
        <w:rPr>
          <w:b w:val="1"/>
          <w:bCs w:val="1"/>
          <w:rtl w:val="0"/>
        </w:rPr>
        <w:t xml:space="preserve">Key Finding:</w:t>
      </w:r>
      <w:r w:rsidDel="00000000" w:rsidR="00000000" w:rsidRPr="00000000">
        <w:rPr>
          <w:rtl w:val="0"/>
        </w:rPr>
        <w:t xml:space="preserve"> The Naïve Bayes model achieved a classification rate of approximately </w:t>
      </w:r>
      <w:r w:rsidDel="00000000" w:rsidR="00000000" w:rsidRPr="00000000">
        <w:rPr>
          <w:b w:val="1"/>
          <w:bCs w:val="1"/>
          <w:rtl w:val="0"/>
        </w:rPr>
        <w:t xml:space="preserve">63.85%</w:t>
      </w:r>
      <w:r w:rsidDel="00000000" w:rsidR="00000000" w:rsidRPr="00000000">
        <w:rPr>
          <w:rtl w:val="0"/>
        </w:rPr>
        <w:t xml:space="preserve">, while the validation classification rate was approximately </w:t>
      </w:r>
      <w:r w:rsidDel="00000000" w:rsidR="00000000" w:rsidRPr="00000000">
        <w:rPr>
          <w:b w:val="1"/>
          <w:bCs w:val="1"/>
          <w:rtl w:val="0"/>
        </w:rPr>
        <w:t xml:space="preserve">58.66%</w:t>
      </w:r>
      <w:r w:rsidDel="00000000" w:rsidR="00000000" w:rsidRPr="00000000">
        <w:rPr>
          <w:rtl w:val="0"/>
        </w:rPr>
        <w:t xml:space="preserve">. The ROC analysis produced an AUC of around </w:t>
      </w:r>
      <w:r w:rsidDel="00000000" w:rsidR="00000000" w:rsidRPr="00000000">
        <w:rPr>
          <w:b w:val="1"/>
          <w:bCs w:val="1"/>
          <w:rtl w:val="0"/>
        </w:rPr>
        <w:t xml:space="preserve">69%</w:t>
      </w:r>
      <w:r w:rsidDel="00000000" w:rsidR="00000000" w:rsidRPr="00000000">
        <w:rPr>
          <w:rtl w:val="0"/>
        </w:rPr>
        <w:t xml:space="preserve">. The study also found that including cash-flow variables improved prediction quality, indicating that financial indicators such as cash flow, leverage and solvency can contribute to loan-default assessment. </w:t>
      </w:r>
      <w:hyperlink r:id="rId8">
        <w:r w:rsidDel="00000000" w:rsidR="00000000" w:rsidRPr="00000000">
          <w:rPr>
            <w:color w:val="1155cc"/>
            <w:u w:val="single"/>
            <w:rtl w:val="0"/>
          </w:rPr>
          <w:t xml:space="preserve">SciELO Perú</w:t>
        </w:r>
      </w:hyperlink>
      <w:r w:rsidDel="00000000" w:rsidR="00000000" w:rsidRPr="00000000">
        <w:rPr>
          <w:rtl w:val="0"/>
        </w:rPr>
      </w:r>
    </w:p>
    <w:p w:rsidR="00000000" w:rsidDel="00000000" w:rsidP="00000000" w:rsidRDefault="00000000" w:rsidRPr="00000000" w14:paraId="0000000E">
      <w:pPr>
        <w:spacing w:after="240" w:before="240" w:lineRule="auto"/>
        <w:rPr>
          <w:color w:val="1155cc"/>
          <w:u w:val="single"/>
        </w:rPr>
      </w:pPr>
      <w:r w:rsidDel="00000000" w:rsidR="00000000" w:rsidRPr="00000000">
        <w:rPr>
          <w:b w:val="1"/>
          <w:bCs w:val="1"/>
          <w:rtl w:val="0"/>
        </w:rPr>
        <w:t xml:space="preserve">Limitation / Gap:</w:t>
      </w:r>
      <w:r w:rsidDel="00000000" w:rsidR="00000000" w:rsidRPr="00000000">
        <w:rPr>
          <w:rtl w:val="0"/>
        </w:rPr>
        <w:t xml:space="preserve"> Although the model provided useful default-risk classification, the reported </w:t>
      </w:r>
      <w:r w:rsidDel="00000000" w:rsidR="00000000" w:rsidRPr="00000000">
        <w:rPr>
          <w:b w:val="1"/>
          <w:bCs w:val="1"/>
          <w:rtl w:val="0"/>
        </w:rPr>
        <w:t xml:space="preserve">Type I and Type II error rates remained relatively high</w:t>
      </w:r>
      <w:r w:rsidDel="00000000" w:rsidR="00000000" w:rsidRPr="00000000">
        <w:rPr>
          <w:rtl w:val="0"/>
        </w:rPr>
        <w:t xml:space="preserve">, at approximately 42.42% and 40.47%. The study is also based on one Tunisian commercial bank and focuses on industrial companies, which limits direct generalization to individual consumer-loan datasets. </w:t>
      </w:r>
      <w:hyperlink r:id="rId9">
        <w:r w:rsidDel="00000000" w:rsidR="00000000" w:rsidRPr="00000000">
          <w:rPr>
            <w:color w:val="1155cc"/>
            <w:u w:val="single"/>
            <w:rtl w:val="0"/>
          </w:rPr>
          <w:t xml:space="preserve">revistas.esan.edu.pe</w:t>
        </w:r>
      </w:hyperlink>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Relevance to Our Project:</w:t>
      </w:r>
      <w:r w:rsidDel="00000000" w:rsidR="00000000" w:rsidRPr="00000000">
        <w:rPr>
          <w:rtl w:val="0"/>
        </w:rPr>
        <w:t xml:space="preserve"> This paper is directly relevant to </w:t>
      </w:r>
      <w:r w:rsidDel="00000000" w:rsidR="00000000" w:rsidRPr="00000000">
        <w:rPr>
          <w:b w:val="1"/>
          <w:bCs w:val="1"/>
          <w:rtl w:val="0"/>
        </w:rPr>
        <w:t xml:space="preserve">Task 8</w:t>
      </w:r>
      <w:r w:rsidDel="00000000" w:rsidR="00000000" w:rsidRPr="00000000">
        <w:rPr>
          <w:rtl w:val="0"/>
        </w:rPr>
        <w:t xml:space="preserve"> because it demonstrates a practical application of Naïve Bayes for loan-risk assessment. It shows that Bayesian classification can provide a simple probabilistic approach for distinguishing higher- and lower-risk borrowers. However, the relatively high classification errors indicate that Naïve Bayes should be critically compared with other approaches before being recommended for our dataset.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oyduqdjqkg1a" w:id="7"/>
      <w:bookmarkEnd w:id="7"/>
      <w:r w:rsidDel="00000000" w:rsidR="00000000" w:rsidRPr="00000000">
        <w:rPr>
          <w:b w:val="1"/>
          <w:bCs w:val="1"/>
          <w:sz w:val="46"/>
          <w:szCs w:val="46"/>
          <w:rtl w:val="0"/>
        </w:rPr>
        <w:t xml:space="preserve">2. Credit Risk Prediction Using Machine Learning and Deep Learning: A Study on Credit Card Customers</w:t>
      </w:r>
    </w:p>
    <w:p w:rsidR="00000000" w:rsidDel="00000000" w:rsidP="00000000" w:rsidRDefault="00000000" w:rsidRPr="00000000" w14:paraId="00000012">
      <w:pPr>
        <w:spacing w:after="240" w:before="240" w:lineRule="auto"/>
        <w:rPr>
          <w:color w:val="1155cc"/>
          <w:u w:val="single"/>
        </w:rPr>
      </w:pPr>
      <w:r w:rsidDel="00000000" w:rsidR="00000000" w:rsidRPr="00000000">
        <w:rPr>
          <w:b w:val="1"/>
          <w:bCs w:val="1"/>
          <w:rtl w:val="0"/>
        </w:rPr>
        <w:t xml:space="preserve">Citation &amp; Context:</w:t>
      </w:r>
      <w:r w:rsidDel="00000000" w:rsidR="00000000" w:rsidRPr="00000000">
        <w:rPr>
          <w:rtl w:val="0"/>
        </w:rPr>
        <w:t xml:space="preserve"> The study investigates credit-risk prediction for credit-card customers and focuses on classifying customers as either good or bad credit risks. The authors emphasize that accurate default prediction can help financial institutions reduce capital losses and improve lending decisions. The research uses a secondary banking dataset obtained from Kaggle containing customer application information and historical credit records. </w:t>
      </w:r>
      <w:hyperlink r:id="rId10">
        <w:r w:rsidDel="00000000" w:rsidR="00000000" w:rsidRPr="00000000">
          <w:rPr>
            <w:color w:val="1155cc"/>
            <w:u w:val="single"/>
            <w:rtl w:val="0"/>
          </w:rPr>
          <w:t xml:space="preserve">MDPI</w:t>
        </w:r>
      </w:hyperlink>
      <w:r w:rsidDel="00000000" w:rsidR="00000000" w:rsidRPr="00000000">
        <w:rPr>
          <w:rtl w:val="0"/>
        </w:rPr>
      </w:r>
    </w:p>
    <w:p w:rsidR="00000000" w:rsidDel="00000000" w:rsidP="00000000" w:rsidRDefault="00000000" w:rsidRPr="00000000" w14:paraId="00000013">
      <w:pPr>
        <w:spacing w:after="240" w:before="240" w:lineRule="auto"/>
        <w:rPr>
          <w:color w:val="1155cc"/>
          <w:u w:val="single"/>
        </w:rPr>
      </w:pPr>
      <w:r w:rsidDel="00000000" w:rsidR="00000000" w:rsidRPr="00000000">
        <w:rPr>
          <w:b w:val="1"/>
          <w:bCs w:val="1"/>
          <w:rtl w:val="0"/>
        </w:rPr>
        <w:t xml:space="preserve">Method Used:</w:t>
      </w:r>
      <w:r w:rsidDel="00000000" w:rsidR="00000000" w:rsidRPr="00000000">
        <w:rPr>
          <w:rtl w:val="0"/>
        </w:rPr>
        <w:t xml:space="preserve"> The researchers compare several machine-learning and deep-learning techniques, including </w:t>
      </w:r>
      <w:r w:rsidDel="00000000" w:rsidR="00000000" w:rsidRPr="00000000">
        <w:rPr>
          <w:b w:val="1"/>
          <w:bCs w:val="1"/>
          <w:rtl w:val="0"/>
        </w:rPr>
        <w:t xml:space="preserve">Logistic Regression, Neural Networks, Random Forest, AdaBoost, XGBoost and LightGBM</w:t>
      </w:r>
      <w:r w:rsidDel="00000000" w:rsidR="00000000" w:rsidRPr="00000000">
        <w:rPr>
          <w:rtl w:val="0"/>
        </w:rPr>
        <w:t xml:space="preserve">. The models are evaluated using multiple metrics such as accuracy, precision, recall, F1 score, ROC-AUC and Matthews Correlation Coefficient. Data cleaning, exploratory analysis, feature analysis and model comparison are also carried out. </w:t>
      </w:r>
      <w:hyperlink r:id="rId11">
        <w:r w:rsidDel="00000000" w:rsidR="00000000" w:rsidRPr="00000000">
          <w:rPr>
            <w:color w:val="1155cc"/>
            <w:u w:val="single"/>
            <w:rtl w:val="0"/>
          </w:rPr>
          <w:t xml:space="preserve">MDPI</w:t>
        </w:r>
      </w:hyperlink>
      <w:r w:rsidDel="00000000" w:rsidR="00000000" w:rsidRPr="00000000">
        <w:rPr>
          <w:rtl w:val="0"/>
        </w:rPr>
      </w:r>
    </w:p>
    <w:p w:rsidR="00000000" w:rsidDel="00000000" w:rsidP="00000000" w:rsidRDefault="00000000" w:rsidRPr="00000000" w14:paraId="00000014">
      <w:pPr>
        <w:spacing w:after="240" w:before="240" w:lineRule="auto"/>
        <w:rPr>
          <w:color w:val="1155cc"/>
          <w:u w:val="single"/>
        </w:rPr>
      </w:pPr>
      <w:r w:rsidDel="00000000" w:rsidR="00000000" w:rsidRPr="00000000">
        <w:rPr>
          <w:b w:val="1"/>
          <w:bCs w:val="1"/>
          <w:rtl w:val="0"/>
        </w:rPr>
        <w:t xml:space="preserve">Key Finding:</w:t>
      </w:r>
      <w:r w:rsidDel="00000000" w:rsidR="00000000" w:rsidRPr="00000000">
        <w:rPr>
          <w:rtl w:val="0"/>
        </w:rPr>
        <w:t xml:space="preserve"> </w:t>
      </w:r>
      <w:r w:rsidDel="00000000" w:rsidR="00000000" w:rsidRPr="00000000">
        <w:rPr>
          <w:b w:val="1"/>
          <w:bCs w:val="1"/>
          <w:rtl w:val="0"/>
        </w:rPr>
        <w:t xml:space="preserve">XGBoost achieved the strongest overall predictive performance</w:t>
      </w:r>
      <w:r w:rsidDel="00000000" w:rsidR="00000000" w:rsidRPr="00000000">
        <w:rPr>
          <w:rtl w:val="0"/>
        </w:rPr>
        <w:t xml:space="preserve">, with accuracy of approximately </w:t>
      </w:r>
      <w:r w:rsidDel="00000000" w:rsidR="00000000" w:rsidRPr="00000000">
        <w:rPr>
          <w:b w:val="1"/>
          <w:bCs w:val="1"/>
          <w:rtl w:val="0"/>
        </w:rPr>
        <w:t xml:space="preserve">99.4%</w:t>
      </w:r>
      <w:r w:rsidDel="00000000" w:rsidR="00000000" w:rsidRPr="00000000">
        <w:rPr>
          <w:rtl w:val="0"/>
        </w:rPr>
        <w:t xml:space="preserve"> reported in the study, while Logistic Regression achieved about 84.3%. The authors also identify variables such as age, income, employment duration and family size as important predictors. The study demonstrates that advanced machine-learning approaches can substantially improve credit-risk classification compared with simpler models in the examined dataset. </w:t>
      </w:r>
      <w:hyperlink r:id="rId12">
        <w:r w:rsidDel="00000000" w:rsidR="00000000" w:rsidRPr="00000000">
          <w:rPr>
            <w:color w:val="1155cc"/>
            <w:u w:val="single"/>
            <w:rtl w:val="0"/>
          </w:rPr>
          <w:t xml:space="preserve">MDPI</w:t>
        </w:r>
      </w:hyperlink>
      <w:r w:rsidDel="00000000" w:rsidR="00000000" w:rsidRPr="00000000">
        <w:rPr>
          <w:rtl w:val="0"/>
        </w:rPr>
      </w:r>
    </w:p>
    <w:p w:rsidR="00000000" w:rsidDel="00000000" w:rsidP="00000000" w:rsidRDefault="00000000" w:rsidRPr="00000000" w14:paraId="00000015">
      <w:pPr>
        <w:spacing w:after="240" w:before="240" w:lineRule="auto"/>
        <w:rPr>
          <w:color w:val="1155cc"/>
          <w:u w:val="single"/>
        </w:rPr>
      </w:pPr>
      <w:r w:rsidDel="00000000" w:rsidR="00000000" w:rsidRPr="00000000">
        <w:rPr>
          <w:b w:val="1"/>
          <w:bCs w:val="1"/>
          <w:rtl w:val="0"/>
        </w:rPr>
        <w:t xml:space="preserve">Limitation / Gap:</w:t>
      </w:r>
      <w:r w:rsidDel="00000000" w:rsidR="00000000" w:rsidRPr="00000000">
        <w:rPr>
          <w:rtl w:val="0"/>
        </w:rPr>
        <w:t xml:space="preserve"> The research focuses mainly on machine-learning and deep-learning methods rather than Bayesian approaches such as Naïve Bayes or Bayesian Regression. It also relies on a secondary Kaggle credit-card dataset, so the results may not automatically generalize to different loan products, banks or economic environments. The paper itself highlights the importance of evaluating whether models remain robust when applied to different datasets and economic conditions. </w:t>
      </w:r>
      <w:hyperlink r:id="rId13">
        <w:r w:rsidDel="00000000" w:rsidR="00000000" w:rsidRPr="00000000">
          <w:rPr>
            <w:color w:val="1155cc"/>
            <w:u w:val="single"/>
            <w:rtl w:val="0"/>
          </w:rPr>
          <w:t xml:space="preserve">MDPI</w:t>
        </w:r>
      </w:hyperlink>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Relevance to Our Project:</w:t>
      </w:r>
      <w:r w:rsidDel="00000000" w:rsidR="00000000" w:rsidRPr="00000000">
        <w:rPr>
          <w:rtl w:val="0"/>
        </w:rPr>
        <w:t xml:space="preserve"> This paper is useful for Tasks 8 and 10 because it provides evidence that alternative predictive methods may outperform traditional statistical models in credit-risk problems. It supports the idea that our proposed innovation could combine statistical modelling with a </w:t>
      </w:r>
      <w:r w:rsidDel="00000000" w:rsidR="00000000" w:rsidRPr="00000000">
        <w:rPr>
          <w:b w:val="1"/>
          <w:bCs w:val="1"/>
          <w:rtl w:val="0"/>
        </w:rPr>
        <w:t xml:space="preserve">risk-prediction or early-warning dashboard</w:t>
      </w:r>
      <w:r w:rsidDel="00000000" w:rsidR="00000000" w:rsidRPr="00000000">
        <w:rPr>
          <w:rtl w:val="0"/>
        </w:rPr>
        <w:t xml:space="preserve">, where borrowers are classified according to estimated risk and key factors are displayed for decision-makers.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keepNext w:val="0"/>
        <w:keepLines w:val="0"/>
        <w:spacing w:before="480" w:lineRule="auto"/>
        <w:rPr>
          <w:b w:val="1"/>
          <w:bCs w:val="1"/>
          <w:sz w:val="46"/>
          <w:szCs w:val="46"/>
        </w:rPr>
      </w:pPr>
      <w:bookmarkStart w:colFirst="0" w:colLast="0" w:name="_gmbwklhse33d" w:id="8"/>
      <w:bookmarkEnd w:id="8"/>
      <w:r w:rsidDel="00000000" w:rsidR="00000000" w:rsidRPr="00000000">
        <w:rPr>
          <w:b w:val="1"/>
          <w:bCs w:val="1"/>
          <w:sz w:val="46"/>
          <w:szCs w:val="46"/>
          <w:rtl w:val="0"/>
        </w:rPr>
        <w:t xml:space="preserve">3. Machine Learning for Credit Risk Management Through Cross-Economy Evidence in Default Prediction</w:t>
      </w:r>
    </w:p>
    <w:p w:rsidR="00000000" w:rsidDel="00000000" w:rsidP="00000000" w:rsidRDefault="00000000" w:rsidRPr="00000000" w14:paraId="00000019">
      <w:pPr>
        <w:spacing w:after="240" w:before="240" w:lineRule="auto"/>
        <w:rPr>
          <w:color w:val="1155cc"/>
          <w:u w:val="single"/>
        </w:rPr>
      </w:pPr>
      <w:r w:rsidDel="00000000" w:rsidR="00000000" w:rsidRPr="00000000">
        <w:rPr>
          <w:b w:val="1"/>
          <w:bCs w:val="1"/>
          <w:rtl w:val="0"/>
        </w:rPr>
        <w:t xml:space="preserve">Citation &amp; Context:</w:t>
      </w:r>
      <w:r w:rsidDel="00000000" w:rsidR="00000000" w:rsidRPr="00000000">
        <w:rPr>
          <w:rtl w:val="0"/>
        </w:rPr>
        <w:t xml:space="preserve"> The study examines corporate default prediction across two emerging economies, </w:t>
      </w:r>
      <w:r w:rsidDel="00000000" w:rsidR="00000000" w:rsidRPr="00000000">
        <w:rPr>
          <w:b w:val="1"/>
          <w:bCs w:val="1"/>
          <w:rtl w:val="0"/>
        </w:rPr>
        <w:t xml:space="preserve">Poland and Taiwan</w:t>
      </w:r>
      <w:r w:rsidDel="00000000" w:rsidR="00000000" w:rsidRPr="00000000">
        <w:rPr>
          <w:rtl w:val="0"/>
        </w:rPr>
        <w:t xml:space="preserve">, with the objective of improving credit-risk assessment using machine-learning techniques. The dataset includes approximately </w:t>
      </w:r>
      <w:r w:rsidDel="00000000" w:rsidR="00000000" w:rsidRPr="00000000">
        <w:rPr>
          <w:b w:val="1"/>
          <w:bCs w:val="1"/>
          <w:rtl w:val="0"/>
        </w:rPr>
        <w:t xml:space="preserve">10,503 Polish cases and 6,819 Taiwanese cases</w:t>
      </w:r>
      <w:r w:rsidDel="00000000" w:rsidR="00000000" w:rsidRPr="00000000">
        <w:rPr>
          <w:rtl w:val="0"/>
        </w:rPr>
        <w:t xml:space="preserve">, allowing the researchers to examine whether model performance changes across different economic environments. </w:t>
      </w:r>
      <w:hyperlink r:id="rId14">
        <w:r w:rsidDel="00000000" w:rsidR="00000000" w:rsidRPr="00000000">
          <w:rPr>
            <w:color w:val="1155cc"/>
            <w:u w:val="single"/>
            <w:rtl w:val="0"/>
          </w:rPr>
          <w:t xml:space="preserve">IDEAS/RePEc</w:t>
        </w:r>
      </w:hyperlink>
      <w:r w:rsidDel="00000000" w:rsidR="00000000" w:rsidRPr="00000000">
        <w:rPr>
          <w:rtl w:val="0"/>
        </w:rPr>
      </w:r>
    </w:p>
    <w:p w:rsidR="00000000" w:rsidDel="00000000" w:rsidP="00000000" w:rsidRDefault="00000000" w:rsidRPr="00000000" w14:paraId="0000001A">
      <w:pPr>
        <w:spacing w:after="240" w:before="240" w:lineRule="auto"/>
        <w:rPr>
          <w:color w:val="1155cc"/>
          <w:u w:val="single"/>
        </w:rPr>
      </w:pPr>
      <w:r w:rsidDel="00000000" w:rsidR="00000000" w:rsidRPr="00000000">
        <w:rPr>
          <w:b w:val="1"/>
          <w:bCs w:val="1"/>
          <w:rtl w:val="0"/>
        </w:rPr>
        <w:t xml:space="preserve">Method Used:</w:t>
      </w:r>
      <w:r w:rsidDel="00000000" w:rsidR="00000000" w:rsidRPr="00000000">
        <w:rPr>
          <w:rtl w:val="0"/>
        </w:rPr>
        <w:t xml:space="preserve"> The researchers compare several machine-learning techniques, including </w:t>
      </w:r>
      <w:r w:rsidDel="00000000" w:rsidR="00000000" w:rsidRPr="00000000">
        <w:rPr>
          <w:b w:val="1"/>
          <w:bCs w:val="1"/>
          <w:rtl w:val="0"/>
        </w:rPr>
        <w:t xml:space="preserve">Artificial Neural Networks, Support Vector Machines, Naïve Bayes, Logistic Regression, Decision Trees and K-Nearest Neighbours</w:t>
      </w:r>
      <w:r w:rsidDel="00000000" w:rsidR="00000000" w:rsidRPr="00000000">
        <w:rPr>
          <w:rtl w:val="0"/>
        </w:rPr>
        <w:t xml:space="preserve">. The study also applies </w:t>
      </w:r>
      <w:r w:rsidDel="00000000" w:rsidR="00000000" w:rsidRPr="00000000">
        <w:rPr>
          <w:b w:val="1"/>
          <w:bCs w:val="1"/>
          <w:rtl w:val="0"/>
        </w:rPr>
        <w:t xml:space="preserve">LASSO for variable selection</w:t>
      </w:r>
      <w:r w:rsidDel="00000000" w:rsidR="00000000" w:rsidRPr="00000000">
        <w:rPr>
          <w:rtl w:val="0"/>
        </w:rPr>
        <w:t xml:space="preserve"> and examines how hyperparameter settings, sample size and feature selection affect predictive performance. </w:t>
      </w:r>
      <w:hyperlink r:id="rId15">
        <w:r w:rsidDel="00000000" w:rsidR="00000000" w:rsidRPr="00000000">
          <w:rPr>
            <w:color w:val="1155cc"/>
            <w:u w:val="single"/>
            <w:rtl w:val="0"/>
          </w:rPr>
          <w:t xml:space="preserve">IDEAS/RePEc</w:t>
        </w:r>
      </w:hyperlink>
      <w:r w:rsidDel="00000000" w:rsidR="00000000" w:rsidRPr="00000000">
        <w:rPr>
          <w:rtl w:val="0"/>
        </w:rPr>
      </w:r>
    </w:p>
    <w:p w:rsidR="00000000" w:rsidDel="00000000" w:rsidP="00000000" w:rsidRDefault="00000000" w:rsidRPr="00000000" w14:paraId="0000001B">
      <w:pPr>
        <w:spacing w:after="240" w:before="240" w:lineRule="auto"/>
        <w:rPr>
          <w:color w:val="1155cc"/>
          <w:u w:val="single"/>
        </w:rPr>
      </w:pPr>
      <w:r w:rsidDel="00000000" w:rsidR="00000000" w:rsidRPr="00000000">
        <w:rPr>
          <w:b w:val="1"/>
          <w:bCs w:val="1"/>
          <w:rtl w:val="0"/>
        </w:rPr>
        <w:t xml:space="preserve">Key Finding:</w:t>
      </w:r>
      <w:r w:rsidDel="00000000" w:rsidR="00000000" w:rsidRPr="00000000">
        <w:rPr>
          <w:rtl w:val="0"/>
        </w:rPr>
        <w:t xml:space="preserve"> The study finds that model performance varies according to dataset characteristics and model configuration. </w:t>
      </w:r>
      <w:r w:rsidDel="00000000" w:rsidR="00000000" w:rsidRPr="00000000">
        <w:rPr>
          <w:b w:val="1"/>
          <w:bCs w:val="1"/>
          <w:rtl w:val="0"/>
        </w:rPr>
        <w:t xml:space="preserve">K-Nearest Neighbours achieved the highest accuracy</w:t>
      </w:r>
      <w:r w:rsidDel="00000000" w:rsidR="00000000" w:rsidRPr="00000000">
        <w:rPr>
          <w:rtl w:val="0"/>
        </w:rPr>
        <w:t xml:space="preserve">, while </w:t>
      </w:r>
      <w:r w:rsidDel="00000000" w:rsidR="00000000" w:rsidRPr="00000000">
        <w:rPr>
          <w:b w:val="1"/>
          <w:bCs w:val="1"/>
          <w:rtl w:val="0"/>
        </w:rPr>
        <w:t xml:space="preserve">Naïve Bayes consistently underperformed</w:t>
      </w:r>
      <w:r w:rsidDel="00000000" w:rsidR="00000000" w:rsidRPr="00000000">
        <w:rPr>
          <w:rtl w:val="0"/>
        </w:rPr>
        <w:t xml:space="preserve"> relative to several competing approaches. The results also show that hyperparameter selection and feature characteristics can significantly influence model reliability. </w:t>
      </w:r>
      <w:hyperlink r:id="rId16">
        <w:r w:rsidDel="00000000" w:rsidR="00000000" w:rsidRPr="00000000">
          <w:rPr>
            <w:color w:val="1155cc"/>
            <w:u w:val="single"/>
            <w:rtl w:val="0"/>
          </w:rPr>
          <w:t xml:space="preserve">IDEAS/RePEc</w:t>
        </w:r>
      </w:hyperlink>
      <w:r w:rsidDel="00000000" w:rsidR="00000000" w:rsidRPr="00000000">
        <w:rPr>
          <w:rtl w:val="0"/>
        </w:rPr>
      </w:r>
    </w:p>
    <w:p w:rsidR="00000000" w:rsidDel="00000000" w:rsidP="00000000" w:rsidRDefault="00000000" w:rsidRPr="00000000" w14:paraId="0000001C">
      <w:pPr>
        <w:spacing w:after="240" w:before="240" w:lineRule="auto"/>
        <w:rPr>
          <w:color w:val="1155cc"/>
          <w:u w:val="single"/>
        </w:rPr>
      </w:pPr>
      <w:r w:rsidDel="00000000" w:rsidR="00000000" w:rsidRPr="00000000">
        <w:rPr>
          <w:b w:val="1"/>
          <w:bCs w:val="1"/>
          <w:rtl w:val="0"/>
        </w:rPr>
        <w:t xml:space="preserve">Limitation / Gap:</w:t>
      </w:r>
      <w:r w:rsidDel="00000000" w:rsidR="00000000" w:rsidRPr="00000000">
        <w:rPr>
          <w:rtl w:val="0"/>
        </w:rPr>
        <w:t xml:space="preserve"> The research focuses on corporate-default data from Poland and Taiwan rather than individual consumer-loan customers. Therefore, its findings cannot be directly transferred to our selected loan-default dataset. The study also identifies the risk of </w:t>
      </w:r>
      <w:r w:rsidDel="00000000" w:rsidR="00000000" w:rsidRPr="00000000">
        <w:rPr>
          <w:b w:val="1"/>
          <w:bCs w:val="1"/>
          <w:rtl w:val="0"/>
        </w:rPr>
        <w:t xml:space="preserve">overfitting in high-dimensional datasets</w:t>
      </w:r>
      <w:r w:rsidDel="00000000" w:rsidR="00000000" w:rsidRPr="00000000">
        <w:rPr>
          <w:rtl w:val="0"/>
        </w:rPr>
        <w:t xml:space="preserve"> and demonstrates that predictive performance can change across economies, indicating that no single model should be assumed to perform equally well in every lending environment. </w:t>
      </w:r>
      <w:hyperlink r:id="rId17">
        <w:r w:rsidDel="00000000" w:rsidR="00000000" w:rsidRPr="00000000">
          <w:rPr>
            <w:color w:val="1155cc"/>
            <w:u w:val="single"/>
            <w:rtl w:val="0"/>
          </w:rPr>
          <w:t xml:space="preserve">IDEAS/RePEc</w:t>
        </w:r>
      </w:hyperlink>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Relevance to Our Project:</w:t>
      </w:r>
      <w:r w:rsidDel="00000000" w:rsidR="00000000" w:rsidRPr="00000000">
        <w:rPr>
          <w:rtl w:val="0"/>
        </w:rPr>
        <w:t xml:space="preserve"> This paper is particularly important for the critical evaluation required in </w:t>
      </w:r>
      <w:r w:rsidDel="00000000" w:rsidR="00000000" w:rsidRPr="00000000">
        <w:rPr>
          <w:b w:val="1"/>
          <w:bCs w:val="1"/>
          <w:rtl w:val="0"/>
        </w:rPr>
        <w:t xml:space="preserve">Task 8</w:t>
      </w:r>
      <w:r w:rsidDel="00000000" w:rsidR="00000000" w:rsidRPr="00000000">
        <w:rPr>
          <w:rtl w:val="0"/>
        </w:rPr>
        <w:t xml:space="preserve">. It shows that although Naïve Bayes is easy to implement and probabilistic in nature, it may not always outperform alternative techniques. Therefore, the suitability of Bayesian approaches in our project should be evaluated according to the structure of our dataset rather than assumed in advance. The cross-economy findings also support the need for ongoing model monitoring if a loan-risk prediction system is implemented in practice.</w:t>
      </w:r>
    </w:p>
    <w:p w:rsidR="00000000" w:rsidDel="00000000" w:rsidP="00000000" w:rsidRDefault="00000000" w:rsidRPr="00000000" w14:paraId="000000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mdpi.com/2227-9091/12/11/174?utm_source=chatgpt.com" TargetMode="External"/><Relationship Id="rId10" Type="http://schemas.openxmlformats.org/officeDocument/2006/relationships/hyperlink" Target="https://www.mdpi.com/2227-9091/12/11/174?utm_source=chatgpt.com" TargetMode="External"/><Relationship Id="rId13" Type="http://schemas.openxmlformats.org/officeDocument/2006/relationships/hyperlink" Target="https://www.mdpi.com/2227-9091/12/11/174?utm_source=chatgpt.com" TargetMode="External"/><Relationship Id="rId12" Type="http://schemas.openxmlformats.org/officeDocument/2006/relationships/hyperlink" Target="https://www.mdpi.com/2227-9091/12/11/174?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vistas.esan.edu.pe/index.php/jefas/article/view/126?utm_source=chatgpt.com" TargetMode="External"/><Relationship Id="rId15" Type="http://schemas.openxmlformats.org/officeDocument/2006/relationships/hyperlink" Target="https://ideas.repec.org/a/spr/snbeco/v5y2025i12d10.1007_s43546-025-00995-5.html" TargetMode="External"/><Relationship Id="rId14" Type="http://schemas.openxmlformats.org/officeDocument/2006/relationships/hyperlink" Target="https://ideas.repec.org/a/spr/snbeco/v5y2025i12d10.1007_s43546-025-00995-5.html" TargetMode="External"/><Relationship Id="rId17" Type="http://schemas.openxmlformats.org/officeDocument/2006/relationships/hyperlink" Target="https://ideas.repec.org/a/spr/snbeco/v5y2025i12d10.1007_s43546-025-00995-5.html" TargetMode="External"/><Relationship Id="rId16" Type="http://schemas.openxmlformats.org/officeDocument/2006/relationships/hyperlink" Target="https://ideas.repec.org/a/spr/snbeco/v5y2025i12d10.1007_s43546-025-00995-5.html" TargetMode="External"/><Relationship Id="rId5" Type="http://schemas.openxmlformats.org/officeDocument/2006/relationships/styles" Target="styles.xml"/><Relationship Id="rId6" Type="http://schemas.openxmlformats.org/officeDocument/2006/relationships/hyperlink" Target="https://revistas.esan.edu.pe/index.php/jefas/article/view/126?utm_source=chatgpt.com" TargetMode="External"/><Relationship Id="rId7" Type="http://schemas.openxmlformats.org/officeDocument/2006/relationships/hyperlink" Target="https://doi.org/10.1108/JEFAS-02-2017-0039%0A?utm_source=chatgpt.com" TargetMode="External"/><Relationship Id="rId8" Type="http://schemas.openxmlformats.org/officeDocument/2006/relationships/hyperlink" Target="https://www.scielo.org.pe/scielo.php?pid=S2077-18862017000100002&amp;script=sci_arttext&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