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02">
      <w:pPr>
        <w:spacing w:after="80" w:line="268.8" w:lineRule="auto"/>
        <w:jc w:val="center"/>
        <w:rPr>
          <w:rFonts w:ascii="Atkinson Hyperlegible Next" w:cs="Atkinson Hyperlegible Next" w:eastAsia="Atkinson Hyperlegible Next" w:hAnsi="Atkinson Hyperlegible Next"/>
          <w:b w:val="1"/>
          <w:bCs w:val="1"/>
          <w:color w:val="f79646"/>
          <w:sz w:val="24"/>
          <w:szCs w:val="24"/>
        </w:rPr>
      </w:pPr>
      <w:r w:rsidDel="00000000" w:rsidR="00000000" w:rsidRPr="00000000">
        <w:rPr>
          <w:rFonts w:ascii="Atkinson Hyperlegible Next" w:cs="Atkinson Hyperlegible Next" w:eastAsia="Atkinson Hyperlegible Next" w:hAnsi="Atkinson Hyperlegible Next"/>
          <w:b w:val="1"/>
          <w:bCs w:val="1"/>
          <w:color w:val="f79646"/>
          <w:sz w:val="24"/>
          <w:szCs w:val="24"/>
          <w:rtl w:val="0"/>
        </w:rPr>
        <w:t xml:space="preserve">FINAL SUMMARY REPORT - PHASE II</w:t>
      </w:r>
    </w:p>
    <w:p w:rsidR="00000000" w:rsidDel="00000000" w:rsidP="00000000" w:rsidRDefault="00000000" w:rsidRPr="00000000" w14:paraId="00000003">
      <w:pPr>
        <w:jc w:val="center"/>
        <w:rPr>
          <w:rFonts w:ascii="Atkinson Hyperlegible Next" w:cs="Atkinson Hyperlegible Next" w:eastAsia="Atkinson Hyperlegible Next" w:hAnsi="Atkinson Hyperlegible Next"/>
          <w:b w:val="1"/>
          <w:bCs w:val="1"/>
          <w:color w:val="1f3a5f"/>
          <w:sz w:val="52"/>
          <w:szCs w:val="52"/>
        </w:rPr>
      </w:pPr>
      <w:r w:rsidDel="00000000" w:rsidR="00000000" w:rsidRPr="00000000">
        <w:rPr>
          <w:rFonts w:ascii="Atkinson Hyperlegible Next" w:cs="Atkinson Hyperlegible Next" w:eastAsia="Atkinson Hyperlegible Next" w:hAnsi="Atkinson Hyperlegible Next"/>
          <w:b w:val="1"/>
          <w:bCs w:val="1"/>
          <w:color w:val="1f3a5f"/>
          <w:sz w:val="52"/>
          <w:szCs w:val="52"/>
          <w:rtl w:val="0"/>
        </w:rPr>
        <w:t xml:space="preserve">THE GLOBAL PROGRAMME ON</w:t>
      </w:r>
    </w:p>
    <w:p w:rsidR="00000000" w:rsidDel="00000000" w:rsidP="00000000" w:rsidRDefault="00000000" w:rsidRPr="00000000" w14:paraId="00000004">
      <w:pPr>
        <w:jc w:val="center"/>
        <w:rPr>
          <w:rFonts w:ascii="Atkinson Hyperlegible Next" w:cs="Atkinson Hyperlegible Next" w:eastAsia="Atkinson Hyperlegible Next" w:hAnsi="Atkinson Hyperlegible Next"/>
          <w:b w:val="1"/>
          <w:bCs w:val="1"/>
          <w:color w:val="1f3a5f"/>
          <w:sz w:val="52"/>
          <w:szCs w:val="52"/>
        </w:rPr>
      </w:pPr>
      <w:r w:rsidDel="00000000" w:rsidR="00000000" w:rsidRPr="00000000">
        <w:rPr>
          <w:rFonts w:ascii="Atkinson Hyperlegible Next" w:cs="Atkinson Hyperlegible Next" w:eastAsia="Atkinson Hyperlegible Next" w:hAnsi="Atkinson Hyperlegible Next"/>
          <w:b w:val="1"/>
          <w:bCs w:val="1"/>
          <w:color w:val="1f3a5f"/>
          <w:sz w:val="52"/>
          <w:szCs w:val="52"/>
          <w:rtl w:val="0"/>
        </w:rPr>
        <w:t xml:space="preserve">OUT-OF-SCHOOL COMPREHENSIVE</w:t>
      </w:r>
    </w:p>
    <w:p w:rsidR="00000000" w:rsidDel="00000000" w:rsidP="00000000" w:rsidRDefault="00000000" w:rsidRPr="00000000" w14:paraId="00000005">
      <w:pPr>
        <w:spacing w:after="200" w:lineRule="auto"/>
        <w:jc w:val="center"/>
        <w:rPr>
          <w:rFonts w:ascii="Atkinson Hyperlegible Next" w:cs="Atkinson Hyperlegible Next" w:eastAsia="Atkinson Hyperlegible Next" w:hAnsi="Atkinson Hyperlegible Next"/>
          <w:b w:val="1"/>
          <w:bCs w:val="1"/>
          <w:color w:val="1f3a5f"/>
          <w:sz w:val="52"/>
          <w:szCs w:val="52"/>
        </w:rPr>
      </w:pPr>
      <w:r w:rsidDel="00000000" w:rsidR="00000000" w:rsidRPr="00000000">
        <w:rPr>
          <w:rFonts w:ascii="Atkinson Hyperlegible Next" w:cs="Atkinson Hyperlegible Next" w:eastAsia="Atkinson Hyperlegible Next" w:hAnsi="Atkinson Hyperlegible Next"/>
          <w:b w:val="1"/>
          <w:bCs w:val="1"/>
          <w:color w:val="1f3a5f"/>
          <w:sz w:val="52"/>
          <w:szCs w:val="52"/>
          <w:rtl w:val="0"/>
        </w:rPr>
        <w:t xml:space="preserve">SEXUALITY EDUCATION</w:t>
      </w:r>
    </w:p>
    <w:p w:rsidR="00000000" w:rsidDel="00000000" w:rsidP="00000000" w:rsidRDefault="00000000" w:rsidRPr="00000000" w14:paraId="00000006">
      <w:pPr>
        <w:spacing w:after="600" w:line="268.8" w:lineRule="auto"/>
        <w:jc w:val="center"/>
        <w:rPr>
          <w:rFonts w:ascii="Atkinson Hyperlegible Next" w:cs="Atkinson Hyperlegible Next" w:eastAsia="Atkinson Hyperlegible Next" w:hAnsi="Atkinson Hyperlegible Next"/>
          <w:i w:val="1"/>
          <w:iCs w:val="1"/>
          <w:color w:val="595959"/>
          <w:sz w:val="25"/>
          <w:szCs w:val="25"/>
        </w:rPr>
      </w:pPr>
      <w:r w:rsidDel="00000000" w:rsidR="00000000" w:rsidRPr="00000000">
        <w:rPr>
          <w:rFonts w:ascii="Atkinson Hyperlegible Next" w:cs="Atkinson Hyperlegible Next" w:eastAsia="Atkinson Hyperlegible Next" w:hAnsi="Atkinson Hyperlegible Next"/>
          <w:i w:val="1"/>
          <w:iCs w:val="1"/>
          <w:color w:val="595959"/>
          <w:sz w:val="25"/>
          <w:szCs w:val="25"/>
          <w:rtl w:val="0"/>
        </w:rPr>
        <w:t xml:space="preserve">Reaching those most left behind through comprehensive sexuality education for out-of-school young people</w:t>
      </w:r>
    </w:p>
    <w:p w:rsidR="00000000" w:rsidDel="00000000" w:rsidP="00000000" w:rsidRDefault="00000000" w:rsidRPr="00000000" w14:paraId="00000007">
      <w:pPr>
        <w:spacing w:after="40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400" w:line="268.8" w:lineRule="auto"/>
        <w:rPr>
          <w:rFonts w:ascii="Atkinson Hyperlegible Next" w:cs="Atkinson Hyperlegible Next" w:eastAsia="Atkinson Hyperlegible Next" w:hAnsi="Atkinson Hyperlegible Next"/>
        </w:rPr>
      </w:pPr>
      <w:r w:rsidDel="00000000" w:rsidR="00000000" w:rsidRPr="00000000">
        <w:rPr>
          <w:rtl w:val="0"/>
        </w:rPr>
      </w:r>
    </w:p>
    <w:p w:rsidR="00000000" w:rsidDel="00000000" w:rsidP="00000000" w:rsidRDefault="00000000" w:rsidRPr="00000000" w14:paraId="00000009">
      <w:pPr>
        <w:spacing w:after="40" w:line="268.8" w:lineRule="auto"/>
        <w:jc w:val="center"/>
        <w:rPr>
          <w:rFonts w:ascii="Atkinson Hyperlegible Next" w:cs="Atkinson Hyperlegible Next" w:eastAsia="Atkinson Hyperlegible Next" w:hAnsi="Atkinson Hyperlegible Next"/>
          <w:b w:val="1"/>
          <w:bCs w:val="1"/>
          <w:color w:val="1f3a5f"/>
          <w:sz w:val="28"/>
          <w:szCs w:val="28"/>
        </w:rPr>
      </w:pPr>
      <w:r w:rsidDel="00000000" w:rsidR="00000000" w:rsidRPr="00000000">
        <w:rPr>
          <w:rFonts w:ascii="Atkinson Hyperlegible Next" w:cs="Atkinson Hyperlegible Next" w:eastAsia="Atkinson Hyperlegible Next" w:hAnsi="Atkinson Hyperlegible Next"/>
          <w:b w:val="1"/>
          <w:bCs w:val="1"/>
          <w:color w:val="1f3a5f"/>
          <w:sz w:val="28"/>
          <w:szCs w:val="28"/>
          <w:rtl w:val="0"/>
        </w:rPr>
        <w:t xml:space="preserve">Final Summary report</w:t>
      </w:r>
    </w:p>
    <w:p w:rsidR="00000000" w:rsidDel="00000000" w:rsidP="00000000" w:rsidRDefault="00000000" w:rsidRPr="00000000" w14:paraId="0000000A">
      <w:pPr>
        <w:spacing w:after="600" w:line="268.8" w:lineRule="auto"/>
        <w:jc w:val="center"/>
        <w:rPr>
          <w:rFonts w:ascii="Atkinson Hyperlegible Next" w:cs="Atkinson Hyperlegible Next" w:eastAsia="Atkinson Hyperlegible Next" w:hAnsi="Atkinson Hyperlegible Next"/>
          <w:color w:val="595959"/>
          <w:sz w:val="23"/>
          <w:szCs w:val="23"/>
        </w:rPr>
      </w:pPr>
      <w:r w:rsidDel="00000000" w:rsidR="00000000" w:rsidRPr="00000000">
        <w:rPr>
          <w:rFonts w:ascii="Atkinson Hyperlegible Next" w:cs="Atkinson Hyperlegible Next" w:eastAsia="Atkinson Hyperlegible Next" w:hAnsi="Atkinson Hyperlegible Next"/>
          <w:color w:val="595959"/>
          <w:sz w:val="23"/>
          <w:szCs w:val="23"/>
          <w:rtl w:val="0"/>
        </w:rPr>
        <w:t xml:space="preserve">Covering Phase II (2023-2024) and the 2025 no-cost extension year</w:t>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820"/>
        <w:tblGridChange w:id="0">
          <w:tblGrid>
            <w:gridCol w:w="3105"/>
            <w:gridCol w:w="582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80.0" w:type="dxa"/>
            </w:tcMar>
            <w:vAlign w:val="top"/>
          </w:tcPr>
          <w:p w:rsidR="00000000" w:rsidDel="00000000" w:rsidP="00000000" w:rsidRDefault="00000000" w:rsidRPr="00000000" w14:paraId="0000000B">
            <w:pPr>
              <w:spacing w:after="120" w:line="268.8" w:lineRule="auto"/>
              <w:jc w:val="right"/>
              <w:rPr>
                <w:rFonts w:ascii="Atkinson Hyperlegible Next" w:cs="Atkinson Hyperlegible Next" w:eastAsia="Atkinson Hyperlegible Next" w:hAnsi="Atkinson Hyperlegible Next"/>
                <w:b w:val="1"/>
                <w:bCs w:val="1"/>
                <w:color w:val="2e75b6"/>
                <w:sz w:val="20"/>
                <w:szCs w:val="20"/>
              </w:rPr>
            </w:pPr>
            <w:r w:rsidDel="00000000" w:rsidR="00000000" w:rsidRPr="00000000">
              <w:rPr>
                <w:rFonts w:ascii="Atkinson Hyperlegible Next" w:cs="Atkinson Hyperlegible Next" w:eastAsia="Atkinson Hyperlegible Next" w:hAnsi="Atkinson Hyperlegible Next"/>
                <w:b w:val="1"/>
                <w:bCs w:val="1"/>
                <w:color w:val="2e75b6"/>
                <w:sz w:val="20"/>
                <w:szCs w:val="20"/>
                <w:rtl w:val="0"/>
              </w:rPr>
              <w:t xml:space="preserve">Programme title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C">
            <w:pPr>
              <w:spacing w:after="120"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Reaching those most left behind through CSE for out-of-school young people</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80.0" w:type="dxa"/>
            </w:tcMar>
            <w:vAlign w:val="top"/>
          </w:tcPr>
          <w:p w:rsidR="00000000" w:rsidDel="00000000" w:rsidP="00000000" w:rsidRDefault="00000000" w:rsidRPr="00000000" w14:paraId="0000000D">
            <w:pPr>
              <w:spacing w:after="120" w:line="268.8" w:lineRule="auto"/>
              <w:jc w:val="right"/>
              <w:rPr>
                <w:rFonts w:ascii="Atkinson Hyperlegible Next" w:cs="Atkinson Hyperlegible Next" w:eastAsia="Atkinson Hyperlegible Next" w:hAnsi="Atkinson Hyperlegible Next"/>
                <w:b w:val="1"/>
                <w:bCs w:val="1"/>
                <w:color w:val="2e75b6"/>
                <w:sz w:val="20"/>
                <w:szCs w:val="20"/>
              </w:rPr>
            </w:pPr>
            <w:r w:rsidDel="00000000" w:rsidR="00000000" w:rsidRPr="00000000">
              <w:rPr>
                <w:rFonts w:ascii="Atkinson Hyperlegible Next" w:cs="Atkinson Hyperlegible Next" w:eastAsia="Atkinson Hyperlegible Next" w:hAnsi="Atkinson Hyperlegible Next"/>
                <w:b w:val="1"/>
                <w:bCs w:val="1"/>
                <w:color w:val="2e75b6"/>
                <w:sz w:val="20"/>
                <w:szCs w:val="20"/>
                <w:rtl w:val="0"/>
              </w:rPr>
              <w:t xml:space="preserve">Donor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0E">
            <w:pPr>
              <w:spacing w:after="120"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The Norwegian Agency for Development Cooperation (Norad)</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80.0" w:type="dxa"/>
            </w:tcMar>
            <w:vAlign w:val="top"/>
          </w:tcPr>
          <w:p w:rsidR="00000000" w:rsidDel="00000000" w:rsidP="00000000" w:rsidRDefault="00000000" w:rsidRPr="00000000" w14:paraId="0000000F">
            <w:pPr>
              <w:spacing w:after="120" w:line="268.8" w:lineRule="auto"/>
              <w:jc w:val="right"/>
              <w:rPr>
                <w:rFonts w:ascii="Atkinson Hyperlegible Next" w:cs="Atkinson Hyperlegible Next" w:eastAsia="Atkinson Hyperlegible Next" w:hAnsi="Atkinson Hyperlegible Next"/>
                <w:b w:val="1"/>
                <w:bCs w:val="1"/>
                <w:color w:val="2e75b6"/>
                <w:sz w:val="20"/>
                <w:szCs w:val="20"/>
              </w:rPr>
            </w:pPr>
            <w:r w:rsidDel="00000000" w:rsidR="00000000" w:rsidRPr="00000000">
              <w:rPr>
                <w:rFonts w:ascii="Atkinson Hyperlegible Next" w:cs="Atkinson Hyperlegible Next" w:eastAsia="Atkinson Hyperlegible Next" w:hAnsi="Atkinson Hyperlegible Next"/>
                <w:b w:val="1"/>
                <w:bCs w:val="1"/>
                <w:color w:val="2e75b6"/>
                <w:sz w:val="20"/>
                <w:szCs w:val="20"/>
                <w:rtl w:val="0"/>
              </w:rPr>
              <w:t xml:space="preserve">Implementing organization</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10">
            <w:pPr>
              <w:spacing w:after="120"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United Nations Population Fund (UNFPA)</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80.0" w:type="dxa"/>
            </w:tcMar>
            <w:vAlign w:val="top"/>
          </w:tcPr>
          <w:p w:rsidR="00000000" w:rsidDel="00000000" w:rsidP="00000000" w:rsidRDefault="00000000" w:rsidRPr="00000000" w14:paraId="00000011">
            <w:pPr>
              <w:spacing w:after="120" w:line="268.8" w:lineRule="auto"/>
              <w:jc w:val="right"/>
              <w:rPr>
                <w:rFonts w:ascii="Atkinson Hyperlegible Next" w:cs="Atkinson Hyperlegible Next" w:eastAsia="Atkinson Hyperlegible Next" w:hAnsi="Atkinson Hyperlegible Next"/>
                <w:b w:val="1"/>
                <w:bCs w:val="1"/>
                <w:color w:val="2e75b6"/>
                <w:sz w:val="20"/>
                <w:szCs w:val="20"/>
              </w:rPr>
            </w:pPr>
            <w:r w:rsidDel="00000000" w:rsidR="00000000" w:rsidRPr="00000000">
              <w:rPr>
                <w:rFonts w:ascii="Atkinson Hyperlegible Next" w:cs="Atkinson Hyperlegible Next" w:eastAsia="Atkinson Hyperlegible Next" w:hAnsi="Atkinson Hyperlegible Next"/>
                <w:b w:val="1"/>
                <w:bCs w:val="1"/>
                <w:color w:val="2e75b6"/>
                <w:sz w:val="20"/>
                <w:szCs w:val="20"/>
                <w:rtl w:val="0"/>
              </w:rPr>
              <w:t xml:space="preserve">Geographic scope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40.0" w:type="dxa"/>
            </w:tcMar>
            <w:vAlign w:val="top"/>
          </w:tcPr>
          <w:p w:rsidR="00000000" w:rsidDel="00000000" w:rsidP="00000000" w:rsidRDefault="00000000" w:rsidRPr="00000000" w14:paraId="00000012">
            <w:pPr>
              <w:spacing w:after="120"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12 countries across all six UNFPA regions, and the global level</w:t>
            </w:r>
          </w:p>
        </w:tc>
      </w:tr>
    </w:tbl>
    <w:p w:rsidR="00000000" w:rsidDel="00000000" w:rsidP="00000000" w:rsidRDefault="00000000" w:rsidRPr="00000000" w14:paraId="00000013">
      <w:pPr>
        <w:spacing w:after="60" w:line="276" w:lineRule="auto"/>
        <w:ind w:left="720" w:hanging="360"/>
        <w:rPr/>
      </w:pPr>
      <w:r w:rsidDel="00000000" w:rsidR="00000000" w:rsidRPr="00000000">
        <w:rPr>
          <w:rtl w:val="0"/>
        </w:rPr>
      </w:r>
    </w:p>
    <w:p w:rsidR="00000000" w:rsidDel="00000000" w:rsidP="00000000" w:rsidRDefault="00000000" w:rsidRPr="00000000" w14:paraId="0000001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o6hau627q2xt"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kez8v54eb532" w:id="1"/>
      <w:bookmarkEnd w:id="1"/>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Abbreviations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a1asgl2c5hi2" w:id="2"/>
      <w:bookmarkEnd w:id="2"/>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465g5juq47mh" w:id="3"/>
      <w:bookmarkEnd w:id="3"/>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Contents</w:t>
      </w:r>
    </w:p>
    <w:p w:rsidR="00000000" w:rsidDel="00000000" w:rsidP="00000000" w:rsidRDefault="00000000" w:rsidRPr="00000000" w14:paraId="0000001A">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Executive summary</w:t>
      </w:r>
    </w:p>
    <w:p w:rsidR="00000000" w:rsidDel="00000000" w:rsidP="00000000" w:rsidRDefault="00000000" w:rsidRPr="00000000" w14:paraId="0000001B">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1.  Programme overview and Phase II at a glance</w:t>
      </w:r>
    </w:p>
    <w:p w:rsidR="00000000" w:rsidDel="00000000" w:rsidP="00000000" w:rsidRDefault="00000000" w:rsidRPr="00000000" w14:paraId="0000001C">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2.  Context evolution during Phase II</w:t>
      </w:r>
    </w:p>
    <w:p w:rsidR="00000000" w:rsidDel="00000000" w:rsidP="00000000" w:rsidRDefault="00000000" w:rsidRPr="00000000" w14:paraId="0000001D">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3.  Main achievements</w:t>
      </w:r>
    </w:p>
    <w:p w:rsidR="00000000" w:rsidDel="00000000" w:rsidP="00000000" w:rsidRDefault="00000000" w:rsidRPr="00000000" w14:paraId="0000001E">
      <w:pPr>
        <w:spacing w:after="60" w:line="268.8" w:lineRule="auto"/>
        <w:rPr>
          <w:rFonts w:ascii="Atkinson Hyperlegible Next" w:cs="Atkinson Hyperlegible Next" w:eastAsia="Atkinson Hyperlegible Next" w:hAnsi="Atkinson Hyperlegible Next"/>
          <w:color w:val="595959"/>
        </w:rPr>
      </w:pPr>
      <w:r w:rsidDel="00000000" w:rsidR="00000000" w:rsidRPr="00000000">
        <w:rPr>
          <w:rFonts w:ascii="Atkinson Hyperlegible Next" w:cs="Atkinson Hyperlegible Next" w:eastAsia="Atkinson Hyperlegible Next" w:hAnsi="Atkinson Hyperlegible Next"/>
          <w:color w:val="595959"/>
          <w:rtl w:val="0"/>
        </w:rPr>
        <w:t xml:space="preserve">  </w:t>
        <w:tab/>
        <w:t xml:space="preserve">3.1 Outcome 1 - The Out-of-School Guidance contextualized and promoted</w:t>
      </w:r>
    </w:p>
    <w:p w:rsidR="00000000" w:rsidDel="00000000" w:rsidP="00000000" w:rsidRDefault="00000000" w:rsidRPr="00000000" w14:paraId="0000001F">
      <w:pPr>
        <w:spacing w:after="60" w:line="268.8" w:lineRule="auto"/>
        <w:rPr>
          <w:rFonts w:ascii="Atkinson Hyperlegible Next" w:cs="Atkinson Hyperlegible Next" w:eastAsia="Atkinson Hyperlegible Next" w:hAnsi="Atkinson Hyperlegible Next"/>
          <w:color w:val="595959"/>
        </w:rPr>
      </w:pPr>
      <w:r w:rsidDel="00000000" w:rsidR="00000000" w:rsidRPr="00000000">
        <w:rPr>
          <w:rFonts w:ascii="Atkinson Hyperlegible Next" w:cs="Atkinson Hyperlegible Next" w:eastAsia="Atkinson Hyperlegible Next" w:hAnsi="Atkinson Hyperlegible Next"/>
          <w:color w:val="595959"/>
          <w:rtl w:val="0"/>
        </w:rPr>
        <w:t xml:space="preserve">  </w:t>
        <w:tab/>
        <w:t xml:space="preserve">3.2 Outcome 2 - Contextualized programming established, tested and scaled</w:t>
      </w:r>
    </w:p>
    <w:p w:rsidR="00000000" w:rsidDel="00000000" w:rsidP="00000000" w:rsidRDefault="00000000" w:rsidRPr="00000000" w14:paraId="00000020">
      <w:pPr>
        <w:spacing w:after="60" w:line="268.8" w:lineRule="auto"/>
        <w:rPr>
          <w:rFonts w:ascii="Atkinson Hyperlegible Next" w:cs="Atkinson Hyperlegible Next" w:eastAsia="Atkinson Hyperlegible Next" w:hAnsi="Atkinson Hyperlegible Next"/>
          <w:color w:val="595959"/>
        </w:rPr>
      </w:pPr>
      <w:r w:rsidDel="00000000" w:rsidR="00000000" w:rsidRPr="00000000">
        <w:rPr>
          <w:rFonts w:ascii="Atkinson Hyperlegible Next" w:cs="Atkinson Hyperlegible Next" w:eastAsia="Atkinson Hyperlegible Next" w:hAnsi="Atkinson Hyperlegible Next"/>
          <w:color w:val="595959"/>
          <w:rtl w:val="0"/>
        </w:rPr>
        <w:t xml:space="preserve">  </w:t>
        <w:tab/>
        <w:t xml:space="preserve">3.3 Outcome 3 - Evidence generated and disseminated</w:t>
      </w:r>
    </w:p>
    <w:p w:rsidR="00000000" w:rsidDel="00000000" w:rsidP="00000000" w:rsidRDefault="00000000" w:rsidRPr="00000000" w14:paraId="00000021">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4.  Evidence on what works</w:t>
      </w:r>
    </w:p>
    <w:p w:rsidR="00000000" w:rsidDel="00000000" w:rsidP="00000000" w:rsidRDefault="00000000" w:rsidRPr="00000000" w14:paraId="00000022">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5.  Highlights of Phase II</w:t>
      </w:r>
    </w:p>
    <w:p w:rsidR="00000000" w:rsidDel="00000000" w:rsidP="00000000" w:rsidRDefault="00000000" w:rsidRPr="00000000" w14:paraId="00000023">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6.  Challenges and lessons learned</w:t>
      </w:r>
    </w:p>
    <w:p w:rsidR="00000000" w:rsidDel="00000000" w:rsidP="00000000" w:rsidRDefault="00000000" w:rsidRPr="00000000" w14:paraId="00000024">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7.  Conclusion and forward look</w:t>
      </w:r>
    </w:p>
    <w:p w:rsidR="00000000" w:rsidDel="00000000" w:rsidP="00000000" w:rsidRDefault="00000000" w:rsidRPr="00000000" w14:paraId="00000025">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8.  Closing statement for fund closure</w:t>
      </w:r>
    </w:p>
    <w:p w:rsidR="00000000" w:rsidDel="00000000" w:rsidP="00000000" w:rsidRDefault="00000000" w:rsidRPr="00000000" w14:paraId="00000026">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Annex — Sources and notes on figures</w:t>
      </w:r>
    </w:p>
    <w:p w:rsidR="00000000" w:rsidDel="00000000" w:rsidP="00000000" w:rsidRDefault="00000000" w:rsidRPr="00000000" w14:paraId="00000027">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2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fdc7knkex8in" w:id="4"/>
      <w:bookmarkEnd w:id="4"/>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wx29qhxl34am" w:id="5"/>
      <w:bookmarkEnd w:id="5"/>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Executive summary</w:t>
      </w:r>
    </w:p>
    <w:p w:rsidR="00000000" w:rsidDel="00000000" w:rsidP="00000000" w:rsidRDefault="00000000" w:rsidRPr="00000000" w14:paraId="0000002B">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 of the UNFPA Global Programme on Out-of-School Comprehensive Sexuality Education (OOS CSE) set out to reach the young people furthest from formal systems (those out of school, displaced, living with HIV, living with disabilities, selling sex, in detention, or otherwise left behind) with high-quality, rights-based sexuality education, and to build the evidence base for how this is best done. With the sustained support of the Government of Norway through the Norwegian Agency for Development Cooperation (Norad), the programme delivered on that ambition during a uniquely difficult three-year period.</w:t>
      </w:r>
    </w:p>
    <w:p w:rsidR="00000000" w:rsidDel="00000000" w:rsidP="00000000" w:rsidRDefault="00000000" w:rsidRPr="00000000" w14:paraId="0000002C">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Building on a five-country first phase, Phase II expanded to 12 countries across all six UNFPA regions: Colombia, Ethiopia, Ghana, Indonesia, Iran, Malawi, Moldova, Nicaragua, Nigeria, Palestine, Philippines and Tunisia. Implementation ran during 2023–2024 and was consolidated through a 2025 no-cost extension year that allowed countries to complete activities, deepen institutionalization and finalize the programme's evidence products. During Phase II the programme directly reached more than 70,000 marginalized adolescents and young people, trained over 800 facilitators and educators, engaged more than 7,000 community gatekeepers, </w:t>
      </w:r>
      <w:r w:rsidDel="00000000" w:rsidR="00000000" w:rsidRPr="00000000">
        <w:rPr>
          <w:rFonts w:ascii="Atkinson Hyperlegible Next" w:cs="Atkinson Hyperlegible Next" w:eastAsia="Atkinson Hyperlegible Next" w:hAnsi="Atkinson Hyperlegible Next"/>
          <w:rtl w:val="0"/>
        </w:rPr>
        <w:t xml:space="preserve">and reached many hundreds of thousands</w:t>
      </w:r>
      <w:r w:rsidDel="00000000" w:rsidR="00000000" w:rsidRPr="00000000">
        <w:rPr>
          <w:rFonts w:ascii="Atkinson Hyperlegible Next" w:cs="Atkinson Hyperlegible Next" w:eastAsia="Atkinson Hyperlegible Next" w:hAnsi="Atkinson Hyperlegible Next"/>
          <w:rtl w:val="0"/>
        </w:rPr>
        <w:t xml:space="preserve"> more through radio, digital platforms and youth-led media.</w:t>
      </w:r>
    </w:p>
    <w:p w:rsidR="00000000" w:rsidDel="00000000" w:rsidP="00000000" w:rsidRDefault="00000000" w:rsidRPr="00000000" w14:paraId="0000002D">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Three results defined Phase II:</w:t>
      </w:r>
    </w:p>
    <w:p w:rsidR="00000000" w:rsidDel="00000000" w:rsidP="00000000" w:rsidRDefault="00000000" w:rsidRPr="00000000" w14:paraId="0000002E">
      <w:pPr>
        <w:numPr>
          <w:ilvl w:val="0"/>
          <w:numId w:val="3"/>
        </w:numPr>
        <w:spacing w:after="0" w:afterAutospacing="0" w:line="268.8" w:lineRule="auto"/>
        <w:ind w:left="1440" w:hanging="360"/>
        <w:rPr>
          <w:u w:val="none"/>
        </w:rPr>
      </w:pPr>
      <w:r w:rsidDel="00000000" w:rsidR="00000000" w:rsidRPr="00000000">
        <w:rPr>
          <w:rFonts w:ascii="Atkinson Hyperlegible Next" w:cs="Atkinson Hyperlegible Next" w:eastAsia="Atkinson Hyperlegible Next" w:hAnsi="Atkinson Hyperlegible Next"/>
          <w:rtl w:val="0"/>
        </w:rPr>
        <w:t xml:space="preserve">First, the programme proved that OOS CSE can be sustained in humanitarian and hard to reach settings: delivering the only OOS CSE programme in the Gaza Strip, reaching Afghan refugee girls in Iran’s border provinces, and adapting to climate adversities and sociopolitical constraints in several other countries.</w:t>
      </w:r>
    </w:p>
    <w:p w:rsidR="00000000" w:rsidDel="00000000" w:rsidP="00000000" w:rsidRDefault="00000000" w:rsidRPr="00000000" w14:paraId="0000002F">
      <w:pPr>
        <w:numPr>
          <w:ilvl w:val="0"/>
          <w:numId w:val="3"/>
        </w:numPr>
        <w:spacing w:after="0" w:afterAutospacing="0" w:line="268.8" w:lineRule="auto"/>
        <w:ind w:left="1440" w:hanging="360"/>
        <w:rPr>
          <w:u w:val="none"/>
        </w:rPr>
      </w:pPr>
      <w:r w:rsidDel="00000000" w:rsidR="00000000" w:rsidRPr="00000000">
        <w:rPr>
          <w:rFonts w:ascii="Atkinson Hyperlegible Next" w:cs="Atkinson Hyperlegible Next" w:eastAsia="Atkinson Hyperlegible Next" w:hAnsi="Atkinson Hyperlegible Next"/>
          <w:rtl w:val="0"/>
        </w:rPr>
        <w:t xml:space="preserve">Second, it accelerated a shift to tailored digital and offline tools and to specialized, trauma-informed and disability-inclusive facilitation, expanding both reach and quality.</w:t>
      </w:r>
    </w:p>
    <w:p w:rsidR="00000000" w:rsidDel="00000000" w:rsidP="00000000" w:rsidRDefault="00000000" w:rsidRPr="00000000" w14:paraId="00000030">
      <w:pPr>
        <w:numPr>
          <w:ilvl w:val="0"/>
          <w:numId w:val="3"/>
        </w:numPr>
        <w:spacing w:after="160" w:line="268.8" w:lineRule="auto"/>
        <w:ind w:left="1440" w:hanging="360"/>
        <w:rPr>
          <w:u w:val="none"/>
        </w:rPr>
      </w:pPr>
      <w:r w:rsidDel="00000000" w:rsidR="00000000" w:rsidRPr="00000000">
        <w:rPr>
          <w:rFonts w:ascii="Atkinson Hyperlegible Next" w:cs="Atkinson Hyperlegible Next" w:eastAsia="Atkinson Hyperlegible Next" w:hAnsi="Atkinson Hyperlegible Next"/>
          <w:rtl w:val="0"/>
        </w:rPr>
        <w:t xml:space="preserve">Third, it generated rigorous cross-country evidence confirming that tailored OOS CSE is feasible, acceptable and effective in improving young people’s knowledge, agency and access to services. This evidence was distilled into a </w:t>
      </w:r>
      <w:r w:rsidDel="00000000" w:rsidR="00000000" w:rsidRPr="00000000">
        <w:rPr>
          <w:rFonts w:ascii="Atkinson Hyperlegible Next" w:cs="Atkinson Hyperlegible Next" w:eastAsia="Atkinson Hyperlegible Next" w:hAnsi="Atkinson Hyperlegible Next"/>
          <w:b w:val="1"/>
          <w:bCs w:val="1"/>
          <w:rtl w:val="0"/>
        </w:rPr>
        <w:t xml:space="preserve">Minimum Package for Quality OOS CSE</w:t>
      </w:r>
      <w:r w:rsidDel="00000000" w:rsidR="00000000" w:rsidRPr="00000000">
        <w:rPr>
          <w:rFonts w:ascii="Atkinson Hyperlegible Next" w:cs="Atkinson Hyperlegible Next" w:eastAsia="Atkinson Hyperlegible Next" w:hAnsi="Atkinson Hyperlegible Next"/>
          <w:rtl w:val="0"/>
        </w:rPr>
        <w:t xml:space="preserve"> that now offers the field an actionable global standard.</w:t>
      </w:r>
    </w:p>
    <w:p w:rsidR="00000000" w:rsidDel="00000000" w:rsidP="00000000" w:rsidRDefault="00000000" w:rsidRPr="00000000" w14:paraId="00000031">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findings of the Phase II independent rapid assessment and implementation research are candid about what still limits impact: </w:t>
      </w:r>
      <w:r w:rsidDel="00000000" w:rsidR="00000000" w:rsidRPr="00000000">
        <w:rPr>
          <w:rFonts w:ascii="Atkinson Hyperlegible Next" w:cs="Atkinson Hyperlegible Next" w:eastAsia="Atkinson Hyperlegible Next" w:hAnsi="Atkinson Hyperlegible Next"/>
          <w:b w:val="1"/>
          <w:bCs w:val="1"/>
          <w:color w:val="4a86e8"/>
          <w:rtl w:val="0"/>
        </w:rPr>
        <w:t xml:space="preserve">organized opposition to CSE is intensifying, linkages to</w:t>
      </w:r>
      <w:r w:rsidDel="00000000" w:rsidR="00000000" w:rsidRPr="00000000">
        <w:rPr>
          <w:rFonts w:ascii="Atkinson Hyperlegible Next" w:cs="Atkinson Hyperlegible Next" w:eastAsia="Atkinson Hyperlegible Next" w:hAnsi="Atkinson Hyperlegible Next"/>
          <w:b w:val="1"/>
          <w:bCs w:val="1"/>
          <w:color w:val="4a86e8"/>
          <w:rtl w:val="0"/>
        </w:rPr>
        <w:t xml:space="preserve"> youth-friendly health services</w:t>
      </w:r>
      <w:r w:rsidDel="00000000" w:rsidR="00000000" w:rsidRPr="00000000">
        <w:rPr>
          <w:rFonts w:ascii="Atkinson Hyperlegible Next" w:cs="Atkinson Hyperlegible Next" w:eastAsia="Atkinson Hyperlegible Next" w:hAnsi="Atkinson Hyperlegible Next"/>
          <w:b w:val="1"/>
          <w:bCs w:val="1"/>
          <w:color w:val="4a86e8"/>
          <w:rtl w:val="0"/>
        </w:rPr>
        <w:t xml:space="preserve"> remain uneven, coverage of young people from the most marginalized groups is still thin, and short funding cycles constrain depth and sustainability</w:t>
      </w:r>
      <w:r w:rsidDel="00000000" w:rsidR="00000000" w:rsidRPr="00000000">
        <w:rPr>
          <w:rFonts w:ascii="Atkinson Hyperlegible Next" w:cs="Atkinson Hyperlegible Next" w:eastAsia="Atkinson Hyperlegible Next" w:hAnsi="Atkinson Hyperlegible Next"/>
          <w:color w:val="4a86e8"/>
          <w:rtl w:val="0"/>
        </w:rPr>
        <w:t xml:space="preserve">.</w:t>
      </w:r>
      <w:r w:rsidDel="00000000" w:rsidR="00000000" w:rsidRPr="00000000">
        <w:rPr>
          <w:rFonts w:ascii="Atkinson Hyperlegible Next" w:cs="Atkinson Hyperlegible Next" w:eastAsia="Atkinson Hyperlegible Next" w:hAnsi="Atkinson Hyperlegible Next"/>
          <w:rtl w:val="0"/>
        </w:rPr>
        <w:t xml:space="preserve"> These are presented here not as caveats but as the lessons Phase II hands forward.</w:t>
      </w:r>
    </w:p>
    <w:p w:rsidR="00000000" w:rsidDel="00000000" w:rsidP="00000000" w:rsidRDefault="00000000" w:rsidRPr="00000000" w14:paraId="00000032">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programme closes with </w:t>
      </w:r>
      <w:r w:rsidDel="00000000" w:rsidR="00000000" w:rsidRPr="00000000">
        <w:rPr>
          <w:rFonts w:ascii="Atkinson Hyperlegible Next" w:cs="Atkinson Hyperlegible Next" w:eastAsia="Atkinson Hyperlegible Next" w:hAnsi="Atkinson Hyperlegible Next"/>
          <w:rtl w:val="0"/>
        </w:rPr>
        <w:t xml:space="preserve">near-complete financial delivery</w:t>
      </w:r>
      <w:r w:rsidDel="00000000" w:rsidR="00000000" w:rsidRPr="00000000">
        <w:rPr>
          <w:rFonts w:ascii="Atkinson Hyperlegible Next" w:cs="Atkinson Hyperlegible Next" w:eastAsia="Atkinson Hyperlegible Next" w:hAnsi="Atkinson Hyperlegible Next"/>
          <w:rtl w:val="0"/>
        </w:rPr>
        <w:t xml:space="preserve">, a strengthened evidence base, and a clear direction for institutionalizing OOS CSE.</w:t>
      </w:r>
    </w:p>
    <w:p w:rsidR="00000000" w:rsidDel="00000000" w:rsidP="00000000" w:rsidRDefault="00000000" w:rsidRPr="00000000" w14:paraId="00000033">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3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ji40ai14eiwe" w:id="6"/>
      <w:bookmarkEnd w:id="6"/>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1.  Programme overview and Phase II at a glance</w:t>
      </w:r>
    </w:p>
    <w:p w:rsidR="00000000" w:rsidDel="00000000" w:rsidP="00000000" w:rsidRDefault="00000000" w:rsidRPr="00000000" w14:paraId="00000036">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Global Programme on Out-of-School CSE was launched by UNFPA in 2019 with support from the Government of Norway. Its purpose is to support the dissemination and uptake of the United Nations</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i w:val="1"/>
          <w:iCs w:val="1"/>
          <w:rtl w:val="0"/>
        </w:rPr>
        <w:t xml:space="preserve">International Technical and Programmatic Guidance on Out-of-School Comprehensive Sexuality Education</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rtl w:val="0"/>
        </w:rPr>
        <w:t xml:space="preserve">(the Out-of-School Guidance, published in 2020), and to extend CSE beyond the classroom to the young people least likely to be reached in school. Out-of-school settings make it possible to bring together young people of similar backgrounds in smaller groups with longer, more flexible and more interactive sessions, often linked to sexual and reproductive health (SRH) services.</w:t>
      </w:r>
    </w:p>
    <w:p w:rsidR="00000000" w:rsidDel="00000000" w:rsidP="00000000" w:rsidRDefault="00000000" w:rsidRPr="00000000" w14:paraId="00000037">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ijb403ne12gw" w:id="7"/>
      <w:bookmarkEnd w:id="7"/>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Goal, pillars and outcomes</w:t>
      </w:r>
    </w:p>
    <w:p w:rsidR="00000000" w:rsidDel="00000000" w:rsidP="00000000" w:rsidRDefault="00000000" w:rsidRPr="00000000" w14:paraId="0000003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programme goal is</w:t>
      </w:r>
      <w:r w:rsidDel="00000000" w:rsidR="00000000" w:rsidRPr="00000000">
        <w:rPr>
          <w:rFonts w:ascii="Atkinson Hyperlegible Next" w:cs="Atkinson Hyperlegible Next" w:eastAsia="Atkinson Hyperlegible Next" w:hAnsi="Atkinson Hyperlegible Next"/>
          <w:b w:val="1"/>
          <w:bCs w:val="1"/>
          <w:color w:val="1155cc"/>
          <w:rtl w:val="0"/>
        </w:rPr>
        <w:t xml:space="preserve"> to empower and equip adolescents and young people from specific left-behind groups with the information and skills they need, through out-of-school CSE, to make informed choices about their sexual and reproductive health and rights (SRHR) and well-being.</w:t>
      </w:r>
      <w:r w:rsidDel="00000000" w:rsidR="00000000" w:rsidRPr="00000000">
        <w:rPr>
          <w:rFonts w:ascii="Atkinson Hyperlegible Next" w:cs="Atkinson Hyperlegible Next" w:eastAsia="Atkinson Hyperlegible Next" w:hAnsi="Atkinson Hyperlegible Next"/>
          <w:rtl w:val="0"/>
        </w:rPr>
        <w:t xml:space="preserve"> Work is organized around three pillars:</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5265"/>
        <w:tblGridChange w:id="0">
          <w:tblGrid>
            <w:gridCol w:w="3645"/>
            <w:gridCol w:w="5265"/>
          </w:tblGrid>
        </w:tblGridChange>
      </w:tblGrid>
      <w:tr>
        <w:trPr>
          <w:cantSplit w:val="0"/>
          <w:trHeight w:val="390" w:hRule="atLeast"/>
          <w:tblHeader w:val="0"/>
        </w:trPr>
        <w:tc>
          <w:tcPr>
            <w:tcBorders>
              <w:top w:color="b9c9dc" w:space="0" w:sz="4" w:val="single"/>
              <w:left w:color="b9c9dc" w:space="0" w:sz="4" w:val="single"/>
              <w:bottom w:color="b9c9dc" w:space="0" w:sz="4" w:val="single"/>
              <w:right w:color="b9c9dc" w:space="0" w:sz="4" w:val="single"/>
            </w:tcBorders>
            <w:shd w:fill="1f3a5f" w:val="clear"/>
            <w:tcMar>
              <w:top w:w="80.0" w:type="dxa"/>
              <w:left w:w="120.0" w:type="dxa"/>
              <w:bottom w:w="80.0" w:type="dxa"/>
              <w:right w:w="120.0" w:type="dxa"/>
            </w:tcMar>
            <w:vAlign w:val="top"/>
          </w:tcPr>
          <w:p w:rsidR="00000000" w:rsidDel="00000000" w:rsidP="00000000" w:rsidRDefault="00000000" w:rsidRPr="00000000" w14:paraId="00000039">
            <w:pPr>
              <w:spacing w:line="268.8" w:lineRule="auto"/>
              <w:rPr>
                <w:rFonts w:ascii="Atkinson Hyperlegible Next" w:cs="Atkinson Hyperlegible Next" w:eastAsia="Atkinson Hyperlegible Next" w:hAnsi="Atkinson Hyperlegible Next"/>
                <w:b w:val="1"/>
                <w:bCs w:val="1"/>
                <w:color w:val="ffffff"/>
                <w:sz w:val="19"/>
                <w:szCs w:val="19"/>
              </w:rPr>
            </w:pPr>
            <w:r w:rsidDel="00000000" w:rsidR="00000000" w:rsidRPr="00000000">
              <w:rPr>
                <w:rFonts w:ascii="Atkinson Hyperlegible Next" w:cs="Atkinson Hyperlegible Next" w:eastAsia="Atkinson Hyperlegible Next" w:hAnsi="Atkinson Hyperlegible Next"/>
                <w:b w:val="1"/>
                <w:bCs w:val="1"/>
                <w:color w:val="ffffff"/>
                <w:sz w:val="19"/>
                <w:szCs w:val="19"/>
                <w:rtl w:val="0"/>
              </w:rPr>
              <w:t xml:space="preserve">Pillar</w:t>
            </w:r>
          </w:p>
        </w:tc>
        <w:tc>
          <w:tcPr>
            <w:tcBorders>
              <w:top w:color="b9c9dc" w:space="0" w:sz="4" w:val="single"/>
              <w:left w:color="000000" w:space="0" w:sz="0" w:val="nil"/>
              <w:bottom w:color="b9c9dc" w:space="0" w:sz="4" w:val="single"/>
              <w:right w:color="b9c9dc" w:space="0" w:sz="4" w:val="single"/>
            </w:tcBorders>
            <w:shd w:fill="1f3a5f" w:val="clear"/>
            <w:tcMar>
              <w:top w:w="80.0" w:type="dxa"/>
              <w:left w:w="120.0" w:type="dxa"/>
              <w:bottom w:w="80.0" w:type="dxa"/>
              <w:right w:w="120.0" w:type="dxa"/>
            </w:tcMar>
            <w:vAlign w:val="top"/>
          </w:tcPr>
          <w:p w:rsidR="00000000" w:rsidDel="00000000" w:rsidP="00000000" w:rsidRDefault="00000000" w:rsidRPr="00000000" w14:paraId="0000003A">
            <w:pPr>
              <w:spacing w:line="268.8" w:lineRule="auto"/>
              <w:rPr>
                <w:rFonts w:ascii="Atkinson Hyperlegible Next" w:cs="Atkinson Hyperlegible Next" w:eastAsia="Atkinson Hyperlegible Next" w:hAnsi="Atkinson Hyperlegible Next"/>
                <w:b w:val="1"/>
                <w:bCs w:val="1"/>
                <w:color w:val="ffffff"/>
                <w:sz w:val="19"/>
                <w:szCs w:val="19"/>
              </w:rPr>
            </w:pPr>
            <w:r w:rsidDel="00000000" w:rsidR="00000000" w:rsidRPr="00000000">
              <w:rPr>
                <w:rFonts w:ascii="Atkinson Hyperlegible Next" w:cs="Atkinson Hyperlegible Next" w:eastAsia="Atkinson Hyperlegible Next" w:hAnsi="Atkinson Hyperlegible Next"/>
                <w:b w:val="1"/>
                <w:bCs w:val="1"/>
                <w:color w:val="ffffff"/>
                <w:sz w:val="19"/>
                <w:szCs w:val="19"/>
                <w:rtl w:val="0"/>
              </w:rPr>
              <w:t xml:space="preserve">Outcome</w:t>
            </w:r>
          </w:p>
        </w:tc>
      </w:tr>
      <w:tr>
        <w:trPr>
          <w:cantSplit w:val="0"/>
          <w:trHeight w:val="615" w:hRule="atLeast"/>
          <w:tblHeader w:val="0"/>
        </w:trPr>
        <w:tc>
          <w:tcPr>
            <w:tcBorders>
              <w:top w:color="000000" w:space="0" w:sz="0" w:val="nil"/>
              <w:left w:color="b9c9dc" w:space="0" w:sz="4" w:val="single"/>
              <w:bottom w:color="b9c9dc" w:space="0" w:sz="4" w:val="single"/>
              <w:right w:color="b9c9dc" w:space="0" w:sz="4" w:val="single"/>
            </w:tcBorders>
            <w:tcMar>
              <w:top w:w="80.0" w:type="dxa"/>
              <w:left w:w="120.0" w:type="dxa"/>
              <w:bottom w:w="80.0" w:type="dxa"/>
              <w:right w:w="120.0" w:type="dxa"/>
            </w:tcMar>
            <w:vAlign w:val="top"/>
          </w:tcPr>
          <w:p w:rsidR="00000000" w:rsidDel="00000000" w:rsidP="00000000" w:rsidRDefault="00000000" w:rsidRPr="00000000" w14:paraId="0000003B">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1.  Dissemination and use of the Out-of-School Guidance</w:t>
            </w:r>
          </w:p>
        </w:tc>
        <w:tc>
          <w:tcPr>
            <w:tcBorders>
              <w:top w:color="000000" w:space="0" w:sz="0" w:val="nil"/>
              <w:left w:color="000000" w:space="0" w:sz="0" w:val="nil"/>
              <w:bottom w:color="b9c9dc" w:space="0" w:sz="4" w:val="single"/>
              <w:right w:color="b9c9dc" w:space="0" w:sz="4" w:val="single"/>
            </w:tcBorders>
            <w:tcMar>
              <w:top w:w="80.0" w:type="dxa"/>
              <w:left w:w="120.0" w:type="dxa"/>
              <w:bottom w:w="80.0" w:type="dxa"/>
              <w:right w:w="120.0" w:type="dxa"/>
            </w:tcMar>
            <w:vAlign w:val="top"/>
          </w:tcPr>
          <w:p w:rsidR="00000000" w:rsidDel="00000000" w:rsidP="00000000" w:rsidRDefault="00000000" w:rsidRPr="00000000" w14:paraId="0000003C">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Outcome 1: The Out-of-School Guidance is rolled out at regional level and adapted to local contexts in the countries.</w:t>
            </w:r>
          </w:p>
        </w:tc>
      </w:tr>
      <w:tr>
        <w:trPr>
          <w:cantSplit w:val="0"/>
          <w:trHeight w:val="615" w:hRule="atLeast"/>
          <w:tblHeader w:val="0"/>
        </w:trPr>
        <w:tc>
          <w:tcPr>
            <w:tcBorders>
              <w:top w:color="000000" w:space="0" w:sz="0" w:val="nil"/>
              <w:left w:color="b9c9dc" w:space="0" w:sz="4" w:val="single"/>
              <w:bottom w:color="b9c9dc" w:space="0" w:sz="4" w:val="single"/>
              <w:right w:color="b9c9dc" w:space="0" w:sz="4" w:val="single"/>
            </w:tcBorders>
            <w:shd w:fill="eef3f9" w:val="clear"/>
            <w:tcMar>
              <w:top w:w="80.0" w:type="dxa"/>
              <w:left w:w="120.0" w:type="dxa"/>
              <w:bottom w:w="80.0" w:type="dxa"/>
              <w:right w:w="120.0" w:type="dxa"/>
            </w:tcMar>
            <w:vAlign w:val="top"/>
          </w:tcPr>
          <w:p w:rsidR="00000000" w:rsidDel="00000000" w:rsidP="00000000" w:rsidRDefault="00000000" w:rsidRPr="00000000" w14:paraId="0000003D">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2.  Programme implementation</w:t>
            </w:r>
          </w:p>
        </w:tc>
        <w:tc>
          <w:tcPr>
            <w:tcBorders>
              <w:top w:color="000000" w:space="0" w:sz="0" w:val="nil"/>
              <w:left w:color="000000" w:space="0" w:sz="0" w:val="nil"/>
              <w:bottom w:color="b9c9dc" w:space="0" w:sz="4" w:val="single"/>
              <w:right w:color="b9c9dc" w:space="0" w:sz="4" w:val="single"/>
            </w:tcBorders>
            <w:shd w:fill="eef3f9" w:val="clear"/>
            <w:tcMar>
              <w:top w:w="80.0" w:type="dxa"/>
              <w:left w:w="120.0" w:type="dxa"/>
              <w:bottom w:w="80.0" w:type="dxa"/>
              <w:right w:w="120.0" w:type="dxa"/>
            </w:tcMar>
            <w:vAlign w:val="top"/>
          </w:tcPr>
          <w:p w:rsidR="00000000" w:rsidDel="00000000" w:rsidP="00000000" w:rsidRDefault="00000000" w:rsidRPr="00000000" w14:paraId="0000003E">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Outcome 2: Participatory, relevant and contextualized programming on OOS CSE is established and tested.</w:t>
            </w:r>
          </w:p>
        </w:tc>
      </w:tr>
      <w:tr>
        <w:trPr>
          <w:cantSplit w:val="0"/>
          <w:trHeight w:val="615" w:hRule="atLeast"/>
          <w:tblHeader w:val="0"/>
        </w:trPr>
        <w:tc>
          <w:tcPr>
            <w:tcBorders>
              <w:top w:color="000000" w:space="0" w:sz="0" w:val="nil"/>
              <w:left w:color="b9c9dc" w:space="0" w:sz="4" w:val="single"/>
              <w:bottom w:color="b9c9dc" w:space="0" w:sz="4" w:val="single"/>
              <w:right w:color="b9c9dc" w:space="0" w:sz="4" w:val="single"/>
            </w:tcBorders>
            <w:tcMar>
              <w:top w:w="80.0" w:type="dxa"/>
              <w:left w:w="120.0" w:type="dxa"/>
              <w:bottom w:w="80.0" w:type="dxa"/>
              <w:right w:w="120.0" w:type="dxa"/>
            </w:tcMar>
            <w:vAlign w:val="top"/>
          </w:tcPr>
          <w:p w:rsidR="00000000" w:rsidDel="00000000" w:rsidP="00000000" w:rsidRDefault="00000000" w:rsidRPr="00000000" w14:paraId="0000003F">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3.  Data and evidence generation and dissemination</w:t>
            </w:r>
          </w:p>
        </w:tc>
        <w:tc>
          <w:tcPr>
            <w:tcBorders>
              <w:top w:color="000000" w:space="0" w:sz="0" w:val="nil"/>
              <w:left w:color="000000" w:space="0" w:sz="0" w:val="nil"/>
              <w:bottom w:color="b9c9dc" w:space="0" w:sz="4" w:val="single"/>
              <w:right w:color="b9c9dc" w:space="0" w:sz="4" w:val="single"/>
            </w:tcBorders>
            <w:tcMar>
              <w:top w:w="80.0" w:type="dxa"/>
              <w:left w:w="120.0" w:type="dxa"/>
              <w:bottom w:w="80.0" w:type="dxa"/>
              <w:right w:w="120.0" w:type="dxa"/>
            </w:tcMar>
            <w:vAlign w:val="top"/>
          </w:tcPr>
          <w:p w:rsidR="00000000" w:rsidDel="00000000" w:rsidP="00000000" w:rsidRDefault="00000000" w:rsidRPr="00000000" w14:paraId="00000040">
            <w:pPr>
              <w:spacing w:line="268.8" w:lineRule="auto"/>
              <w:rPr>
                <w:rFonts w:ascii="Atkinson Hyperlegible Next" w:cs="Atkinson Hyperlegible Next" w:eastAsia="Atkinson Hyperlegible Next" w:hAnsi="Atkinson Hyperlegible Next"/>
                <w:sz w:val="19"/>
                <w:szCs w:val="19"/>
              </w:rPr>
            </w:pPr>
            <w:r w:rsidDel="00000000" w:rsidR="00000000" w:rsidRPr="00000000">
              <w:rPr>
                <w:rFonts w:ascii="Atkinson Hyperlegible Next" w:cs="Atkinson Hyperlegible Next" w:eastAsia="Atkinson Hyperlegible Next" w:hAnsi="Atkinson Hyperlegible Next"/>
                <w:sz w:val="19"/>
                <w:szCs w:val="19"/>
                <w:rtl w:val="0"/>
              </w:rPr>
              <w:t xml:space="preserve">Outcome 3: Documentation and dissemination of strategic information, lessons learned and best practices.</w:t>
            </w:r>
          </w:p>
        </w:tc>
      </w:tr>
    </w:tbl>
    <w:p w:rsidR="00000000" w:rsidDel="00000000" w:rsidP="00000000" w:rsidRDefault="00000000" w:rsidRPr="00000000" w14:paraId="00000041">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42">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7ghqxnafpd5u" w:id="8"/>
      <w:bookmarkEnd w:id="8"/>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From Phase I to Phase II</w:t>
      </w:r>
    </w:p>
    <w:p w:rsidR="00000000" w:rsidDel="00000000" w:rsidP="00000000" w:rsidRDefault="00000000" w:rsidRPr="00000000" w14:paraId="00000043">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 (2019–2022) was implemented in five countries (Colombia, Ethiopia, Ghana, Iran and Malawi) and served as proof of concept for the Out-of-School Guidance. At the end of 2022 the Government of Norway extended its funding, and Phase II added seven countries (Indonesia, Moldova, Nicaragua, Nigeria, Palestine, Philippines and Tunisia), bringing the total to 12, and for the first time covering all six UNFPA regions. The Government of Spain provided complementary support in 2023 through the “Skills4Life” programme (supporting work in Colombia, Ethiopia and Tunisia) and later increased its contribution. Although the original programme document was framed around the period 2022-2024, implementation in practice ran during 2023-2024, followed by a 2025 no-cost extension to consolidate results and finalize evidence products.</w:t>
      </w:r>
    </w:p>
    <w:p w:rsidR="00000000" w:rsidDel="00000000" w:rsidP="00000000" w:rsidRDefault="00000000" w:rsidRPr="00000000" w14:paraId="00000044">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ntvmvugmapdw" w:id="9"/>
      <w:bookmarkEnd w:id="9"/>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Target groups</w:t>
      </w:r>
    </w:p>
    <w:p w:rsidR="00000000" w:rsidDel="00000000" w:rsidP="00000000" w:rsidRDefault="00000000" w:rsidRPr="00000000" w14:paraId="00000045">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Across the 12 countries the programme successfully targeted an intentionally diverse set of left-behind groups: young people with disabilities, young people living with HIV, married adolescent girls, young people in detention or formerly detained, refugees and displaced youth, rural and urban-poor adolescents, Indigenous and ethnic-minority youth, young key populations (LGBTQI+ young people, people who inject drugs and adolescents and young people selling or exploited in transactional sex). Programming in each country was tailored to the specific groups, contexts and sensitivities faced.</w:t>
      </w:r>
    </w:p>
    <w:p w:rsidR="00000000" w:rsidDel="00000000" w:rsidP="00000000" w:rsidRDefault="00000000" w:rsidRPr="00000000" w14:paraId="00000046">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i1f6ez3m16lg" w:id="10"/>
      <w:bookmarkEnd w:id="10"/>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Funding and governance</w:t>
      </w:r>
    </w:p>
    <w:p w:rsidR="00000000" w:rsidDel="00000000" w:rsidP="00000000" w:rsidRDefault="00000000" w:rsidRPr="00000000" w14:paraId="00000047">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Norad provided US$4.2 million in funding for Phase II. A technical team at UNFPA Headquarters coordinated the programme, in collaboration with youth focal points in UNFPA regional and country offices and in partnership with WHO/HRP on the research and intensive-monitoring components, as well as with national governments, civil society implementing partners and youth-led organizations.</w:t>
      </w:r>
    </w:p>
    <w:p w:rsidR="00000000" w:rsidDel="00000000" w:rsidP="00000000" w:rsidRDefault="00000000" w:rsidRPr="00000000" w14:paraId="00000048">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49">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e0ks81us4nvd" w:id="11"/>
      <w:bookmarkEnd w:id="1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k4ovmh1fu4ed" w:id="12"/>
      <w:bookmarkEnd w:id="12"/>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2.  Context evolution during Phase II</w:t>
      </w:r>
    </w:p>
    <w:p w:rsidR="00000000" w:rsidDel="00000000" w:rsidP="00000000" w:rsidRDefault="00000000" w:rsidRPr="00000000" w14:paraId="0000004C">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 was implemented in a challenging operating environment that did not merely persist but hardened year on year. The programme began in 2023 amid a period of heterogeneous crises and uncertainty; by the 2025 extension, country teams were navigating conflicts, mass displacement, climate adversities, economic hardships and an increasingly organized anti-rights movement – often facing several of these crises at once. The programme’s central adaptation story is how it kept reaching the most excluded young people as the barriers around them multiplied. In several countries, sustaining delivery was itself an achievement.</w:t>
      </w:r>
    </w:p>
    <w:p w:rsidR="00000000" w:rsidDel="00000000" w:rsidP="00000000" w:rsidRDefault="00000000" w:rsidRPr="00000000" w14:paraId="0000004D">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1d3vqbn0ag40" w:id="13"/>
      <w:bookmarkEnd w:id="13"/>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Intensifying opposition and disinformation</w:t>
      </w:r>
    </w:p>
    <w:p w:rsidR="00000000" w:rsidDel="00000000" w:rsidP="00000000" w:rsidRDefault="00000000" w:rsidRPr="00000000" w14:paraId="0000004E">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Opposition to CSE – which had already been flagged as a high-probability, high-impact risk in the Phase II design – became more organized and more online </w:t>
      </w:r>
      <w:r w:rsidDel="00000000" w:rsidR="00000000" w:rsidRPr="00000000">
        <w:rPr>
          <w:rFonts w:ascii="Atkinson Hyperlegible Next" w:cs="Atkinson Hyperlegible Next" w:eastAsia="Atkinson Hyperlegible Next" w:hAnsi="Atkinson Hyperlegible Next"/>
          <w:rtl w:val="0"/>
        </w:rPr>
        <w:t xml:space="preserve">across the world </w:t>
      </w:r>
      <w:r w:rsidDel="00000000" w:rsidR="00000000" w:rsidRPr="00000000">
        <w:rPr>
          <w:rFonts w:ascii="Atkinson Hyperlegible Next" w:cs="Atkinson Hyperlegible Next" w:eastAsia="Atkinson Hyperlegible Next" w:hAnsi="Atkinson Hyperlegible Next"/>
          <w:rtl w:val="0"/>
        </w:rPr>
        <w:t xml:space="preserve">during the period of this Phase. Misinformation and disinformation campaigns grew, and in January 2025 conservative forces </w:t>
      </w:r>
      <w:r w:rsidDel="00000000" w:rsidR="00000000" w:rsidRPr="00000000">
        <w:rPr>
          <w:rFonts w:ascii="Atkinson Hyperlegible Next" w:cs="Atkinson Hyperlegible Next" w:eastAsia="Atkinson Hyperlegible Next" w:hAnsi="Atkinson Hyperlegible Next"/>
          <w:rtl w:val="0"/>
        </w:rPr>
        <w:t xml:space="preserve">in Philippines</w:t>
      </w:r>
      <w:r w:rsidDel="00000000" w:rsidR="00000000" w:rsidRPr="00000000">
        <w:rPr>
          <w:rFonts w:ascii="Atkinson Hyperlegible Next" w:cs="Atkinson Hyperlegible Next" w:eastAsia="Atkinson Hyperlegible Next" w:hAnsi="Atkinson Hyperlegible Next"/>
          <w:rtl w:val="0"/>
        </w:rPr>
        <w:t xml:space="preserve"> launched a large-scale anti-CSE social-media campaign that prompted the government to revise and rename its in-school programme. In Nigeria, parental and faith-based opposition led the programme to reframe its curriculum as “Comprehensive Life Skills Education” (CLSE) to build stakeholder buy-in. In Tunisia, a shrinking civic space, including the continued criminalization of same-sex acts under Article 230, narrowed the room for openly delivering CSE to LGBTQI+ youth.</w:t>
      </w:r>
    </w:p>
    <w:p w:rsidR="00000000" w:rsidDel="00000000" w:rsidP="00000000" w:rsidRDefault="00000000" w:rsidRPr="00000000" w14:paraId="0000004F">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juos85xh0vbg" w:id="14"/>
      <w:bookmarkEnd w:id="14"/>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Humanitarian emergencies and conflict</w:t>
      </w:r>
      <w:r w:rsidDel="00000000" w:rsidR="00000000" w:rsidRPr="00000000">
        <w:rPr>
          <w:rtl w:val="0"/>
        </w:rPr>
      </w:r>
    </w:p>
    <w:p w:rsidR="00000000" w:rsidDel="00000000" w:rsidP="00000000" w:rsidRDefault="00000000" w:rsidRPr="00000000" w14:paraId="00000050">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Several programme countries were hit by an acute crisis. In the Gaza Strip, prolonged war, repeated mass displacement and the destruction of civilian infrastructure collapsed formal schooling and sharply heightened protection risks for adolescent girls, pushing the programme towards informal, community-based safe spaces with integrated mental-health support. In Iran, geopolitical instability combined with severe energy shortages to delay activities and prompt a strategic pivot towards highly deprived Afghan refugee youth and HIV-affected populations in border provinces. In Colombia, ongoing armed conflict, internal displacement and Venezuelan migration deepened access barriers and risks of gender-based violence (GBV) for rural and migrant communities.</w:t>
      </w:r>
    </w:p>
    <w:p w:rsidR="00000000" w:rsidDel="00000000" w:rsidP="00000000" w:rsidRDefault="00000000" w:rsidRPr="00000000" w14:paraId="00000051">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uvblhsw31cpz" w:id="15"/>
      <w:bookmarkEnd w:id="15"/>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Climate shocks as a threat multiplier</w:t>
      </w:r>
    </w:p>
    <w:p w:rsidR="00000000" w:rsidDel="00000000" w:rsidP="00000000" w:rsidRDefault="00000000" w:rsidRPr="00000000" w14:paraId="00000052">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Climate change acted as a threat multiplier for out-of-school young people. In Nigeria, flooding in the south and desertification in the north displaced over 6,000 people and destroyed schools and health facilities, cutting rural girls and women off from reproductive-health services. </w:t>
      </w:r>
      <w:r w:rsidDel="00000000" w:rsidR="00000000" w:rsidRPr="00000000">
        <w:rPr>
          <w:rFonts w:ascii="Atkinson Hyperlegible Next" w:cs="Atkinson Hyperlegible Next" w:eastAsia="Atkinson Hyperlegible Next" w:hAnsi="Atkinson Hyperlegible Next"/>
          <w:rtl w:val="0"/>
        </w:rPr>
        <w:t xml:space="preserve">In Philippines</w:t>
      </w:r>
      <w:r w:rsidDel="00000000" w:rsidR="00000000" w:rsidRPr="00000000">
        <w:rPr>
          <w:rFonts w:ascii="Atkinson Hyperlegible Next" w:cs="Atkinson Hyperlegible Next" w:eastAsia="Atkinson Hyperlegible Next" w:hAnsi="Atkinson Hyperlegible Next"/>
          <w:rtl w:val="0"/>
        </w:rPr>
        <w:t xml:space="preserve">, the programme’s target beneficiaries (urban-poor youth in low-lying coastal areas of the cities of Navotas and Malabon) faced frequent severe flooding and displacement to evacuation centres, adding environmental stress to existing socioeconomic barriers.</w:t>
      </w:r>
    </w:p>
    <w:p w:rsidR="00000000" w:rsidDel="00000000" w:rsidP="00000000" w:rsidRDefault="00000000" w:rsidRPr="00000000" w14:paraId="00000053">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rt7m4eupyy2c" w:id="16"/>
      <w:bookmarkEnd w:id="16"/>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Economic strain</w:t>
      </w:r>
      <w:r w:rsidDel="00000000" w:rsidR="00000000" w:rsidRPr="00000000">
        <w:rPr>
          <w:rtl w:val="0"/>
        </w:rPr>
      </w:r>
    </w:p>
    <w:p w:rsidR="00000000" w:rsidDel="00000000" w:rsidP="00000000" w:rsidRDefault="00000000" w:rsidRPr="00000000" w14:paraId="00000054">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Economic strain raised the cost and difficulty of delivery. In Malawi – where many young people are out of school and exposed to early and unintended pregnancy, sexual coercion and HIV – severe fuel scarcity hindered travel to sites, and foreign-exchange shortages drove up the price of essential supplies.</w:t>
      </w:r>
    </w:p>
    <w:p w:rsidR="00000000" w:rsidDel="00000000" w:rsidP="00000000" w:rsidRDefault="00000000" w:rsidRPr="00000000" w14:paraId="00000055">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olu44n538v4w" w:id="17"/>
      <w:bookmarkEnd w:id="17"/>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Windows of opportunity</w:t>
      </w:r>
    </w:p>
    <w:p w:rsidR="00000000" w:rsidDel="00000000" w:rsidP="00000000" w:rsidRDefault="00000000" w:rsidRPr="00000000" w14:paraId="00000056">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Some contexts opened legislative and policy windows that the programme moved to use. In Moldova, Parliament criminalized digital violence, online harassment, stalking, forced marriage and femicide, and </w:t>
      </w:r>
      <w:r w:rsidDel="00000000" w:rsidR="00000000" w:rsidRPr="00000000">
        <w:rPr>
          <w:rFonts w:ascii="Atkinson Hyperlegible Next" w:cs="Atkinson Hyperlegible Next" w:eastAsia="Atkinson Hyperlegible Next" w:hAnsi="Atkinson Hyperlegible Next"/>
          <w:rtl w:val="0"/>
        </w:rPr>
        <w:t xml:space="preserve">the Ministry of Education and Research finalized a new national curriculum framework that integrates CSE under “Health and Well-being Education.” In Colombia, legal victories set the minimum marriage age at 18 and decriminalized abortion up to 24 weeks, while the National Development Plan (2022–2026) championed CSE as a tool for gender equality.</w:t>
      </w:r>
      <w:r w:rsidDel="00000000" w:rsidR="00000000" w:rsidRPr="00000000">
        <w:rPr>
          <w:rtl w:val="0"/>
        </w:rPr>
      </w:r>
    </w:p>
    <w:p w:rsidR="00000000" w:rsidDel="00000000" w:rsidP="00000000" w:rsidRDefault="00000000" w:rsidRPr="00000000" w14:paraId="00000057">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5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lt46hfn60idq" w:id="18"/>
      <w:bookmarkEnd w:id="18"/>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sb6zf252a7kt" w:id="19"/>
      <w:bookmarkEnd w:id="19"/>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3.  Main achievements</w:t>
      </w:r>
    </w:p>
    <w:p w:rsidR="00000000" w:rsidDel="00000000" w:rsidP="00000000" w:rsidRDefault="00000000" w:rsidRPr="00000000" w14:paraId="0000005B">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mp5y6c6j882g" w:id="20"/>
      <w:bookmarkEnd w:id="20"/>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Main Phase II results at a glance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415" w:hRule="atLeast"/>
          <w:tblHeader w:val="0"/>
        </w:trPr>
        <w:tc>
          <w:tcPr>
            <w:tcBorders>
              <w:top w:color="000000" w:space="0" w:sz="0" w:val="nil"/>
              <w:left w:color="1f3a5f" w:space="0" w:sz="22" w:val="single"/>
              <w:bottom w:color="000000" w:space="0" w:sz="0" w:val="nil"/>
              <w:right w:color="000000" w:space="0" w:sz="0" w:val="nil"/>
            </w:tcBorders>
            <w:shd w:fill="f2f6fb" w:val="clear"/>
            <w:tcMar>
              <w:top w:w="120.0" w:type="dxa"/>
              <w:left w:w="160.0" w:type="dxa"/>
              <w:bottom w:w="120.0" w:type="dxa"/>
              <w:right w:w="160.0" w:type="dxa"/>
            </w:tcMar>
            <w:vAlign w:val="top"/>
          </w:tcPr>
          <w:p w:rsidR="00000000" w:rsidDel="00000000" w:rsidP="00000000" w:rsidRDefault="00000000" w:rsidRPr="00000000" w14:paraId="0000005C">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Headline figures - Phase II</w:t>
            </w:r>
          </w:p>
          <w:p w:rsidR="00000000" w:rsidDel="00000000" w:rsidP="00000000" w:rsidRDefault="00000000" w:rsidRPr="00000000" w14:paraId="0000005D">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70,000+ </w:t>
            </w:r>
            <w:r w:rsidDel="00000000" w:rsidR="00000000" w:rsidRPr="00000000">
              <w:rPr>
                <w:rFonts w:ascii="Atkinson Hyperlegible Next" w:cs="Atkinson Hyperlegible Next" w:eastAsia="Atkinson Hyperlegible Next" w:hAnsi="Atkinson Hyperlegible Next"/>
                <w:rtl w:val="0"/>
              </w:rPr>
              <w:t xml:space="preserve">young people directly reached with out-of-school CSE</w:t>
            </w:r>
          </w:p>
          <w:p w:rsidR="00000000" w:rsidDel="00000000" w:rsidP="00000000" w:rsidRDefault="00000000" w:rsidRPr="00000000" w14:paraId="0000005E">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400,000+ </w:t>
            </w:r>
            <w:r w:rsidDel="00000000" w:rsidR="00000000" w:rsidRPr="00000000">
              <w:rPr>
                <w:rFonts w:ascii="Atkinson Hyperlegible Next" w:cs="Atkinson Hyperlegible Next" w:eastAsia="Atkinson Hyperlegible Next" w:hAnsi="Atkinson Hyperlegible Next"/>
                <w:rtl w:val="0"/>
              </w:rPr>
              <w:t xml:space="preserve">additional young people and community members reached through digital platforms, radio and youth-led media</w:t>
            </w:r>
          </w:p>
          <w:p w:rsidR="00000000" w:rsidDel="00000000" w:rsidP="00000000" w:rsidRDefault="00000000" w:rsidRPr="00000000" w14:paraId="0000005F">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12 countries </w:t>
            </w:r>
            <w:r w:rsidDel="00000000" w:rsidR="00000000" w:rsidRPr="00000000">
              <w:rPr>
                <w:rFonts w:ascii="Atkinson Hyperlegible Next" w:cs="Atkinson Hyperlegible Next" w:eastAsia="Atkinson Hyperlegible Next" w:hAnsi="Atkinson Hyperlegible Next"/>
                <w:rtl w:val="0"/>
              </w:rPr>
              <w:t xml:space="preserve">across all six UNFPA regions (up from 5 in Phase I)</w:t>
            </w:r>
          </w:p>
          <w:p w:rsidR="00000000" w:rsidDel="00000000" w:rsidP="00000000" w:rsidRDefault="00000000" w:rsidRPr="00000000" w14:paraId="00000060">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800+ </w:t>
            </w:r>
            <w:r w:rsidDel="00000000" w:rsidR="00000000" w:rsidRPr="00000000">
              <w:rPr>
                <w:rFonts w:ascii="Atkinson Hyperlegible Next" w:cs="Atkinson Hyperlegible Next" w:eastAsia="Atkinson Hyperlegible Next" w:hAnsi="Atkinson Hyperlegible Next"/>
                <w:rtl w:val="0"/>
              </w:rPr>
              <w:t xml:space="preserve">facilitators and educators trained</w:t>
            </w:r>
          </w:p>
          <w:p w:rsidR="00000000" w:rsidDel="00000000" w:rsidP="00000000" w:rsidRDefault="00000000" w:rsidRPr="00000000" w14:paraId="00000061">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7,000+ </w:t>
            </w:r>
            <w:r w:rsidDel="00000000" w:rsidR="00000000" w:rsidRPr="00000000">
              <w:rPr>
                <w:rFonts w:ascii="Atkinson Hyperlegible Next" w:cs="Atkinson Hyperlegible Next" w:eastAsia="Atkinson Hyperlegible Next" w:hAnsi="Atkinson Hyperlegible Next"/>
                <w:rtl w:val="0"/>
              </w:rPr>
              <w:t xml:space="preserve">community gatekeepers engaged</w:t>
            </w:r>
          </w:p>
          <w:p w:rsidR="00000000" w:rsidDel="00000000" w:rsidP="00000000" w:rsidRDefault="00000000" w:rsidRPr="00000000" w14:paraId="00000062">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97-100% </w:t>
            </w:r>
            <w:r w:rsidDel="00000000" w:rsidR="00000000" w:rsidRPr="00000000">
              <w:rPr>
                <w:rFonts w:ascii="Atkinson Hyperlegible Next" w:cs="Atkinson Hyperlegible Next" w:eastAsia="Atkinson Hyperlegible Next" w:hAnsi="Atkinson Hyperlegible Next"/>
                <w:rtl w:val="0"/>
              </w:rPr>
              <w:t xml:space="preserve">of budgeted funds delivered across all business units</w:t>
            </w:r>
          </w:p>
        </w:tc>
      </w:tr>
    </w:tbl>
    <w:p w:rsidR="00000000" w:rsidDel="00000000" w:rsidP="00000000" w:rsidRDefault="00000000" w:rsidRPr="00000000" w14:paraId="00000063">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6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600" w:hRule="atLeast"/>
          <w:tblHeader w:val="0"/>
        </w:trPr>
        <w:tc>
          <w:tcPr>
            <w:tcBorders>
              <w:top w:color="000000" w:space="0" w:sz="0" w:val="nil"/>
              <w:left w:color="127a8a" w:space="0" w:sz="22" w:val="single"/>
              <w:bottom w:color="000000" w:space="0" w:sz="0" w:val="nil"/>
              <w:right w:color="000000" w:space="0" w:sz="0" w:val="nil"/>
            </w:tcBorders>
            <w:shd w:fill="eef3f9" w:val="clear"/>
            <w:tcMar>
              <w:top w:w="120.0" w:type="dxa"/>
              <w:left w:w="160.0" w:type="dxa"/>
              <w:bottom w:w="120.0" w:type="dxa"/>
              <w:right w:w="160.0" w:type="dxa"/>
            </w:tcMar>
            <w:vAlign w:val="top"/>
          </w:tcPr>
          <w:p w:rsidR="00000000" w:rsidDel="00000000" w:rsidP="00000000" w:rsidRDefault="00000000" w:rsidRPr="00000000" w14:paraId="00000065">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Qualitative highlights at a glance</w:t>
            </w:r>
            <w:r w:rsidDel="00000000" w:rsidR="00000000" w:rsidRPr="00000000">
              <w:rPr>
                <w:rtl w:val="0"/>
              </w:rPr>
            </w:r>
          </w:p>
          <w:p w:rsidR="00000000" w:rsidDel="00000000" w:rsidP="00000000" w:rsidRDefault="00000000" w:rsidRPr="00000000" w14:paraId="00000066">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Reach where no one else delivered – </w:t>
            </w:r>
            <w:r w:rsidDel="00000000" w:rsidR="00000000" w:rsidRPr="00000000">
              <w:rPr>
                <w:rFonts w:ascii="Atkinson Hyperlegible Next" w:cs="Atkinson Hyperlegible Next" w:eastAsia="Atkinson Hyperlegible Next" w:hAnsi="Atkinson Hyperlegible Next"/>
                <w:rtl w:val="0"/>
              </w:rPr>
              <w:t xml:space="preserve">the only OOS CSE programme operating in the Gaza Strip</w:t>
            </w:r>
          </w:p>
          <w:p w:rsidR="00000000" w:rsidDel="00000000" w:rsidP="00000000" w:rsidRDefault="00000000" w:rsidRPr="00000000" w14:paraId="00000067">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A new global standard – </w:t>
            </w:r>
            <w:r w:rsidDel="00000000" w:rsidR="00000000" w:rsidRPr="00000000">
              <w:rPr>
                <w:rFonts w:ascii="Atkinson Hyperlegible Next" w:cs="Atkinson Hyperlegible Next" w:eastAsia="Atkinson Hyperlegible Next" w:hAnsi="Atkinson Hyperlegible Next"/>
                <w:rtl w:val="0"/>
              </w:rPr>
              <w:t xml:space="preserve">the evidence-informed Minimum Package for Quality OOS CSE, produced with WHO/HRP</w:t>
            </w:r>
          </w:p>
          <w:p w:rsidR="00000000" w:rsidDel="00000000" w:rsidP="00000000" w:rsidRDefault="00000000" w:rsidRPr="00000000" w14:paraId="00000068">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Independently confirmed effective – </w:t>
            </w:r>
            <w:r w:rsidDel="00000000" w:rsidR="00000000" w:rsidRPr="00000000">
              <w:rPr>
                <w:rFonts w:ascii="Atkinson Hyperlegible Next" w:cs="Atkinson Hyperlegible Next" w:eastAsia="Atkinson Hyperlegible Next" w:hAnsi="Atkinson Hyperlegible Next"/>
                <w:rtl w:val="0"/>
              </w:rPr>
              <w:t xml:space="preserve">implementation </w:t>
            </w:r>
            <w:r w:rsidDel="00000000" w:rsidR="00000000" w:rsidRPr="00000000">
              <w:rPr>
                <w:rFonts w:ascii="Atkinson Hyperlegible Next" w:cs="Atkinson Hyperlegible Next" w:eastAsia="Atkinson Hyperlegible Next" w:hAnsi="Atkinson Hyperlegible Next"/>
                <w:rtl w:val="0"/>
              </w:rPr>
              <w:t xml:space="preserve">research and the rapid assessment found tailored OOS CSE feasible, acceptable and effective</w:t>
            </w:r>
          </w:p>
          <w:p w:rsidR="00000000" w:rsidDel="00000000" w:rsidP="00000000" w:rsidRDefault="00000000" w:rsidRPr="00000000" w14:paraId="00000069">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Institutionalized in national systems – </w:t>
            </w:r>
            <w:r w:rsidDel="00000000" w:rsidR="00000000" w:rsidRPr="00000000">
              <w:rPr>
                <w:rFonts w:ascii="Atkinson Hyperlegible Next" w:cs="Atkinson Hyperlegible Next" w:eastAsia="Atkinson Hyperlegible Next" w:hAnsi="Atkinson Hyperlegible Next"/>
                <w:rtl w:val="0"/>
              </w:rPr>
              <w:t xml:space="preserve">new strategies and curricula in Moldova, Malawi, Nicaragua and Palestine</w:t>
            </w:r>
          </w:p>
          <w:p w:rsidR="00000000" w:rsidDel="00000000" w:rsidP="00000000" w:rsidRDefault="00000000" w:rsidRPr="00000000" w14:paraId="0000006A">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A flagship youth facility – </w:t>
            </w:r>
            <w:r w:rsidDel="00000000" w:rsidR="00000000" w:rsidRPr="00000000">
              <w:rPr>
                <w:rFonts w:ascii="Atkinson Hyperlegible Next" w:cs="Atkinson Hyperlegible Next" w:eastAsia="Atkinson Hyperlegible Next" w:hAnsi="Atkinson Hyperlegible Next"/>
                <w:rtl w:val="0"/>
              </w:rPr>
              <w:t xml:space="preserve">Moldova’s EduLife Hub, a one-stop space for SRHR, life skills and digital learning</w:t>
            </w:r>
          </w:p>
          <w:p w:rsidR="00000000" w:rsidDel="00000000" w:rsidP="00000000" w:rsidRDefault="00000000" w:rsidRPr="00000000" w14:paraId="0000006B">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Specialized facilitation pioneered – </w:t>
            </w:r>
            <w:r w:rsidDel="00000000" w:rsidR="00000000" w:rsidRPr="00000000">
              <w:rPr>
                <w:rFonts w:ascii="Atkinson Hyperlegible Next" w:cs="Atkinson Hyperlegible Next" w:eastAsia="Atkinson Hyperlegible Next" w:hAnsi="Atkinson Hyperlegible Next"/>
                <w:rtl w:val="0"/>
              </w:rPr>
              <w:t xml:space="preserve">trauma-informed and disability-inclusive models in Philippines, Tunisia and Malawi</w:t>
            </w:r>
          </w:p>
          <w:p w:rsidR="00000000" w:rsidDel="00000000" w:rsidP="00000000" w:rsidRDefault="00000000" w:rsidRPr="00000000" w14:paraId="0000006C">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Global advocacy – </w:t>
            </w:r>
            <w:r w:rsidDel="00000000" w:rsidR="00000000" w:rsidRPr="00000000">
              <w:rPr>
                <w:rFonts w:ascii="Atkinson Hyperlegible Next" w:cs="Atkinson Hyperlegible Next" w:eastAsia="Atkinson Hyperlegible Next" w:hAnsi="Atkinson Hyperlegible Next"/>
                <w:rtl w:val="0"/>
              </w:rPr>
              <w:t xml:space="preserve">strengthened Global Partnership Forum with 70+ members</w:t>
            </w:r>
          </w:p>
        </w:tc>
      </w:tr>
    </w:tbl>
    <w:p w:rsidR="00000000" w:rsidDel="00000000" w:rsidP="00000000" w:rsidRDefault="00000000" w:rsidRPr="00000000" w14:paraId="0000006D">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ldccgylzjw5a" w:id="21"/>
      <w:bookmarkEnd w:id="21"/>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 </w:t>
      </w:r>
    </w:p>
    <w:p w:rsidR="00000000" w:rsidDel="00000000" w:rsidP="00000000" w:rsidRDefault="00000000" w:rsidRPr="00000000" w14:paraId="0000006E">
      <w:pPr>
        <w:spacing w:after="60" w:lineRule="auto"/>
        <w:ind w:left="720" w:hanging="360"/>
        <w:rPr>
          <w:rFonts w:ascii="Atkinson Hyperlegible Next" w:cs="Atkinson Hyperlegible Next" w:eastAsia="Atkinson Hyperlegible Next" w:hAnsi="Atkinson Hyperlegible Next"/>
          <w:color w:val="2e75b6"/>
          <w:sz w:val="25"/>
          <w:szCs w:val="25"/>
        </w:rPr>
      </w:pPr>
      <w:r w:rsidDel="00000000" w:rsidR="00000000" w:rsidRPr="00000000">
        <w:rPr>
          <w:rtl w:val="0"/>
        </w:rPr>
      </w:r>
    </w:p>
    <w:p w:rsidR="00000000" w:rsidDel="00000000" w:rsidP="00000000" w:rsidRDefault="00000000" w:rsidRPr="00000000" w14:paraId="0000006F">
      <w:pPr>
        <w:spacing w:after="200" w:line="268.8" w:lineRule="auto"/>
        <w:rPr>
          <w:rFonts w:ascii="Atkinson Hyperlegible Next" w:cs="Atkinson Hyperlegible Next" w:eastAsia="Atkinson Hyperlegible Next" w:hAnsi="Atkinson Hyperlegible Next"/>
          <w:b w:val="1"/>
          <w:bCs w:val="1"/>
          <w:color w:val="2e75b6"/>
          <w:sz w:val="25"/>
          <w:szCs w:val="25"/>
        </w:rPr>
      </w:pPr>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 </w:t>
      </w:r>
    </w:p>
    <w:p w:rsidR="00000000" w:rsidDel="00000000" w:rsidP="00000000" w:rsidRDefault="00000000" w:rsidRPr="00000000" w14:paraId="00000070">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reqxe8jwai7c" w:id="22"/>
      <w:bookmarkEnd w:id="22"/>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ge99j2yauq2x" w:id="23"/>
      <w:bookmarkEnd w:id="23"/>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3.1  Outcome 1 – The Out-of-School Guidance contextualized and promoted</w:t>
      </w:r>
    </w:p>
    <w:p w:rsidR="00000000" w:rsidDel="00000000" w:rsidP="00000000" w:rsidRDefault="00000000" w:rsidRPr="00000000" w14:paraId="00000072">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II’s central achievement against this outcome is a shift from dissemination to institutionalization: in several countries the Guidance moved into government-owned strategies, curricula and delivery systems.</w:t>
      </w:r>
    </w:p>
    <w:p w:rsidR="00000000" w:rsidDel="00000000" w:rsidP="00000000" w:rsidRDefault="00000000" w:rsidRPr="00000000" w14:paraId="00000073">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Institutionalization advanced furthest where the programme worked through, rather than alongside, national systems. Palestine developed national guidance for Comprehensive Life Education with government and civil society; Nicaragua created and launched an Interministerial Strategy for CSE Outside School, together with tailored curricula for rural adolescents and for adolescents with disabilities and their families; Malawi’s localized OOS CSE guidance was validated by a broad stakeholder coalition and rolled out by the Ministry of Youth in 2025; and Moldova’s Ministry of Education and Research folded CSE into a new national curriculum framework for Health and Well-being Education – a deliberate strategy to carry CSE forward under a less contested banner. </w:t>
      </w:r>
    </w:p>
    <w:p w:rsidR="00000000" w:rsidDel="00000000" w:rsidP="00000000" w:rsidRDefault="00000000" w:rsidRPr="00000000" w14:paraId="0000007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programme ensured contextual and accessible adaptation of the guidance: materials were produced in Koreguaje and Quechua, Arabic, Romanian and Russian, and translated into Braille in Nigeria, while Palestine made its CSE app, Majd, inclusive, and Colombia released a publicly available CSE toolbox for rural and migrant settings.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595" w:hRule="atLeast"/>
          <w:tblHeader w:val="0"/>
        </w:trPr>
        <w:tc>
          <w:tcPr>
            <w:tcBorders>
              <w:top w:color="000000" w:space="0" w:sz="0" w:val="nil"/>
              <w:left w:color="1f3a5f" w:space="0" w:sz="22" w:val="single"/>
              <w:bottom w:color="000000" w:space="0" w:sz="0" w:val="nil"/>
              <w:right w:color="000000" w:space="0" w:sz="0" w:val="nil"/>
            </w:tcBorders>
            <w:shd w:fill="f2f6fb" w:val="clear"/>
            <w:tcMar>
              <w:top w:w="120.0" w:type="dxa"/>
              <w:left w:w="160.0" w:type="dxa"/>
              <w:bottom w:w="120.0" w:type="dxa"/>
              <w:right w:w="160.0" w:type="dxa"/>
            </w:tcMar>
            <w:vAlign w:val="top"/>
          </w:tcPr>
          <w:p w:rsidR="00000000" w:rsidDel="00000000" w:rsidP="00000000" w:rsidRDefault="00000000" w:rsidRPr="00000000" w14:paraId="00000075">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Outcome 1 - key results and highlights</w:t>
            </w:r>
          </w:p>
          <w:p w:rsidR="00000000" w:rsidDel="00000000" w:rsidP="00000000" w:rsidRDefault="00000000" w:rsidRPr="00000000" w14:paraId="00000076">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Policy uptake – </w:t>
            </w:r>
            <w:r w:rsidDel="00000000" w:rsidR="00000000" w:rsidRPr="00000000">
              <w:rPr>
                <w:rFonts w:ascii="Atkinson Hyperlegible Next" w:cs="Atkinson Hyperlegible Next" w:eastAsia="Atkinson Hyperlegible Next" w:hAnsi="Atkinson Hyperlegible Next"/>
                <w:rtl w:val="0"/>
              </w:rPr>
              <w:t xml:space="preserve">new national CSE strategies, guidance or curriculum frameworks in Palestine, Nicaragua, Malawi and Moldova</w:t>
            </w:r>
          </w:p>
          <w:p w:rsidR="00000000" w:rsidDel="00000000" w:rsidP="00000000" w:rsidRDefault="00000000" w:rsidRPr="00000000" w14:paraId="00000077">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110+ </w:t>
            </w:r>
            <w:r w:rsidDel="00000000" w:rsidR="00000000" w:rsidRPr="00000000">
              <w:rPr>
                <w:rFonts w:ascii="Atkinson Hyperlegible Next" w:cs="Atkinson Hyperlegible Next" w:eastAsia="Atkinson Hyperlegible Next" w:hAnsi="Atkinson Hyperlegible Next"/>
                <w:rtl w:val="0"/>
              </w:rPr>
              <w:t xml:space="preserve">tailored materials and tools developed at national level (2023-2024), with further development in 2025</w:t>
            </w:r>
          </w:p>
          <w:p w:rsidR="00000000" w:rsidDel="00000000" w:rsidP="00000000" w:rsidRDefault="00000000" w:rsidRPr="00000000" w14:paraId="00000078">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24 </w:t>
            </w:r>
            <w:r w:rsidDel="00000000" w:rsidR="00000000" w:rsidRPr="00000000">
              <w:rPr>
                <w:rFonts w:ascii="Atkinson Hyperlegible Next" w:cs="Atkinson Hyperlegible Next" w:eastAsia="Atkinson Hyperlegible Next" w:hAnsi="Atkinson Hyperlegible Next"/>
                <w:rtl w:val="0"/>
              </w:rPr>
              <w:t xml:space="preserve">curricula developed or adapted in line with the </w:t>
            </w:r>
            <w:r w:rsidDel="00000000" w:rsidR="00000000" w:rsidRPr="00000000">
              <w:rPr>
                <w:rFonts w:ascii="Atkinson Hyperlegible Next" w:cs="Atkinson Hyperlegible Next" w:eastAsia="Atkinson Hyperlegible Next" w:hAnsi="Atkinson Hyperlegible Next"/>
                <w:i w:val="1"/>
                <w:iCs w:val="1"/>
                <w:rtl w:val="0"/>
              </w:rPr>
              <w:t xml:space="preserve">International Technical Guidance on Sexuality Education</w:t>
            </w:r>
            <w:r w:rsidDel="00000000" w:rsidR="00000000" w:rsidRPr="00000000">
              <w:rPr>
                <w:rFonts w:ascii="Atkinson Hyperlegible Next" w:cs="Atkinson Hyperlegible Next" w:eastAsia="Atkinson Hyperlegible Next" w:hAnsi="Atkinson Hyperlegible Next"/>
                <w:rtl w:val="0"/>
              </w:rPr>
              <w:t xml:space="preserve"> (</w:t>
            </w:r>
            <w:r w:rsidDel="00000000" w:rsidR="00000000" w:rsidRPr="00000000">
              <w:rPr>
                <w:rFonts w:ascii="Atkinson Hyperlegible Next" w:cs="Atkinson Hyperlegible Next" w:eastAsia="Atkinson Hyperlegible Next" w:hAnsi="Atkinson Hyperlegible Next"/>
                <w:rtl w:val="0"/>
              </w:rPr>
              <w:t xml:space="preserve">ITGSE)</w:t>
            </w:r>
            <w:r w:rsidDel="00000000" w:rsidR="00000000" w:rsidRPr="00000000">
              <w:rPr>
                <w:rFonts w:ascii="Atkinson Hyperlegible Next" w:cs="Atkinson Hyperlegible Next" w:eastAsia="Atkinson Hyperlegible Next" w:hAnsi="Atkinson Hyperlegible Next"/>
                <w:rtl w:val="0"/>
              </w:rPr>
              <w:t xml:space="preserve"> and the Out-of-School Guidance</w:t>
            </w:r>
          </w:p>
          <w:p w:rsidR="00000000" w:rsidDel="00000000" w:rsidP="00000000" w:rsidRDefault="00000000" w:rsidRPr="00000000" w14:paraId="00000079">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30 </w:t>
            </w:r>
            <w:r w:rsidDel="00000000" w:rsidR="00000000" w:rsidRPr="00000000">
              <w:rPr>
                <w:rFonts w:ascii="Atkinson Hyperlegible Next" w:cs="Atkinson Hyperlegible Next" w:eastAsia="Atkinson Hyperlegible Next" w:hAnsi="Atkinson Hyperlegible Next"/>
                <w:rtl w:val="0"/>
              </w:rPr>
              <w:t xml:space="preserve">national CSE promotion and dissemination events across the cohort</w:t>
            </w:r>
          </w:p>
          <w:p w:rsidR="00000000" w:rsidDel="00000000" w:rsidP="00000000" w:rsidRDefault="00000000" w:rsidRPr="00000000" w14:paraId="0000007A">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Accessibility – </w:t>
            </w:r>
            <w:r w:rsidDel="00000000" w:rsidR="00000000" w:rsidRPr="00000000">
              <w:rPr>
                <w:rFonts w:ascii="Atkinson Hyperlegible Next" w:cs="Atkinson Hyperlegible Next" w:eastAsia="Atkinson Hyperlegible Next" w:hAnsi="Atkinson Hyperlegible Next"/>
                <w:rtl w:val="0"/>
              </w:rPr>
              <w:t xml:space="preserve">materials in Indigenous and local languages, Braille, sign language and low-literacy formats</w:t>
            </w:r>
          </w:p>
        </w:tc>
      </w:tr>
    </w:tbl>
    <w:p w:rsidR="00000000" w:rsidDel="00000000" w:rsidP="00000000" w:rsidRDefault="00000000" w:rsidRPr="00000000" w14:paraId="0000007B">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7C">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7D">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7E">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ka7fyuapulin" w:id="24"/>
      <w:bookmarkEnd w:id="24"/>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iv30u2a8bdb1" w:id="25"/>
      <w:bookmarkEnd w:id="25"/>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3.2  Outcome 2 – Contextualized programming established, tested and scaled</w:t>
      </w:r>
    </w:p>
    <w:p w:rsidR="00000000" w:rsidDel="00000000" w:rsidP="00000000" w:rsidRDefault="00000000" w:rsidRPr="00000000" w14:paraId="00000080">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Outcome 2 aimed at reaching and meaningfully engaging left-behind young people, equipping facilitators, deploying digital and innovative solutions, linking participants to services and mobilizing the gatekeepers on whom access depends.</w:t>
      </w:r>
    </w:p>
    <w:p w:rsidR="00000000" w:rsidDel="00000000" w:rsidP="00000000" w:rsidRDefault="00000000" w:rsidRPr="00000000" w14:paraId="00000081">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kii0qkntkw0u" w:id="26"/>
      <w:bookmarkEnd w:id="26"/>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Delivering to the furthest-behind young people</w:t>
      </w:r>
    </w:p>
    <w:p w:rsidR="00000000" w:rsidDel="00000000" w:rsidP="00000000" w:rsidRDefault="00000000" w:rsidRPr="00000000" w14:paraId="00000082">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Ethiopia reached female sex workers and young people with disabilities; Ghana sustained CSE for young people living with HIV and in detention; Indonesia built peer-led delivery for young key populations; Moldova reached young people with disabilities, rural youth and Ukrainian refugees; and Nigeria covered a broad spectrum including key populations, LGBTQI+ youth, people who inject drugs and young people in correctional centres. The programme prioritized displaced adolescent girls through girls-only safe spaces in Gaza; Afghan refugee girls in Iran’s Golestan and Sistan &amp; Baluchestan provinces; urban-poor and coastal cisgender and transgender girls in Philippines; and low-literacy and formerly detained adolescents in Tunisia’s most underprivileged regions.</w:t>
      </w:r>
    </w:p>
    <w:p w:rsidR="00000000" w:rsidDel="00000000" w:rsidP="00000000" w:rsidRDefault="00000000" w:rsidRPr="00000000" w14:paraId="00000083">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4yyog4a1eds" w:id="27"/>
      <w:bookmarkEnd w:id="27"/>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Connecting young people to youth-responsive health services</w:t>
      </w:r>
    </w:p>
    <w:p w:rsidR="00000000" w:rsidDel="00000000" w:rsidP="00000000" w:rsidRDefault="00000000" w:rsidRPr="00000000" w14:paraId="0000008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programme leveraged linking education to service uptake. Palestine integrated CSE into mobile clinics; Ethiopia’s reopened drop-in centres combined safe spaces with HIV prevention and referrals; Philippines added primary </w:t>
      </w:r>
      <w:r w:rsidDel="00000000" w:rsidR="00000000" w:rsidRPr="00000000">
        <w:rPr>
          <w:rFonts w:ascii="Atkinson Hyperlegible Next" w:cs="Atkinson Hyperlegible Next" w:eastAsia="Atkinson Hyperlegible Next" w:hAnsi="Atkinson Hyperlegible Next"/>
          <w:rtl w:val="0"/>
        </w:rPr>
        <w:t xml:space="preserve">healthcare</w:t>
      </w:r>
      <w:r w:rsidDel="00000000" w:rsidR="00000000" w:rsidRPr="00000000">
        <w:rPr>
          <w:rFonts w:ascii="Atkinson Hyperlegible Next" w:cs="Atkinson Hyperlegible Next" w:eastAsia="Atkinson Hyperlegible Next" w:hAnsi="Atkinson Hyperlegible Next"/>
          <w:rtl w:val="0"/>
        </w:rPr>
        <w:t xml:space="preserve">, mental-health and psychosocial support, voluntary HIV counselling and testing, and STI screening; Moldova trained facilitators on referral pathways and linked young people to publicly funded Youth Clinics; and Tunisia delivered CSE inside Youth-Friendly Spaces offering free SRH services.</w:t>
      </w:r>
    </w:p>
    <w:p w:rsidR="00000000" w:rsidDel="00000000" w:rsidP="00000000" w:rsidRDefault="00000000" w:rsidRPr="00000000" w14:paraId="00000085">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ubdug61bxqjw" w:id="28"/>
      <w:bookmarkEnd w:id="28"/>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Consolidating facilitator capacity</w:t>
      </w:r>
    </w:p>
    <w:p w:rsidR="00000000" w:rsidDel="00000000" w:rsidP="00000000" w:rsidRDefault="00000000" w:rsidRPr="00000000" w14:paraId="00000086">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With over 800 facilitators and educators trained during Phase II, capacity-building shifted from general instruction towards the specialized, intersectional competencies that the furthest-behind groups require. Philippines built the capacity of facilitators – many of them former beneficiaries – in trauma-informed, gender-responsive delivery; Tunisia trained educators in trauma-informed approaches, including prevention of vicarious trauma; Colombia strengthened the capacities of educational agents using an evidence-based facilitator profile prioritizing empathy and cultural readiness; and Malawi trained youth leaders to support peers living with HIV, and special-education teachers to deliver accessible CSE.</w:t>
      </w:r>
    </w:p>
    <w:p w:rsidR="00000000" w:rsidDel="00000000" w:rsidP="00000000" w:rsidRDefault="00000000" w:rsidRPr="00000000" w14:paraId="00000087">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t81ap2wd3mal" w:id="29"/>
      <w:bookmarkEnd w:id="29"/>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Innovative and digital solutions, and gatekeeper mobilization</w:t>
      </w:r>
    </w:p>
    <w:p w:rsidR="00000000" w:rsidDel="00000000" w:rsidP="00000000" w:rsidRDefault="00000000" w:rsidRPr="00000000" w14:paraId="0000008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More than 50 distinct digital and innovative solutions were deployed during Phase II. Ethiopia’s MINCH voice-based platform reached people with disabilities without requiring smartphones or Internet; Nigeria’s SoftLife247 platform, upgraded with gamification and certification, lifted average engagement time by 263%, while its Youth Hangout radio programme reached an estimated 92,000-122,000 adolescents; and Moldova finalized a two-module online course. </w:t>
      </w:r>
    </w:p>
    <w:p w:rsidR="00000000" w:rsidDel="00000000" w:rsidP="00000000" w:rsidRDefault="00000000" w:rsidRPr="00000000" w14:paraId="00000089">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On another note, the programme engaged more than 7,000 community stakeholders while reframing CSE to win acceptance (such as Nigeria’s 1,500-stakeholder mobilization around Comprehensive Life Skills Education) and building trust at household level (Malawi’s Parent-Child Communication meetings; mothers engaged for the GirlZone spaces in Gaza).</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865" w:hRule="atLeast"/>
          <w:tblHeader w:val="0"/>
        </w:trPr>
        <w:tc>
          <w:tcPr>
            <w:tcBorders>
              <w:top w:color="000000" w:space="0" w:sz="0" w:val="nil"/>
              <w:left w:color="1f3a5f" w:space="0" w:sz="22" w:val="single"/>
              <w:bottom w:color="000000" w:space="0" w:sz="0" w:val="nil"/>
              <w:right w:color="000000" w:space="0" w:sz="0" w:val="nil"/>
            </w:tcBorders>
            <w:shd w:fill="f2f6fb" w:val="clear"/>
            <w:tcMar>
              <w:top w:w="120.0" w:type="dxa"/>
              <w:left w:w="160.0" w:type="dxa"/>
              <w:bottom w:w="120.0" w:type="dxa"/>
              <w:right w:w="160.0" w:type="dxa"/>
            </w:tcMar>
            <w:vAlign w:val="top"/>
          </w:tcPr>
          <w:p w:rsidR="00000000" w:rsidDel="00000000" w:rsidP="00000000" w:rsidRDefault="00000000" w:rsidRPr="00000000" w14:paraId="0000008A">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Outcome 2 – key results and highlights</w:t>
            </w:r>
          </w:p>
          <w:p w:rsidR="00000000" w:rsidDel="00000000" w:rsidP="00000000" w:rsidRDefault="00000000" w:rsidRPr="00000000" w14:paraId="0000008B">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70,000+ </w:t>
            </w:r>
            <w:r w:rsidDel="00000000" w:rsidR="00000000" w:rsidRPr="00000000">
              <w:rPr>
                <w:rFonts w:ascii="Atkinson Hyperlegible Next" w:cs="Atkinson Hyperlegible Next" w:eastAsia="Atkinson Hyperlegible Next" w:hAnsi="Atkinson Hyperlegible Next"/>
                <w:rtl w:val="0"/>
              </w:rPr>
              <w:t xml:space="preserve">young people directly reached, plus 400,000+ via digital and broadcast channels</w:t>
            </w:r>
          </w:p>
          <w:p w:rsidR="00000000" w:rsidDel="00000000" w:rsidP="00000000" w:rsidRDefault="00000000" w:rsidRPr="00000000" w14:paraId="0000008C">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800+ </w:t>
            </w:r>
            <w:r w:rsidDel="00000000" w:rsidR="00000000" w:rsidRPr="00000000">
              <w:rPr>
                <w:rFonts w:ascii="Atkinson Hyperlegible Next" w:cs="Atkinson Hyperlegible Next" w:eastAsia="Atkinson Hyperlegible Next" w:hAnsi="Atkinson Hyperlegible Next"/>
                <w:rtl w:val="0"/>
              </w:rPr>
              <w:t xml:space="preserve">facilitators and educators trained, with trauma-informed and disability-inclusive models pioneered in 3 countries</w:t>
            </w:r>
          </w:p>
          <w:p w:rsidR="00000000" w:rsidDel="00000000" w:rsidP="00000000" w:rsidRDefault="00000000" w:rsidRPr="00000000" w14:paraId="0000008D">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Service integration – </w:t>
            </w:r>
            <w:r w:rsidDel="00000000" w:rsidR="00000000" w:rsidRPr="00000000">
              <w:rPr>
                <w:rFonts w:ascii="Atkinson Hyperlegible Next" w:cs="Atkinson Hyperlegible Next" w:eastAsia="Atkinson Hyperlegible Next" w:hAnsi="Atkinson Hyperlegible Next"/>
                <w:rtl w:val="0"/>
              </w:rPr>
              <w:t xml:space="preserve">links to 41 youth clinics (Moldova), mobile clinics (Palestine), drop-in centres (Ethiopia), HIV/STI services (Philippines)</w:t>
            </w:r>
          </w:p>
          <w:p w:rsidR="00000000" w:rsidDel="00000000" w:rsidP="00000000" w:rsidRDefault="00000000" w:rsidRPr="00000000" w14:paraId="0000008E">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50+ </w:t>
            </w:r>
            <w:r w:rsidDel="00000000" w:rsidR="00000000" w:rsidRPr="00000000">
              <w:rPr>
                <w:rFonts w:ascii="Atkinson Hyperlegible Next" w:cs="Atkinson Hyperlegible Next" w:eastAsia="Atkinson Hyperlegible Next" w:hAnsi="Atkinson Hyperlegible Next"/>
                <w:rtl w:val="0"/>
              </w:rPr>
              <w:t xml:space="preserve">digital and innovative solutions; SoftLife247 engagement up 263%; new Trans Health module institutionalized</w:t>
            </w:r>
          </w:p>
          <w:p w:rsidR="00000000" w:rsidDel="00000000" w:rsidP="00000000" w:rsidRDefault="00000000" w:rsidRPr="00000000" w14:paraId="0000008F">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7,000+ </w:t>
            </w:r>
            <w:r w:rsidDel="00000000" w:rsidR="00000000" w:rsidRPr="00000000">
              <w:rPr>
                <w:rFonts w:ascii="Atkinson Hyperlegible Next" w:cs="Atkinson Hyperlegible Next" w:eastAsia="Atkinson Hyperlegible Next" w:hAnsi="Atkinson Hyperlegible Next"/>
                <w:rtl w:val="0"/>
              </w:rPr>
              <w:t xml:space="preserve">gatekeepers engaged, turning opposition into acceptance through strategic reframing</w:t>
            </w:r>
          </w:p>
          <w:p w:rsidR="00000000" w:rsidDel="00000000" w:rsidP="00000000" w:rsidRDefault="00000000" w:rsidRPr="00000000" w14:paraId="00000090">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tc>
      </w:tr>
    </w:tbl>
    <w:p w:rsidR="00000000" w:rsidDel="00000000" w:rsidP="00000000" w:rsidRDefault="00000000" w:rsidRPr="00000000" w14:paraId="00000091">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92">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93">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94">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bo3ghvh9xf78" w:id="30"/>
      <w:bookmarkEnd w:id="30"/>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3.3  Outcome 3 - Evidence generated and disseminated</w:t>
      </w:r>
    </w:p>
    <w:p w:rsidR="00000000" w:rsidDel="00000000" w:rsidP="00000000" w:rsidRDefault="00000000" w:rsidRPr="00000000" w14:paraId="00000095">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E</w:t>
      </w:r>
      <w:r w:rsidDel="00000000" w:rsidR="00000000" w:rsidRPr="00000000">
        <w:rPr>
          <w:rFonts w:ascii="Atkinson Hyperlegible Next" w:cs="Atkinson Hyperlegible Next" w:eastAsia="Atkinson Hyperlegible Next" w:hAnsi="Atkinson Hyperlegible Next"/>
          <w:rtl w:val="0"/>
        </w:rPr>
        <w:t xml:space="preserve">vidence generation was a core deliverable of Phase II of the programme, designed in from the start. In partnership with WHO/HRP, the programme ran implementation research in Colombia, Ghana and Philippines, and intensive monitoring in Moldova and Tunisia, with the remaining countries in routine monitoring and a shared indicator-management tool supporting data capture across all 12 countries.</w:t>
      </w:r>
    </w:p>
    <w:p w:rsidR="00000000" w:rsidDel="00000000" w:rsidP="00000000" w:rsidRDefault="00000000" w:rsidRPr="00000000" w14:paraId="00000096">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This phase produced knowledge products of lasting value: peer-reviewed articles in a special edition of </w:t>
      </w:r>
      <w:r w:rsidDel="00000000" w:rsidR="00000000" w:rsidRPr="00000000">
        <w:rPr>
          <w:rFonts w:ascii="Atkinson Hyperlegible Next" w:cs="Atkinson Hyperlegible Next" w:eastAsia="Atkinson Hyperlegible Next" w:hAnsi="Atkinson Hyperlegible Next"/>
          <w:i w:val="1"/>
          <w:iCs w:val="1"/>
          <w:rtl w:val="0"/>
        </w:rPr>
        <w:t xml:space="preserve">Sexual and Reproductive Health Matters</w:t>
      </w:r>
      <w:r w:rsidDel="00000000" w:rsidR="00000000" w:rsidRPr="00000000">
        <w:rPr>
          <w:rFonts w:ascii="Atkinson Hyperlegible Next" w:cs="Atkinson Hyperlegible Next" w:eastAsia="Atkinson Hyperlegible Next" w:hAnsi="Atkinson Hyperlegible Next"/>
          <w:rtl w:val="0"/>
        </w:rPr>
        <w:t xml:space="preserve">; a cross-country synthesis of lessons spanning seven countries and both phases; four deep-dive country case studies (Tunisia, Palestine, Nigeria and Colombia); and the phase’s signature output, the Minimum Package for Quality Out-of-School CSE. The design, methods and detailed findings of this work – and what they establish about what makes OOS CSE effective – are detailed in </w:t>
      </w:r>
      <w:r w:rsidDel="00000000" w:rsidR="00000000" w:rsidRPr="00000000">
        <w:rPr>
          <w:rFonts w:ascii="Atkinson Hyperlegible Next" w:cs="Atkinson Hyperlegible Next" w:eastAsia="Atkinson Hyperlegible Next" w:hAnsi="Atkinson Hyperlegible Next"/>
          <w:highlight w:val="yellow"/>
          <w:rtl w:val="0"/>
        </w:rPr>
        <w:t xml:space="preserve">Section 4</w:t>
      </w:r>
      <w:r w:rsidDel="00000000" w:rsidR="00000000" w:rsidRPr="00000000">
        <w:rPr>
          <w:rFonts w:ascii="Atkinson Hyperlegible Next" w:cs="Atkinson Hyperlegible Next" w:eastAsia="Atkinson Hyperlegible Next" w:hAnsi="Atkinson Hyperlegible Next"/>
          <w:rtl w:val="0"/>
        </w:rPr>
        <w:t xml:space="preserve">.</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565" w:hRule="atLeast"/>
          <w:tblHeader w:val="0"/>
        </w:trPr>
        <w:tc>
          <w:tcPr>
            <w:tcBorders>
              <w:top w:color="000000" w:space="0" w:sz="0" w:val="nil"/>
              <w:left w:color="1f3a5f" w:space="0" w:sz="22" w:val="single"/>
              <w:bottom w:color="000000" w:space="0" w:sz="0" w:val="nil"/>
              <w:right w:color="000000" w:space="0" w:sz="0" w:val="nil"/>
            </w:tcBorders>
            <w:shd w:fill="f2f6fb" w:val="clear"/>
            <w:tcMar>
              <w:top w:w="120.0" w:type="dxa"/>
              <w:left w:w="160.0" w:type="dxa"/>
              <w:bottom w:w="120.0" w:type="dxa"/>
              <w:right w:w="160.0" w:type="dxa"/>
            </w:tcMar>
            <w:vAlign w:val="top"/>
          </w:tcPr>
          <w:p w:rsidR="00000000" w:rsidDel="00000000" w:rsidP="00000000" w:rsidRDefault="00000000" w:rsidRPr="00000000" w14:paraId="00000097">
            <w:pPr>
              <w:spacing w:after="60" w:line="268.8" w:lineRule="auto"/>
              <w:rPr>
                <w:rFonts w:ascii="Atkinson Hyperlegible Next" w:cs="Atkinson Hyperlegible Next" w:eastAsia="Atkinson Hyperlegible Next" w:hAnsi="Atkinson Hyperlegible Next"/>
                <w:b w:val="1"/>
                <w:bCs w:val="1"/>
                <w:color w:val="1f3a5f"/>
              </w:rPr>
            </w:pPr>
            <w:r w:rsidDel="00000000" w:rsidR="00000000" w:rsidRPr="00000000">
              <w:rPr>
                <w:rFonts w:ascii="Atkinson Hyperlegible Next" w:cs="Atkinson Hyperlegible Next" w:eastAsia="Atkinson Hyperlegible Next" w:hAnsi="Atkinson Hyperlegible Next"/>
                <w:b w:val="1"/>
                <w:bCs w:val="1"/>
                <w:color w:val="1f3a5f"/>
                <w:rtl w:val="0"/>
              </w:rPr>
              <w:t xml:space="preserve">Outcome 3 – key results and highlights</w:t>
            </w:r>
          </w:p>
          <w:p w:rsidR="00000000" w:rsidDel="00000000" w:rsidP="00000000" w:rsidRDefault="00000000" w:rsidRPr="00000000" w14:paraId="00000098">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Research and monitoring – </w:t>
            </w:r>
            <w:r w:rsidDel="00000000" w:rsidR="00000000" w:rsidRPr="00000000">
              <w:rPr>
                <w:rFonts w:ascii="Atkinson Hyperlegible Next" w:cs="Atkinson Hyperlegible Next" w:eastAsia="Atkinson Hyperlegible Next" w:hAnsi="Atkinson Hyperlegible Next"/>
                <w:rtl w:val="0"/>
              </w:rPr>
              <w:t xml:space="preserve">implementation research in 3 countries; intensive monitoring in 2; routine monitoring across all 12</w:t>
            </w:r>
          </w:p>
          <w:p w:rsidR="00000000" w:rsidDel="00000000" w:rsidP="00000000" w:rsidRDefault="00000000" w:rsidRPr="00000000" w14:paraId="00000099">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The Minimum Package – </w:t>
            </w:r>
            <w:r w:rsidDel="00000000" w:rsidR="00000000" w:rsidRPr="00000000">
              <w:rPr>
                <w:rFonts w:ascii="Atkinson Hyperlegible Next" w:cs="Atkinson Hyperlegible Next" w:eastAsia="Atkinson Hyperlegible Next" w:hAnsi="Atkinson Hyperlegible Next"/>
                <w:rtl w:val="0"/>
              </w:rPr>
              <w:t xml:space="preserve">an evidence-informed global standard across design, delivery, enabling environment and M&amp;E</w:t>
            </w:r>
          </w:p>
          <w:p w:rsidR="00000000" w:rsidDel="00000000" w:rsidP="00000000" w:rsidRDefault="00000000" w:rsidRPr="00000000" w14:paraId="0000009A">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Knowledge products – </w:t>
            </w:r>
            <w:r w:rsidDel="00000000" w:rsidR="00000000" w:rsidRPr="00000000">
              <w:rPr>
                <w:rFonts w:ascii="Atkinson Hyperlegible Next" w:cs="Atkinson Hyperlegible Next" w:eastAsia="Atkinson Hyperlegible Next" w:hAnsi="Atkinson Hyperlegible Next"/>
                <w:i w:val="1"/>
                <w:iCs w:val="1"/>
                <w:rtl w:val="0"/>
              </w:rPr>
              <w:t xml:space="preserve">SRHM</w:t>
            </w:r>
            <w:r w:rsidDel="00000000" w:rsidR="00000000" w:rsidRPr="00000000">
              <w:rPr>
                <w:rFonts w:ascii="Atkinson Hyperlegible Next" w:cs="Atkinson Hyperlegible Next" w:eastAsia="Atkinson Hyperlegible Next" w:hAnsi="Atkinson Hyperlegible Next"/>
                <w:rtl w:val="0"/>
              </w:rPr>
              <w:t xml:space="preserve"> special edition, cross-country synthesis, 4 case studies, and the “Beyond Boundaries, Within Reach” status report</w:t>
            </w:r>
          </w:p>
          <w:p w:rsidR="00000000" w:rsidDel="00000000" w:rsidP="00000000" w:rsidRDefault="00000000" w:rsidRPr="00000000" w14:paraId="0000009B">
            <w:pPr>
              <w:spacing w:after="40" w:line="264"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rtl w:val="0"/>
              </w:rPr>
              <w:t xml:space="preserve">Confirmed effective – </w:t>
            </w:r>
            <w:r w:rsidDel="00000000" w:rsidR="00000000" w:rsidRPr="00000000">
              <w:rPr>
                <w:rFonts w:ascii="Atkinson Hyperlegible Next" w:cs="Atkinson Hyperlegible Next" w:eastAsia="Atkinson Hyperlegible Next" w:hAnsi="Atkinson Hyperlegible Next"/>
                <w:rtl w:val="0"/>
              </w:rPr>
              <w:t xml:space="preserve">research and the independent assessment found tailored OOS CSE feasible, acceptable and effective</w:t>
            </w:r>
          </w:p>
        </w:tc>
      </w:tr>
    </w:tbl>
    <w:p w:rsidR="00000000" w:rsidDel="00000000" w:rsidP="00000000" w:rsidRDefault="00000000" w:rsidRPr="00000000" w14:paraId="0000009C">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9D">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9E">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3.4 Outputs delivered against plan </w:t>
      </w:r>
      <w:r w:rsidDel="00000000" w:rsidR="00000000" w:rsidRPr="00000000">
        <w:rPr>
          <w:rtl w:val="0"/>
        </w:rPr>
      </w:r>
    </w:p>
    <w:p w:rsidR="00000000" w:rsidDel="00000000" w:rsidP="00000000" w:rsidRDefault="00000000" w:rsidRPr="00000000" w14:paraId="0000009F">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table below summarizes actual outputs against the planned outputs for the entire Phase II period, organized by the outputs of the programme’s Results-Based Framework. The framework was revised during the phase and did not carry fixed numeric targets at output level. Together with the outcome analysis above and the evidence in Section 4, it shows that the planned outputs were delivered and, in several cases, exceeded – and how they contributed to the programme’s three outcomes.</w:t>
      </w:r>
    </w:p>
    <w:p w:rsidR="00000000" w:rsidDel="00000000" w:rsidP="00000000" w:rsidRDefault="00000000" w:rsidRPr="00000000" w14:paraId="000000A0">
      <w:pPr>
        <w:spacing w:after="120" w:line="268.8" w:lineRule="auto"/>
        <w:rPr>
          <w:rFonts w:ascii="Atkinson Hyperlegible Next" w:cs="Atkinson Hyperlegible Next" w:eastAsia="Atkinson Hyperlegible Next" w:hAnsi="Atkinson Hyperlegible Next"/>
        </w:rPr>
      </w:pPr>
      <w:r w:rsidDel="00000000" w:rsidR="00000000" w:rsidRPr="00000000">
        <w:rPr>
          <w:rtl w:val="0"/>
        </w:rPr>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4680"/>
        <w:gridCol w:w="1470"/>
        <w:tblGridChange w:id="0">
          <w:tblGrid>
            <w:gridCol w:w="2775"/>
            <w:gridCol w:w="4680"/>
            <w:gridCol w:w="1470"/>
          </w:tblGrid>
        </w:tblGridChange>
      </w:tblGrid>
      <w:tr>
        <w:trPr>
          <w:cantSplit w:val="0"/>
          <w:trHeight w:val="405" w:hRule="atLeast"/>
          <w:tblHeader w:val="0"/>
        </w:trPr>
        <w:tc>
          <w:tcPr>
            <w:tcBorders>
              <w:top w:color="000000" w:space="0" w:sz="0" w:val="nil"/>
              <w:left w:color="000000" w:space="0" w:sz="0" w:val="nil"/>
              <w:bottom w:color="e25a1e" w:space="0" w:sz="4" w:val="single"/>
              <w:right w:color="000000" w:space="0" w:sz="0" w:val="nil"/>
            </w:tcBorders>
            <w:shd w:fill="e25a1e" w:val="clear"/>
            <w:tcMar>
              <w:top w:w="80.0" w:type="dxa"/>
              <w:left w:w="140.0" w:type="dxa"/>
              <w:bottom w:w="80.0" w:type="dxa"/>
              <w:right w:w="140.0" w:type="dxa"/>
            </w:tcMar>
            <w:vAlign w:val="top"/>
          </w:tcPr>
          <w:p w:rsidR="00000000" w:rsidDel="00000000" w:rsidP="00000000" w:rsidRDefault="00000000" w:rsidRPr="00000000" w14:paraId="000000A1">
            <w:pPr>
              <w:spacing w:line="268.8" w:lineRule="auto"/>
              <w:rPr>
                <w:rFonts w:ascii="Atkinson Hyperlegible Next" w:cs="Atkinson Hyperlegible Next" w:eastAsia="Atkinson Hyperlegible Next" w:hAnsi="Atkinson Hyperlegible Next"/>
                <w:b w:val="1"/>
                <w:bCs w:val="1"/>
                <w:color w:val="ffffff"/>
                <w:sz w:val="20"/>
                <w:szCs w:val="20"/>
              </w:rPr>
            </w:pPr>
            <w:r w:rsidDel="00000000" w:rsidR="00000000" w:rsidRPr="00000000">
              <w:rPr>
                <w:rFonts w:ascii="Atkinson Hyperlegible Next" w:cs="Atkinson Hyperlegible Next" w:eastAsia="Atkinson Hyperlegible Next" w:hAnsi="Atkinson Hyperlegible Next"/>
                <w:b w:val="1"/>
                <w:bCs w:val="1"/>
                <w:color w:val="ffffff"/>
                <w:sz w:val="20"/>
                <w:szCs w:val="20"/>
                <w:rtl w:val="0"/>
              </w:rPr>
              <w:t xml:space="preserve">Planned output</w:t>
            </w:r>
          </w:p>
        </w:tc>
        <w:tc>
          <w:tcPr>
            <w:tcBorders>
              <w:top w:color="000000" w:space="0" w:sz="0" w:val="nil"/>
              <w:left w:color="000000" w:space="0" w:sz="0" w:val="nil"/>
              <w:bottom w:color="e25a1e" w:space="0" w:sz="4" w:val="single"/>
              <w:right w:color="000000" w:space="0" w:sz="0" w:val="nil"/>
            </w:tcBorders>
            <w:shd w:fill="e25a1e" w:val="clear"/>
            <w:tcMar>
              <w:top w:w="80.0" w:type="dxa"/>
              <w:left w:w="140.0" w:type="dxa"/>
              <w:bottom w:w="80.0" w:type="dxa"/>
              <w:right w:w="140.0" w:type="dxa"/>
            </w:tcMar>
            <w:vAlign w:val="top"/>
          </w:tcPr>
          <w:p w:rsidR="00000000" w:rsidDel="00000000" w:rsidP="00000000" w:rsidRDefault="00000000" w:rsidRPr="00000000" w14:paraId="000000A2">
            <w:pPr>
              <w:spacing w:line="268.8" w:lineRule="auto"/>
              <w:rPr>
                <w:rFonts w:ascii="Atkinson Hyperlegible Next" w:cs="Atkinson Hyperlegible Next" w:eastAsia="Atkinson Hyperlegible Next" w:hAnsi="Atkinson Hyperlegible Next"/>
                <w:b w:val="1"/>
                <w:bCs w:val="1"/>
                <w:color w:val="ffffff"/>
                <w:sz w:val="20"/>
                <w:szCs w:val="20"/>
              </w:rPr>
            </w:pPr>
            <w:r w:rsidDel="00000000" w:rsidR="00000000" w:rsidRPr="00000000">
              <w:rPr>
                <w:rFonts w:ascii="Atkinson Hyperlegible Next" w:cs="Atkinson Hyperlegible Next" w:eastAsia="Atkinson Hyperlegible Next" w:hAnsi="Atkinson Hyperlegible Next"/>
                <w:b w:val="1"/>
                <w:bCs w:val="1"/>
                <w:color w:val="ffffff"/>
                <w:sz w:val="20"/>
                <w:szCs w:val="20"/>
                <w:rtl w:val="0"/>
              </w:rPr>
              <w:t xml:space="preserve">Actual delivery across Phase II (2023-2025)</w:t>
            </w:r>
          </w:p>
        </w:tc>
        <w:tc>
          <w:tcPr>
            <w:tcBorders>
              <w:top w:color="000000" w:space="0" w:sz="0" w:val="nil"/>
              <w:left w:color="000000" w:space="0" w:sz="0" w:val="nil"/>
              <w:bottom w:color="e25a1e" w:space="0" w:sz="4" w:val="single"/>
              <w:right w:color="000000" w:space="0" w:sz="0" w:val="nil"/>
            </w:tcBorders>
            <w:shd w:fill="e25a1e" w:val="clear"/>
            <w:tcMar>
              <w:top w:w="80.0" w:type="dxa"/>
              <w:left w:w="140.0" w:type="dxa"/>
              <w:bottom w:w="80.0" w:type="dxa"/>
              <w:right w:w="140.0" w:type="dxa"/>
            </w:tcMar>
            <w:vAlign w:val="top"/>
          </w:tcPr>
          <w:p w:rsidR="00000000" w:rsidDel="00000000" w:rsidP="00000000" w:rsidRDefault="00000000" w:rsidRPr="00000000" w14:paraId="000000A3">
            <w:pPr>
              <w:spacing w:line="268.8" w:lineRule="auto"/>
              <w:rPr>
                <w:rFonts w:ascii="Atkinson Hyperlegible Next" w:cs="Atkinson Hyperlegible Next" w:eastAsia="Atkinson Hyperlegible Next" w:hAnsi="Atkinson Hyperlegible Next"/>
                <w:b w:val="1"/>
                <w:bCs w:val="1"/>
                <w:color w:val="ffffff"/>
                <w:sz w:val="20"/>
                <w:szCs w:val="20"/>
              </w:rPr>
            </w:pPr>
            <w:r w:rsidDel="00000000" w:rsidR="00000000" w:rsidRPr="00000000">
              <w:rPr>
                <w:rFonts w:ascii="Atkinson Hyperlegible Next" w:cs="Atkinson Hyperlegible Next" w:eastAsia="Atkinson Hyperlegible Next" w:hAnsi="Atkinson Hyperlegible Next"/>
                <w:b w:val="1"/>
                <w:bCs w:val="1"/>
                <w:color w:val="ffffff"/>
                <w:sz w:val="20"/>
                <w:szCs w:val="20"/>
                <w:rtl w:val="0"/>
              </w:rPr>
              <w:t xml:space="preserve">Status</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4">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1.1  Out-of-School Guidance contextualized and promoted</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5">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Guidance contextualized in all 12 countries; new national strategies, guidance or curricula in Palestine, Nicaragua, Malawi and Moldova; 30 national promotion and dissemination events.</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6">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7">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1.2  Materials and tools adapted and available</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8">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110+ tailored materials and tools at national level; 24 curricula developed or adapted to UN guidance; accessible formats (Braille, sign language, local and Indigenous languages).</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9">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A">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1.3  Enhanced capacity to use digital and innovative solutions</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B">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50+ digital and innovative solutions deployed (e.g. SoftLife247, MINCH, online courses, Trans Health module); CSE Academy developed for the next phase.</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C">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D">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2.1  Young people from left-behind groups engaged meaningfully</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E">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70,000+ young people directly reached, plus 400,000+ via digital and broadcast channels, across all targeted groups.</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AF">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 / exceeded</w:t>
            </w:r>
          </w:p>
        </w:tc>
      </w:tr>
      <w:tr>
        <w:trPr>
          <w:cantSplit w:val="0"/>
          <w:trHeight w:val="870" w:hRule="atLeast"/>
          <w:tblHeader w:val="0"/>
        </w:trPr>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0">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2.2  Facilitators equipped with knowledge, competencies and tools</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1">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800+ facilitators and educators trained; trauma-informed and disability-inclusive facilitation models introduced in several countries.</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2">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870" w:hRule="atLeast"/>
          <w:tblHeader w:val="0"/>
        </w:trPr>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3">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2.3  Relevant gatekeepers identified and engaged</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4">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7,000+ community gatekeepers engaged.</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5">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 / exceeded</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6">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3.1  Implementation research conducted at national level</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7">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Implementation research in Colombia, Ghana and Philippines; intensive monitoring in Moldova and Tunisia; routine monitoring across all 12 countries.</w:t>
            </w:r>
          </w:p>
        </w:tc>
        <w:tc>
          <w:tcPr>
            <w:tcBorders>
              <w:top w:color="000000" w:space="0" w:sz="0" w:val="nil"/>
              <w:left w:color="000000" w:space="0" w:sz="0" w:val="nil"/>
              <w:bottom w:color="e5e5e5"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8">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1110" w:hRule="atLeast"/>
          <w:tblHeader w:val="0"/>
        </w:trPr>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9">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3.2  Lessons from programme sites learned and synthesized</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A">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Cross-country synthesis across seven countries; four deep-dive case studies; the Minimum Package for Quality OOS CSE.</w:t>
            </w:r>
          </w:p>
        </w:tc>
        <w:tc>
          <w:tcPr>
            <w:tcBorders>
              <w:top w:color="000000" w:space="0" w:sz="0" w:val="nil"/>
              <w:left w:color="000000" w:space="0" w:sz="0" w:val="nil"/>
              <w:bottom w:color="e5e5e5" w:space="0" w:sz="4" w:val="single"/>
              <w:right w:color="000000" w:space="0" w:sz="0" w:val="nil"/>
            </w:tcBorders>
            <w:shd w:fill="f5f2ec" w:val="clear"/>
            <w:tcMar>
              <w:top w:w="80.0" w:type="dxa"/>
              <w:left w:w="140.0" w:type="dxa"/>
              <w:bottom w:w="80.0" w:type="dxa"/>
              <w:right w:w="140.0" w:type="dxa"/>
            </w:tcMar>
            <w:vAlign w:val="top"/>
          </w:tcPr>
          <w:p w:rsidR="00000000" w:rsidDel="00000000" w:rsidP="00000000" w:rsidRDefault="00000000" w:rsidRPr="00000000" w14:paraId="000000BB">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C">
            <w:pPr>
              <w:spacing w:line="268.8" w:lineRule="auto"/>
              <w:rPr>
                <w:rFonts w:ascii="Atkinson Hyperlegible Next" w:cs="Atkinson Hyperlegible Next" w:eastAsia="Atkinson Hyperlegible Next" w:hAnsi="Atkinson Hyperlegible Next"/>
                <w:b w:val="1"/>
                <w:bCs w:val="1"/>
                <w:color w:val="1a1a1a"/>
                <w:sz w:val="20"/>
                <w:szCs w:val="20"/>
              </w:rPr>
            </w:pPr>
            <w:r w:rsidDel="00000000" w:rsidR="00000000" w:rsidRPr="00000000">
              <w:rPr>
                <w:rFonts w:ascii="Atkinson Hyperlegible Next" w:cs="Atkinson Hyperlegible Next" w:eastAsia="Atkinson Hyperlegible Next" w:hAnsi="Atkinson Hyperlegible Next"/>
                <w:b w:val="1"/>
                <w:bCs w:val="1"/>
                <w:color w:val="1a1a1a"/>
                <w:sz w:val="20"/>
                <w:szCs w:val="20"/>
                <w:rtl w:val="0"/>
              </w:rPr>
              <w:t xml:space="preserve">3.3  State of out-of-school CSE assessed globally</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D">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Global status report “Beyond Boundaries, Within Reach” (with the World Association for Sexual Health – undergoing editing); independent rapid assessment of Phase II.</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E">
            <w:pPr>
              <w:spacing w:line="268.8"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Achieved</w:t>
            </w:r>
          </w:p>
        </w:tc>
      </w:tr>
    </w:tbl>
    <w:p w:rsidR="00000000" w:rsidDel="00000000" w:rsidP="00000000" w:rsidRDefault="00000000" w:rsidRPr="00000000" w14:paraId="000000BF">
      <w:pPr>
        <w:spacing w:after="120" w:line="268.8" w:lineRule="auto"/>
        <w:rPr>
          <w:rFonts w:ascii="Atkinson Hyperlegible Next" w:cs="Atkinson Hyperlegible Next" w:eastAsia="Atkinson Hyperlegible Next" w:hAnsi="Atkinson Hyperlegible Next"/>
        </w:rPr>
      </w:pPr>
      <w:r w:rsidDel="00000000" w:rsidR="00000000" w:rsidRPr="00000000">
        <w:rPr>
          <w:rtl w:val="0"/>
        </w:rPr>
      </w:r>
    </w:p>
    <w:p w:rsidR="00000000" w:rsidDel="00000000" w:rsidP="00000000" w:rsidRDefault="00000000" w:rsidRPr="00000000" w14:paraId="000000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wxbm2alblet0" w:id="31"/>
      <w:bookmarkEnd w:id="31"/>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wqv5sc4s8ys5" w:id="32"/>
      <w:bookmarkEnd w:id="32"/>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4.  Evidence on what works</w:t>
      </w:r>
    </w:p>
    <w:p w:rsidR="00000000" w:rsidDel="00000000" w:rsidP="00000000" w:rsidRDefault="00000000" w:rsidRPr="00000000" w14:paraId="000000C2">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 provided evidence for the quality set and performance for delivering an out-of-school CSE programme.</w:t>
      </w:r>
      <w:r w:rsidDel="00000000" w:rsidR="00000000" w:rsidRPr="00000000">
        <w:rPr>
          <w:rFonts w:ascii="Atkinson Hyperlegible Next" w:cs="Atkinson Hyperlegible Next" w:eastAsia="Atkinson Hyperlegible Next" w:hAnsi="Atkinson Hyperlegible Next"/>
          <w:rtl w:val="0"/>
        </w:rPr>
        <w:t xml:space="preserve"> Its claims rest on two independent bodies of work: the implementation research and intensive monitoring led by WHO/HRP, and the external rapid assessment commissioned by UNFPA. This section explains how that evidence was generated, what the research and monitoring found, the standard the programme distilled from it, and how Phase II compares with Phase I.</w:t>
      </w:r>
    </w:p>
    <w:p w:rsidR="00000000" w:rsidDel="00000000" w:rsidP="00000000" w:rsidRDefault="00000000" w:rsidRPr="00000000" w14:paraId="000000C3">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Intensive monitoring and implementation research</w:t>
      </w:r>
      <w:r w:rsidDel="00000000" w:rsidR="00000000" w:rsidRPr="00000000">
        <w:rPr>
          <w:rtl w:val="0"/>
        </w:rPr>
      </w:r>
    </w:p>
    <w:p w:rsidR="00000000" w:rsidDel="00000000" w:rsidP="00000000" w:rsidRDefault="00000000" w:rsidRPr="00000000" w14:paraId="000000C4">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HRP work was designed to test whether a package of actions tailored to context can train and support facilitators to deliver CSE effectively, reflecting the programme’s core theory that facilitator capability, not curriculum content alone, drives quality. Implementation research ran in Colombia, Ghana and Philippines using mixed methods (record review, interviews, pre- and post-assessments, focus groups and session observation); intensive monitoring ran in Moldova and Tunisia; and the remaining countries conducted routine monitoring against a shared indicator set. </w:t>
      </w:r>
    </w:p>
    <w:p w:rsidR="00000000" w:rsidDel="00000000" w:rsidP="00000000" w:rsidRDefault="00000000" w:rsidRPr="00000000" w14:paraId="000000C5">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findings are consistent and largely positive. The programmes were technically sound, well aligned with the Out-of-School Guidance and the ITGSE, and highly valued: young people experienced the CSE as accessible, relevant and useful, and reported gains in knowledge, attitudes and confidence, valuing in particular the support to access services. Facilitators emerged as the decisive factor in quality: those who were empathetic and able to relate to participants were most effective, and more consistently held gender-equitable attitudes and were more active in linking young people to services.</w:t>
      </w:r>
    </w:p>
    <w:p w:rsidR="00000000" w:rsidDel="00000000" w:rsidP="00000000" w:rsidRDefault="00000000" w:rsidRPr="00000000" w14:paraId="000000C6">
      <w:pPr>
        <w:spacing w:after="120" w:line="268.8" w:lineRule="auto"/>
        <w:rPr>
          <w:rFonts w:ascii="Atkinson Hyperlegible Next" w:cs="Atkinson Hyperlegible Next" w:eastAsia="Atkinson Hyperlegible Next" w:hAnsi="Atkinson Hyperlegible Next"/>
          <w:b w:val="1"/>
          <w:bCs w:val="1"/>
          <w:color w:val="2e75b6"/>
          <w:sz w:val="25"/>
          <w:szCs w:val="25"/>
        </w:rPr>
      </w:pPr>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The Minimum Package for Quality Out-of-School CSE</w:t>
      </w:r>
    </w:p>
    <w:p w:rsidR="00000000" w:rsidDel="00000000" w:rsidP="00000000" w:rsidRDefault="00000000" w:rsidRPr="00000000" w14:paraId="000000C7">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signature product of the evidence work of HRP is the Minimum Package for Quality Out-of-School CSE: an evidence-informed, concrete reference standard that translates broad principles into budget-able, monitorable minimums. It is organized in four interlinked domains and intended as a living guidance, updated as the evidence base grows.</w:t>
      </w:r>
    </w:p>
    <w:p w:rsidR="00000000" w:rsidDel="00000000" w:rsidP="00000000" w:rsidRDefault="00000000" w:rsidRPr="00000000" w14:paraId="000000C8">
      <w:pPr>
        <w:numPr>
          <w:ilvl w:val="0"/>
          <w:numId w:val="4"/>
        </w:numPr>
        <w:spacing w:after="0" w:afterAutospacing="0" w:line="268.8"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b w:val="1"/>
          <w:bCs w:val="1"/>
          <w:rtl w:val="0"/>
        </w:rPr>
        <w:t xml:space="preserve">Design: </w:t>
      </w:r>
      <w:r w:rsidDel="00000000" w:rsidR="00000000" w:rsidRPr="00000000">
        <w:rPr>
          <w:rFonts w:ascii="Atkinson Hyperlegible Next" w:cs="Atkinson Hyperlegible Next" w:eastAsia="Atkinson Hyperlegible Next" w:hAnsi="Atkinson Hyperlegible Next"/>
          <w:rtl w:val="0"/>
        </w:rPr>
        <w:t xml:space="preserve">A written, context-specific facilitator profile (interpersonal skills, empathy, rights-based and gender-transformative commitment, and – where feasible – shared lived experience with the target group), with facilitators selected through a structured process; at least five days (35-40 hours) of pre-service training covering core SRHR topics, gender and rights, values-clarification and myth-busting, inclusive and trauma-informed facilitation, safeguarding and referral; complete and accessible learning materials; and budgeted, ongoing supportive supervision spanning technical, pedagogical and emotional support.</w:t>
      </w:r>
    </w:p>
    <w:p w:rsidR="00000000" w:rsidDel="00000000" w:rsidP="00000000" w:rsidRDefault="00000000" w:rsidRPr="00000000" w14:paraId="000000C9">
      <w:pPr>
        <w:numPr>
          <w:ilvl w:val="0"/>
          <w:numId w:val="4"/>
        </w:numPr>
        <w:spacing w:after="0" w:afterAutospacing="0" w:line="268.8"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Delivery: </w:t>
      </w:r>
      <w:r w:rsidDel="00000000" w:rsidR="00000000" w:rsidRPr="00000000">
        <w:rPr>
          <w:rFonts w:ascii="Atkinson Hyperlegible Next" w:cs="Atkinson Hyperlegible Next" w:eastAsia="Atkinson Hyperlegible Next" w:hAnsi="Atkinson Hyperlegible Next"/>
          <w:rtl w:val="0"/>
        </w:rPr>
        <w:t xml:space="preserve">Coverage of all eight ITGSE key-concept areas with sequenced, age-differentiated modules; a minimum delivery intensity sufficient to cover the curriculum with room to practise; safe, accessible and participatory learning spaces; structured engagement of families, communities and gatekeepers; and an operational minimum referral package linking participants to services.</w:t>
      </w:r>
    </w:p>
    <w:p w:rsidR="00000000" w:rsidDel="00000000" w:rsidP="00000000" w:rsidRDefault="00000000" w:rsidRPr="00000000" w14:paraId="000000CA">
      <w:pPr>
        <w:numPr>
          <w:ilvl w:val="0"/>
          <w:numId w:val="4"/>
        </w:numPr>
        <w:spacing w:after="0" w:afterAutospacing="0" w:line="268.8"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Enabling environment and system integration: </w:t>
      </w:r>
      <w:r w:rsidDel="00000000" w:rsidR="00000000" w:rsidRPr="00000000">
        <w:rPr>
          <w:rFonts w:ascii="Atkinson Hyperlegible Next" w:cs="Atkinson Hyperlegible Next" w:eastAsia="Atkinson Hyperlegible Next" w:hAnsi="Atkinson Hyperlegible Next"/>
          <w:rtl w:val="0"/>
        </w:rPr>
        <w:t xml:space="preserve">Integration of CSE and referral pathways into existing service systems, alignment with national policy, and attention to operational feasibility so that quality can be sustained within real budgets and logistics.</w:t>
      </w:r>
    </w:p>
    <w:p w:rsidR="00000000" w:rsidDel="00000000" w:rsidP="00000000" w:rsidRDefault="00000000" w:rsidRPr="00000000" w14:paraId="000000CB">
      <w:pPr>
        <w:numPr>
          <w:ilvl w:val="0"/>
          <w:numId w:val="4"/>
        </w:numPr>
        <w:spacing w:after="60" w:line="268.8" w:lineRule="auto"/>
        <w:ind w:left="720" w:hanging="360"/>
        <w:rPr>
          <w:rFonts w:ascii="Atkinson Hyperlegible Next" w:cs="Atkinson Hyperlegible Next" w:eastAsia="Atkinson Hyperlegible Next" w:hAnsi="Atkinson Hyperlegible Next"/>
          <w:u w:val="none"/>
        </w:rPr>
      </w:pPr>
      <w:r w:rsidDel="00000000" w:rsidR="00000000" w:rsidRPr="00000000">
        <w:rPr>
          <w:rFonts w:ascii="Atkinson Hyperlegible Next" w:cs="Atkinson Hyperlegible Next" w:eastAsia="Atkinson Hyperlegible Next" w:hAnsi="Atkinson Hyperlegible Next"/>
          <w:b w:val="1"/>
          <w:bCs w:val="1"/>
          <w:rtl w:val="0"/>
        </w:rPr>
        <w:t xml:space="preserve">Monitoring and evaluation: </w:t>
      </w:r>
      <w:r w:rsidDel="00000000" w:rsidR="00000000" w:rsidRPr="00000000">
        <w:rPr>
          <w:rFonts w:ascii="Atkinson Hyperlegible Next" w:cs="Atkinson Hyperlegible Next" w:eastAsia="Atkinson Hyperlegible Next" w:hAnsi="Atkinson Hyperlegible Next"/>
          <w:rtl w:val="0"/>
        </w:rPr>
        <w:t xml:space="preserve">Minimum standards for tracking quality, coverage, fidelity, cost and </w:t>
      </w:r>
      <w:r w:rsidDel="00000000" w:rsidR="00000000" w:rsidRPr="00000000">
        <w:rPr>
          <w:rFonts w:ascii="Atkinson Hyperlegible Next" w:cs="Atkinson Hyperlegible Next" w:eastAsia="Atkinson Hyperlegible Next" w:hAnsi="Atkinson Hyperlegible Next"/>
          <w:rtl w:val="0"/>
        </w:rPr>
        <w:t xml:space="preserve">short-term</w:t>
      </w:r>
      <w:r w:rsidDel="00000000" w:rsidR="00000000" w:rsidRPr="00000000">
        <w:rPr>
          <w:rFonts w:ascii="Atkinson Hyperlegible Next" w:cs="Atkinson Hyperlegible Next" w:eastAsia="Atkinson Hyperlegible Next" w:hAnsi="Atkinson Hyperlegible Next"/>
          <w:rtl w:val="0"/>
        </w:rPr>
        <w:t xml:space="preserve"> outcomes, so that programmes can demonstrate – and improve – their effects.</w:t>
      </w:r>
    </w:p>
    <w:p w:rsidR="00000000" w:rsidDel="00000000" w:rsidP="00000000" w:rsidRDefault="00000000" w:rsidRPr="00000000" w14:paraId="000000CC">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m03qx6yl900r" w:id="33"/>
      <w:bookmarkEnd w:id="33"/>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Phase I compared with Phase II</w:t>
      </w:r>
    </w:p>
    <w:p w:rsidR="00000000" w:rsidDel="00000000" w:rsidP="00000000" w:rsidRDefault="00000000" w:rsidRPr="00000000" w14:paraId="000000CD">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In both phases young people expressed a powerful need for safe, respectful CSE, and facilitators remained the central driver of quality, valued for empathy and relatability; however, in both phases facilitators and young people continued to struggle with the same norm-laden misconceptions about SRHR, illustrating how resistant such norms are to short training. </w:t>
      </w:r>
    </w:p>
    <w:p w:rsidR="00000000" w:rsidDel="00000000" w:rsidP="00000000" w:rsidRDefault="00000000" w:rsidRPr="00000000" w14:paraId="000000CE">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What improved in Phase II was the management system around delivery: more systematic facilitator recruitment, more structured and sustained ongoing support, and more consistent monitoring. </w:t>
      </w:r>
    </w:p>
    <w:p w:rsidR="00000000" w:rsidDel="00000000" w:rsidP="00000000" w:rsidRDefault="00000000" w:rsidRPr="00000000" w14:paraId="000000CF">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 facilitators more consistently demonstrated gender-equitable attitudes and were more active in linking young people to services.</w:t>
      </w:r>
    </w:p>
    <w:p w:rsidR="00000000" w:rsidDel="00000000" w:rsidP="00000000" w:rsidRDefault="00000000" w:rsidRPr="00000000" w14:paraId="000000D0">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ib3x0yeif47n" w:id="34"/>
      <w:bookmarkEnd w:id="34"/>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The independent rapid assessment</w:t>
      </w:r>
    </w:p>
    <w:p w:rsidR="00000000" w:rsidDel="00000000" w:rsidP="00000000" w:rsidRDefault="00000000" w:rsidRPr="00000000" w14:paraId="000000D1">
      <w:pPr>
        <w:spacing w:after="120" w:line="268.8" w:lineRule="auto"/>
        <w:rPr>
          <w:rFonts w:ascii="Atkinson Hyperlegible Next" w:cs="Atkinson Hyperlegible Next" w:eastAsia="Atkinson Hyperlegible Next" w:hAnsi="Atkinson Hyperlegible Next"/>
          <w:color w:val="222222"/>
          <w:sz w:val="21"/>
          <w:szCs w:val="21"/>
        </w:rPr>
      </w:pPr>
      <w:r w:rsidDel="00000000" w:rsidR="00000000" w:rsidRPr="00000000">
        <w:rPr>
          <w:rFonts w:ascii="Atkinson Hyperlegible Next" w:cs="Atkinson Hyperlegible Next" w:eastAsia="Atkinson Hyperlegible Next" w:hAnsi="Atkinson Hyperlegible Next"/>
          <w:rtl w:val="0"/>
        </w:rPr>
        <w:t xml:space="preserve">The external rapid assessment of Phase II (2023-2024), </w:t>
      </w:r>
      <w:r w:rsidDel="00000000" w:rsidR="00000000" w:rsidRPr="00000000">
        <w:rPr>
          <w:rFonts w:ascii="Atkinson Hyperlegible Next" w:cs="Atkinson Hyperlegible Next" w:eastAsia="Atkinson Hyperlegible Next" w:hAnsi="Atkinson Hyperlegible Next"/>
          <w:rtl w:val="0"/>
        </w:rPr>
        <w:t xml:space="preserve">conducted</w:t>
      </w:r>
      <w:r w:rsidDel="00000000" w:rsidR="00000000" w:rsidRPr="00000000">
        <w:rPr>
          <w:rFonts w:ascii="Atkinson Hyperlegible Next" w:cs="Atkinson Hyperlegible Next" w:eastAsia="Atkinson Hyperlegible Next" w:hAnsi="Atkinson Hyperlegible Next"/>
          <w:rtl w:val="0"/>
        </w:rPr>
        <w:t xml:space="preserve"> against the OECD-DAC criteria of effectiveness, efficiency, sustainability and coordination, independently corroborates the implementation research. It confirms the programme as a transformative, evidence-driven initiative responding to the most urgent needs of young people left behind; records more than </w:t>
      </w:r>
      <w:r w:rsidDel="00000000" w:rsidR="00000000" w:rsidRPr="00000000">
        <w:rPr>
          <w:rFonts w:ascii="Atkinson Hyperlegible Next" w:cs="Atkinson Hyperlegible Next" w:eastAsia="Atkinson Hyperlegible Next" w:hAnsi="Atkinson Hyperlegible Next"/>
          <w:rtl w:val="0"/>
        </w:rPr>
        <w:t xml:space="preserve">62,000 adolescents and young people reached through inclusive, gender-transformative approaches, supported by over 400 trained facilitators and hundreds of community gatekeepers; </w:t>
      </w:r>
      <w:r w:rsidDel="00000000" w:rsidR="00000000" w:rsidRPr="00000000">
        <w:rPr>
          <w:rFonts w:ascii="Atkinson Hyperlegible Next" w:cs="Atkinson Hyperlegible Next" w:eastAsia="Atkinson Hyperlegible Next" w:hAnsi="Atkinson Hyperlegible Next"/>
          <w:rtl w:val="0"/>
        </w:rPr>
        <w:t xml:space="preserve">and credits the programme with new national strategies and curricula, strong integration with government and youth-friendly services, and pioneering models such as Moldova’s EduLife Hub. Its priority recommendations for the next phase are: stronger facilitator selection and support, expanded coverage for young people with intellectual disabilities, better service linkages, standardized quality-assurance frameworks and localized strategies to counter opposition.</w:t>
      </w:r>
      <w:r w:rsidDel="00000000" w:rsidR="00000000" w:rsidRPr="00000000">
        <w:rPr>
          <w:rtl w:val="0"/>
        </w:rPr>
      </w:r>
    </w:p>
    <w:p w:rsidR="00000000" w:rsidDel="00000000" w:rsidP="00000000" w:rsidRDefault="00000000" w:rsidRPr="00000000" w14:paraId="000000D2">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97qxkuua8m21" w:id="35"/>
      <w:bookmarkEnd w:id="35"/>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64l2c75af8kj" w:id="36"/>
      <w:bookmarkEnd w:id="36"/>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5.  Highlights of Phase II</w:t>
      </w:r>
    </w:p>
    <w:p w:rsidR="00000000" w:rsidDel="00000000" w:rsidP="00000000" w:rsidRDefault="00000000" w:rsidRPr="00000000" w14:paraId="000000D5">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fww5112tkbfo" w:id="37"/>
      <w:bookmarkEnd w:id="37"/>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Delivering the only OOS CSE programme in Gaza</w:t>
      </w:r>
    </w:p>
    <w:p w:rsidR="00000000" w:rsidDel="00000000" w:rsidP="00000000" w:rsidRDefault="00000000" w:rsidRPr="00000000" w14:paraId="000000D6">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Amid catastrophic conflict and displacement, UNFPA expanded its GirlZone initiative into the Gaza Strip, partnering with community-based organizations to establish girls-only safe spaces where trained female facilitators delivered CSE to displaced adolescent girls, alongside psychosocial support and the distribution of health and hygiene kits. It remained the only OOS CSE programme in the Strip.</w:t>
      </w:r>
    </w:p>
    <w:p w:rsidR="00000000" w:rsidDel="00000000" w:rsidP="00000000" w:rsidRDefault="00000000" w:rsidRPr="00000000" w14:paraId="000000D7">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vu12c9c0vygz" w:id="38"/>
      <w:bookmarkEnd w:id="38"/>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Moldova’s EduLife Hub</w:t>
      </w:r>
    </w:p>
    <w:p w:rsidR="00000000" w:rsidDel="00000000" w:rsidP="00000000" w:rsidRDefault="00000000" w:rsidRPr="00000000" w14:paraId="000000D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With a 300-square-metre space allocated by the Government of Moldova in central Chisinau, the EduLife Hub is a pioneering, youth-centred one-stop facility for life skills, SRHR education, digital literacy and innovation. Designed with direct youth input and a sustainability model spanning government, UN, civil society and private-sector support, it is singled out by the rapid assessment as a flagship model for meaningful adolescent engagement and multisectoral partnership.</w:t>
      </w:r>
    </w:p>
    <w:p w:rsidR="00000000" w:rsidDel="00000000" w:rsidP="00000000" w:rsidRDefault="00000000" w:rsidRPr="00000000" w14:paraId="000000D9">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6ggxiycjv5bh" w:id="39"/>
      <w:bookmarkEnd w:id="39"/>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A new global standard: the Minimum Package</w:t>
      </w:r>
    </w:p>
    <w:p w:rsidR="00000000" w:rsidDel="00000000" w:rsidP="00000000" w:rsidRDefault="00000000" w:rsidRPr="00000000" w14:paraId="000000DA">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Minimum Package for Quality Out-of-School CSE translates multi-country evidence into actionable standards across design, delivery, enabling environment and monitoring – giving governments, implementers and donors a shared reference for quality, consistency and accountability where almost none existed before.</w:t>
      </w:r>
    </w:p>
    <w:p w:rsidR="00000000" w:rsidDel="00000000" w:rsidP="00000000" w:rsidRDefault="00000000" w:rsidRPr="00000000" w14:paraId="000000DB">
      <w:pPr>
        <w:pStyle w:val="Heading3"/>
        <w:keepNext w:val="0"/>
        <w:keepLines w:val="0"/>
        <w:spacing w:after="40" w:before="160" w:line="268.8" w:lineRule="auto"/>
        <w:rPr>
          <w:rFonts w:ascii="Atkinson Hyperlegible Next" w:cs="Atkinson Hyperlegible Next" w:eastAsia="Atkinson Hyperlegible Next" w:hAnsi="Atkinson Hyperlegible Next"/>
          <w:b w:val="1"/>
          <w:bCs w:val="1"/>
          <w:color w:val="127a8a"/>
          <w:sz w:val="22"/>
          <w:szCs w:val="22"/>
        </w:rPr>
      </w:pPr>
      <w:bookmarkStart w:colFirst="0" w:colLast="0" w:name="_hdsa7ll6wwxp" w:id="40"/>
      <w:bookmarkEnd w:id="40"/>
      <w:r w:rsidDel="00000000" w:rsidR="00000000" w:rsidRPr="00000000">
        <w:rPr>
          <w:rFonts w:ascii="Atkinson Hyperlegible Next" w:cs="Atkinson Hyperlegible Next" w:eastAsia="Atkinson Hyperlegible Next" w:hAnsi="Atkinson Hyperlegible Next"/>
          <w:b w:val="1"/>
          <w:bCs w:val="1"/>
          <w:color w:val="127a8a"/>
          <w:sz w:val="22"/>
          <w:szCs w:val="22"/>
          <w:rtl w:val="0"/>
        </w:rPr>
        <w:t xml:space="preserve">The global partnership forum</w:t>
      </w:r>
    </w:p>
    <w:p w:rsidR="00000000" w:rsidDel="00000000" w:rsidP="00000000" w:rsidRDefault="00000000" w:rsidRPr="00000000" w14:paraId="000000DC">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UNFPA co-convened the Global Partnership Forum on CSE with UNESCO – it now comprises over 70 international members, meeting monthly – and used it to disseminate evidence and good practice well beyond the 12 programme countries. Phase II included a virtual CSE Symposium reaching some 600 participants and an in-person technical meeting in Mexico City that produced a collective Recommendation Statement.</w:t>
      </w:r>
    </w:p>
    <w:p w:rsidR="00000000" w:rsidDel="00000000" w:rsidP="00000000" w:rsidRDefault="00000000" w:rsidRPr="00000000" w14:paraId="000000DD">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DE">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D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eaoylu4l7rqv" w:id="41"/>
      <w:bookmarkEnd w:id="41"/>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as3mwtd3s9c9" w:id="42"/>
      <w:bookmarkEnd w:id="42"/>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6.  Challenges and lessons learned</w:t>
      </w:r>
    </w:p>
    <w:p w:rsidR="00000000" w:rsidDel="00000000" w:rsidP="00000000" w:rsidRDefault="00000000" w:rsidRPr="00000000" w14:paraId="000000E1">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8lg1ll6zxs79" w:id="43"/>
      <w:bookmarkEnd w:id="43"/>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Challenges</w:t>
      </w:r>
      <w:r w:rsidDel="00000000" w:rsidR="00000000" w:rsidRPr="00000000">
        <w:rPr>
          <w:rtl w:val="0"/>
        </w:rPr>
      </w:r>
    </w:p>
    <w:p w:rsidR="00000000" w:rsidDel="00000000" w:rsidP="00000000" w:rsidRDefault="00000000" w:rsidRPr="00000000" w14:paraId="000000E2">
      <w:pPr>
        <w:numPr>
          <w:ilvl w:val="0"/>
          <w:numId w:val="2"/>
        </w:numPr>
        <w:spacing w:after="0" w:afterAutospacing="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Humanitarian and economic shocks: </w:t>
      </w:r>
      <w:r w:rsidDel="00000000" w:rsidR="00000000" w:rsidRPr="00000000">
        <w:rPr>
          <w:rFonts w:ascii="Atkinson Hyperlegible Next" w:cs="Atkinson Hyperlegible Next" w:eastAsia="Atkinson Hyperlegible Next" w:hAnsi="Atkinson Hyperlegible Next"/>
          <w:rtl w:val="0"/>
        </w:rPr>
        <w:t xml:space="preserve">Severe external crises – warfare in Gaza, conflict and energy shortages in Iran, climate-induced distress, and fuel and foreign-exchange scarcity, repeatedly disrupted operations and raised the cost and risk of delivery.</w:t>
      </w:r>
    </w:p>
    <w:p w:rsidR="00000000" w:rsidDel="00000000" w:rsidP="00000000" w:rsidRDefault="00000000" w:rsidRPr="00000000" w14:paraId="000000E3">
      <w:pPr>
        <w:numPr>
          <w:ilvl w:val="0"/>
          <w:numId w:val="2"/>
        </w:numPr>
        <w:spacing w:after="0" w:afterAutospacing="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Sociopolitical resistance and stigma: </w:t>
      </w:r>
      <w:r w:rsidDel="00000000" w:rsidR="00000000" w:rsidRPr="00000000">
        <w:rPr>
          <w:rFonts w:ascii="Atkinson Hyperlegible Next" w:cs="Atkinson Hyperlegible Next" w:eastAsia="Atkinson Hyperlegible Next" w:hAnsi="Atkinson Hyperlegible Next"/>
          <w:rtl w:val="0"/>
        </w:rPr>
        <w:t xml:space="preserve">Cultural and religious opposition remained a central barrier in every programme country, from organized anti-CSE campaigns to parental refusal.</w:t>
      </w:r>
    </w:p>
    <w:p w:rsidR="00000000" w:rsidDel="00000000" w:rsidP="00000000" w:rsidRDefault="00000000" w:rsidRPr="00000000" w14:paraId="000000E4">
      <w:pPr>
        <w:numPr>
          <w:ilvl w:val="0"/>
          <w:numId w:val="2"/>
        </w:numPr>
        <w:spacing w:after="0" w:afterAutospacing="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Operational and structural constraints: </w:t>
      </w:r>
      <w:r w:rsidDel="00000000" w:rsidR="00000000" w:rsidRPr="00000000">
        <w:rPr>
          <w:rFonts w:ascii="Atkinson Hyperlegible Next" w:cs="Atkinson Hyperlegible Next" w:eastAsia="Atkinson Hyperlegible Next" w:hAnsi="Atkinson Hyperlegible Next"/>
          <w:rtl w:val="0"/>
        </w:rPr>
        <w:t xml:space="preserve">Teams contended with scheduling inflexibility for youth in vocational training (Tunisia), high turnover of trained instructors and irregular attendance driven by competing livelihood demands (Nigeria), and the tension between depth and reach – Philippines’ intensive 14-session curriculum is transformative but resource-heavy, limiting coverage.</w:t>
      </w:r>
    </w:p>
    <w:p w:rsidR="00000000" w:rsidDel="00000000" w:rsidP="00000000" w:rsidRDefault="00000000" w:rsidRPr="00000000" w14:paraId="000000E5">
      <w:pPr>
        <w:numPr>
          <w:ilvl w:val="0"/>
          <w:numId w:val="2"/>
        </w:numPr>
        <w:spacing w:after="6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Service linkages and inclusion gaps: </w:t>
      </w:r>
      <w:r w:rsidDel="00000000" w:rsidR="00000000" w:rsidRPr="00000000">
        <w:rPr>
          <w:rFonts w:ascii="Atkinson Hyperlegible Next" w:cs="Atkinson Hyperlegible Next" w:eastAsia="Atkinson Hyperlegible Next" w:hAnsi="Atkinson Hyperlegible Next"/>
          <w:rtl w:val="0"/>
        </w:rPr>
        <w:t xml:space="preserve">Across countries, insufficient coverage linking young people with disabilities to services limited the translation of knowledge gains into service uptake and full inclusion.</w:t>
      </w:r>
    </w:p>
    <w:p w:rsidR="00000000" w:rsidDel="00000000" w:rsidP="00000000" w:rsidRDefault="00000000" w:rsidRPr="00000000" w14:paraId="000000E6">
      <w:pPr>
        <w:pStyle w:val="Heading2"/>
        <w:keepNext w:val="0"/>
        <w:keepLines w:val="0"/>
        <w:spacing w:after="80" w:before="240" w:line="268.8" w:lineRule="auto"/>
        <w:rPr>
          <w:rFonts w:ascii="Atkinson Hyperlegible Next" w:cs="Atkinson Hyperlegible Next" w:eastAsia="Atkinson Hyperlegible Next" w:hAnsi="Atkinson Hyperlegible Next"/>
          <w:b w:val="1"/>
          <w:bCs w:val="1"/>
          <w:color w:val="2e75b6"/>
          <w:sz w:val="25"/>
          <w:szCs w:val="25"/>
        </w:rPr>
      </w:pPr>
      <w:bookmarkStart w:colFirst="0" w:colLast="0" w:name="_hgimpq7l0btr" w:id="44"/>
      <w:bookmarkEnd w:id="44"/>
      <w:r w:rsidDel="00000000" w:rsidR="00000000" w:rsidRPr="00000000">
        <w:rPr>
          <w:rFonts w:ascii="Atkinson Hyperlegible Next" w:cs="Atkinson Hyperlegible Next" w:eastAsia="Atkinson Hyperlegible Next" w:hAnsi="Atkinson Hyperlegible Next"/>
          <w:b w:val="1"/>
          <w:bCs w:val="1"/>
          <w:color w:val="2e75b6"/>
          <w:sz w:val="25"/>
          <w:szCs w:val="25"/>
          <w:rtl w:val="0"/>
        </w:rPr>
        <w:t xml:space="preserve">Lessons learned</w:t>
      </w:r>
    </w:p>
    <w:p w:rsidR="00000000" w:rsidDel="00000000" w:rsidP="00000000" w:rsidRDefault="00000000" w:rsidRPr="00000000" w14:paraId="000000E7">
      <w:pPr>
        <w:numPr>
          <w:ilvl w:val="0"/>
          <w:numId w:val="1"/>
        </w:numPr>
        <w:spacing w:after="0" w:afterAutospacing="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Active community ownership as a safeguard: </w:t>
      </w:r>
      <w:r w:rsidDel="00000000" w:rsidR="00000000" w:rsidRPr="00000000">
        <w:rPr>
          <w:rFonts w:ascii="Atkinson Hyperlegible Next" w:cs="Atkinson Hyperlegible Next" w:eastAsia="Atkinson Hyperlegible Next" w:hAnsi="Atkinson Hyperlegible Next"/>
          <w:rtl w:val="0"/>
        </w:rPr>
        <w:t xml:space="preserve">Nigeria showed that integrating parents and religious leaders turns opposition into active advocacy; Gaza showed that engaging mothers is essential to reinforce messages at home and sustain impact.</w:t>
      </w:r>
    </w:p>
    <w:p w:rsidR="00000000" w:rsidDel="00000000" w:rsidP="00000000" w:rsidRDefault="00000000" w:rsidRPr="00000000" w14:paraId="000000E8">
      <w:pPr>
        <w:numPr>
          <w:ilvl w:val="0"/>
          <w:numId w:val="1"/>
        </w:numPr>
        <w:spacing w:after="0" w:afterAutospacing="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Strategic reframing and advocacy work in conservative settings: </w:t>
      </w:r>
      <w:r w:rsidDel="00000000" w:rsidR="00000000" w:rsidRPr="00000000">
        <w:rPr>
          <w:rFonts w:ascii="Atkinson Hyperlegible Next" w:cs="Atkinson Hyperlegible Next" w:eastAsia="Atkinson Hyperlegible Next" w:hAnsi="Atkinson Hyperlegible Next"/>
          <w:rtl w:val="0"/>
        </w:rPr>
        <w:t xml:space="preserve">Iran demonstrated that, with carefully tailored advocacy tools that clearly communicate UNFPA’s mandate, securing buy-in for youth interventions is possible even in highly restrictive environments.</w:t>
      </w:r>
    </w:p>
    <w:p w:rsidR="00000000" w:rsidDel="00000000" w:rsidP="00000000" w:rsidRDefault="00000000" w:rsidRPr="00000000" w14:paraId="000000E9">
      <w:pPr>
        <w:numPr>
          <w:ilvl w:val="0"/>
          <w:numId w:val="1"/>
        </w:numPr>
        <w:spacing w:after="60" w:line="268.8" w:lineRule="auto"/>
        <w:ind w:left="720" w:hanging="360"/>
        <w:rPr>
          <w:u w:val="none"/>
        </w:rPr>
      </w:pPr>
      <w:r w:rsidDel="00000000" w:rsidR="00000000" w:rsidRPr="00000000">
        <w:rPr>
          <w:rFonts w:ascii="Atkinson Hyperlegible Next" w:cs="Atkinson Hyperlegible Next" w:eastAsia="Atkinson Hyperlegible Next" w:hAnsi="Atkinson Hyperlegible Next"/>
          <w:b w:val="1"/>
          <w:bCs w:val="1"/>
          <w:rtl w:val="0"/>
        </w:rPr>
        <w:t xml:space="preserve">Investment in facilitators, support and service links: </w:t>
      </w:r>
      <w:r w:rsidDel="00000000" w:rsidR="00000000" w:rsidRPr="00000000">
        <w:rPr>
          <w:rFonts w:ascii="Atkinson Hyperlegible Next" w:cs="Atkinson Hyperlegible Next" w:eastAsia="Atkinson Hyperlegible Next" w:hAnsi="Atkinson Hyperlegible Next"/>
          <w:rtl w:val="0"/>
        </w:rPr>
        <w:t xml:space="preserve">The research showed that facilitators are the decisive driver of quality, that training and ongoing support must be longer and better resourced, and that education paired with reliable links to services produces the strongest results.</w:t>
      </w:r>
    </w:p>
    <w:p w:rsidR="00000000" w:rsidDel="00000000" w:rsidP="00000000" w:rsidRDefault="00000000" w:rsidRPr="00000000" w14:paraId="000000EA">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EB">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jifiqdxslozd" w:id="45"/>
      <w:bookmarkEnd w:id="45"/>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ki8fkn7lu2ih" w:id="46"/>
      <w:bookmarkEnd w:id="46"/>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7.  Conclusion and forward look</w:t>
      </w:r>
    </w:p>
    <w:p w:rsidR="00000000" w:rsidDel="00000000" w:rsidP="00000000" w:rsidRDefault="00000000" w:rsidRPr="00000000" w14:paraId="000000EE">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Phase II scaled a proof-of-concept into a 12-country programme spanning all six UNFPA regions; it reached more than 70,000 of the world’s most excluded young people directly and many hundreds of thousands more through digital and broadcast channels; it sustained delivery through conflict, displacement, climate shock and organized opposition; and it generated a rigorous, independently corroborated evidence base showing that tailored out-of-school CSE works. In doing so it produced durable public goods: national strategies and curricula, accessible and localized materials, a strengthened Global Partnership Forum, and the Minimum Package for Quality Out-of-School CSE.</w:t>
      </w:r>
    </w:p>
    <w:p w:rsidR="00000000" w:rsidDel="00000000" w:rsidP="00000000" w:rsidRDefault="00000000" w:rsidRPr="00000000" w14:paraId="000000EF">
      <w:pPr>
        <w:spacing w:after="16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The next phase’s overarching priority is to shift the focus from reach to quality assurance: building on strong coverage by deepening the quality of delivery, the continuity of young people’s engagement, and the programme’s ability to measure and demonstrate change in knowledge, behaviour and norms. The next phase strives to: i) strengthen the systems that make the rollout of the technical guidance consistent, measurable and accountable, including the roll-out of the Minimum Package for Quality Out-of-School CSE, ii) consolidate the offer of inclusive, gender-transformative CSE for the populations furthest left behind with stronger links to SRH and GBV services, iii) continue generating and disseminating evidence, iv) protect an enabling environment against opposition through the programme’s strategic partnerships: WHO/HRP, the CSE Global Partnership Forum, UNESCO, the World Association for Sexual Health and new academic and youth partners.</w:t>
      </w:r>
    </w:p>
    <w:p w:rsidR="00000000" w:rsidDel="00000000" w:rsidP="00000000" w:rsidRDefault="00000000" w:rsidRPr="00000000" w14:paraId="000000F0">
      <w:pPr>
        <w:spacing w:after="160" w:line="268.8" w:lineRule="auto"/>
        <w:rPr>
          <w:rFonts w:ascii="Atkinson Hyperlegible Next" w:cs="Atkinson Hyperlegible Next" w:eastAsia="Atkinson Hyperlegible Next" w:hAnsi="Atkinson Hyperlegible Next"/>
        </w:rPr>
      </w:pPr>
      <w:r w:rsidDel="00000000" w:rsidR="00000000" w:rsidRPr="00000000">
        <w:rPr>
          <w:rtl w:val="0"/>
        </w:rPr>
      </w:r>
    </w:p>
    <w:p w:rsidR="00000000" w:rsidDel="00000000" w:rsidP="00000000" w:rsidRDefault="00000000" w:rsidRPr="00000000" w14:paraId="000000F1">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F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6tf5vcnf5q2y" w:id="47"/>
      <w:bookmarkEnd w:id="47"/>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8.  Closing statement for fund closure</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765" w:hRule="atLeast"/>
          <w:tblHeader w:val="0"/>
        </w:trPr>
        <w:tc>
          <w:tcPr>
            <w:tcBorders>
              <w:top w:color="000000" w:space="0" w:sz="0" w:val="nil"/>
              <w:left w:color="1f3a5f" w:space="0" w:sz="22" w:val="single"/>
              <w:bottom w:color="000000" w:space="0" w:sz="0" w:val="nil"/>
              <w:right w:color="000000" w:space="0" w:sz="0" w:val="nil"/>
            </w:tcBorders>
            <w:shd w:fill="f2f6fb" w:val="clear"/>
            <w:tcMar>
              <w:top w:w="120.0" w:type="dxa"/>
              <w:left w:w="160.0" w:type="dxa"/>
              <w:bottom w:w="120.0" w:type="dxa"/>
              <w:right w:w="160.0" w:type="dxa"/>
            </w:tcMar>
            <w:vAlign w:val="top"/>
          </w:tcPr>
          <w:p w:rsidR="00000000" w:rsidDel="00000000" w:rsidP="00000000" w:rsidRDefault="00000000" w:rsidRPr="00000000" w14:paraId="000000F3">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F4">
            <w:pPr>
              <w:spacing w:after="40" w:line="264"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With this report, UNFPA closes Phase II of the Global Programme on Out-of-School Comprehensive Sexuality Education and reports to the Government of Norway for its conclusion. Over 2023-2024 and the 2025 no-cost extension, the programme delivered against its objectives across 12 countries and at the global level, reaching more than 70,000 marginalized adolescents and young people directly – and many hundreds of thousands more through digital and broadcast channels – generating an independently validated evidence base, and producing a Minimum Package for Quality Out-of-School CSE that establishes a lasting standard for the field. The phase concluded with near-complete financial delivery.</w:t>
            </w:r>
          </w:p>
          <w:p w:rsidR="00000000" w:rsidDel="00000000" w:rsidP="00000000" w:rsidRDefault="00000000" w:rsidRPr="00000000" w14:paraId="000000F5">
            <w:pPr>
              <w:spacing w:after="40" w:line="264" w:lineRule="auto"/>
              <w:rPr>
                <w:rFonts w:ascii="Atkinson Hyperlegible Next" w:cs="Atkinson Hyperlegible Next" w:eastAsia="Atkinson Hyperlegible Next" w:hAnsi="Atkinson Hyperlegible Next"/>
                <w:sz w:val="20"/>
                <w:szCs w:val="20"/>
              </w:rPr>
            </w:pPr>
            <w:r w:rsidDel="00000000" w:rsidR="00000000" w:rsidRPr="00000000">
              <w:rPr>
                <w:rFonts w:ascii="Atkinson Hyperlegible Next" w:cs="Atkinson Hyperlegible Next" w:eastAsia="Atkinson Hyperlegible Next" w:hAnsi="Atkinson Hyperlegible Next"/>
                <w:sz w:val="20"/>
                <w:szCs w:val="20"/>
                <w:rtl w:val="0"/>
              </w:rPr>
              <w:t xml:space="preserve">UNFPA records its deep gratitude to Norad and the Government of Norway for their generous and steadfast support, and for their unwavering commitment to reaching those left furthest behind. That partnership made it possible to bring rights-based sexuality education to young people in the world’s most challenging settings, and its legacy – in national systems, in evidence and in the lives of young people – will endure well beyond the close of this funding.</w:t>
            </w:r>
          </w:p>
        </w:tc>
      </w:tr>
    </w:tbl>
    <w:p w:rsidR="00000000" w:rsidDel="00000000" w:rsidP="00000000" w:rsidRDefault="00000000" w:rsidRPr="00000000" w14:paraId="000000F6">
      <w:pPr>
        <w:spacing w:after="4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F7">
      <w:pPr>
        <w:spacing w:after="60" w:line="276" w:lineRule="auto"/>
        <w:ind w:left="720" w:hanging="360"/>
        <w:rPr>
          <w:rFonts w:ascii="Atkinson Hyperlegible Next" w:cs="Atkinson Hyperlegible Next" w:eastAsia="Atkinson Hyperlegible Next" w:hAnsi="Atkinson Hyperlegible Next"/>
          <w:color w:val="222222"/>
          <w:sz w:val="21"/>
          <w:szCs w:val="21"/>
        </w:rPr>
      </w:pPr>
      <w:r w:rsidDel="00000000" w:rsidR="00000000" w:rsidRPr="00000000">
        <w:rPr>
          <w:rtl w:val="0"/>
        </w:rPr>
      </w:r>
    </w:p>
    <w:p w:rsidR="00000000" w:rsidDel="00000000" w:rsidP="00000000" w:rsidRDefault="00000000" w:rsidRPr="00000000" w14:paraId="000000F8">
      <w:pPr>
        <w:spacing w:after="12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0F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60" w:before="320" w:line="268.8" w:lineRule="auto"/>
        <w:rPr>
          <w:rFonts w:ascii="Atkinson Hyperlegible Next" w:cs="Atkinson Hyperlegible Next" w:eastAsia="Atkinson Hyperlegible Next" w:hAnsi="Atkinson Hyperlegible Next"/>
          <w:b w:val="1"/>
          <w:bCs w:val="1"/>
          <w:color w:val="1f3a5f"/>
          <w:sz w:val="32"/>
          <w:szCs w:val="32"/>
        </w:rPr>
      </w:pPr>
      <w:bookmarkStart w:colFirst="0" w:colLast="0" w:name="_8q9z3btrq2vz" w:id="48"/>
      <w:bookmarkEnd w:id="48"/>
      <w:r w:rsidDel="00000000" w:rsidR="00000000" w:rsidRPr="00000000">
        <w:rPr>
          <w:rFonts w:ascii="Atkinson Hyperlegible Next" w:cs="Atkinson Hyperlegible Next" w:eastAsia="Atkinson Hyperlegible Next" w:hAnsi="Atkinson Hyperlegible Next"/>
          <w:b w:val="1"/>
          <w:bCs w:val="1"/>
          <w:color w:val="1f3a5f"/>
          <w:sz w:val="32"/>
          <w:szCs w:val="32"/>
          <w:rtl w:val="0"/>
        </w:rPr>
        <w:t xml:space="preserve">Annexes</w:t>
      </w:r>
    </w:p>
    <w:p w:rsidR="00000000" w:rsidDel="00000000" w:rsidP="00000000" w:rsidRDefault="00000000" w:rsidRPr="00000000" w14:paraId="000000FA">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Annual Progress Report 2023 (Norad) – UNFPA</w:t>
      </w:r>
    </w:p>
    <w:p w:rsidR="00000000" w:rsidDel="00000000" w:rsidP="00000000" w:rsidRDefault="00000000" w:rsidRPr="00000000" w14:paraId="000000FB">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Annual Progress Report 2024 (Norad) – UNFPA</w:t>
      </w:r>
    </w:p>
    <w:p w:rsidR="00000000" w:rsidDel="00000000" w:rsidP="00000000" w:rsidRDefault="00000000" w:rsidRPr="00000000" w14:paraId="000000FC">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Norad Annual Report 2025 (no-cost extension year) – UNFPA</w:t>
      </w:r>
    </w:p>
    <w:p w:rsidR="00000000" w:rsidDel="00000000" w:rsidP="00000000" w:rsidRDefault="00000000" w:rsidRPr="00000000" w14:paraId="000000FD">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HRP Final Narrative Report on implementation research</w:t>
      </w:r>
    </w:p>
    <w:p w:rsidR="00000000" w:rsidDel="00000000" w:rsidP="00000000" w:rsidRDefault="00000000" w:rsidRPr="00000000" w14:paraId="000000FE">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 Implementation Research </w:t>
      </w:r>
      <w:r w:rsidDel="00000000" w:rsidR="00000000" w:rsidRPr="00000000">
        <w:rPr>
          <w:rFonts w:ascii="Atkinson Hyperlegible Next" w:cs="Atkinson Hyperlegible Next" w:eastAsia="Atkinson Hyperlegible Next" w:hAnsi="Atkinson Hyperlegible Next"/>
          <w:rtl w:val="0"/>
        </w:rPr>
        <w:t xml:space="preserve">Synthesis Report Phase II (HRP, 8 February 2026)</w:t>
      </w:r>
    </w:p>
    <w:p w:rsidR="00000000" w:rsidDel="00000000" w:rsidP="00000000" w:rsidRDefault="00000000" w:rsidRPr="00000000" w14:paraId="000000FF">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Rapid Assessment 2023-2024, UNFPA Global Programme on OOS CSE Phase II (final, November 2025) – independent external assessment</w:t>
      </w:r>
    </w:p>
    <w:p w:rsidR="00000000" w:rsidDel="00000000" w:rsidP="00000000" w:rsidRDefault="00000000" w:rsidRPr="00000000" w14:paraId="00000100">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The Global Programme on OOS CSE – Phase II Proposal (3 September 2021) – objectives, theory of change, baseline</w:t>
      </w:r>
    </w:p>
    <w:p w:rsidR="00000000" w:rsidDel="00000000" w:rsidP="00000000" w:rsidRDefault="00000000" w:rsidRPr="00000000" w14:paraId="00000101">
      <w:pPr>
        <w:spacing w:after="60" w:line="268.8" w:lineRule="auto"/>
        <w:ind w:left="720" w:hanging="360"/>
        <w:rPr>
          <w:rFonts w:ascii="Atkinson Hyperlegible Next" w:cs="Atkinson Hyperlegible Next" w:eastAsia="Atkinson Hyperlegible Next" w:hAnsi="Atkinson Hyperlegible Nex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tkinson Hyperlegible Next" w:cs="Atkinson Hyperlegible Next" w:eastAsia="Atkinson Hyperlegible Next" w:hAnsi="Atkinson Hyperlegible Next"/>
          <w:rtl w:val="0"/>
        </w:rPr>
        <w:t xml:space="preserve">Results-Based Framework Phase II (Revised 2023) – goal, outcomes, outputs and indicators</w:t>
      </w:r>
    </w:p>
    <w:p w:rsidR="00000000" w:rsidDel="00000000" w:rsidP="00000000" w:rsidRDefault="00000000" w:rsidRPr="00000000" w14:paraId="00000102">
      <w:pPr>
        <w:spacing w:after="80" w:line="268.8" w:lineRule="auto"/>
        <w:rPr>
          <w:rFonts w:ascii="Atkinson Hyperlegible Next" w:cs="Atkinson Hyperlegible Next" w:eastAsia="Atkinson Hyperlegible Next" w:hAnsi="Atkinson Hyperlegible Next"/>
        </w:rPr>
      </w:pPr>
      <w:r w:rsidDel="00000000" w:rsidR="00000000" w:rsidRPr="00000000">
        <w:rPr>
          <w:rFonts w:ascii="Atkinson Hyperlegible Next" w:cs="Atkinson Hyperlegible Next" w:eastAsia="Atkinson Hyperlegible Next" w:hAnsi="Atkinson Hyperlegible Next"/>
          <w:rtl w:val="0"/>
        </w:rPr>
        <w:t xml:space="preserve"> </w:t>
      </w:r>
    </w:p>
    <w:p w:rsidR="00000000" w:rsidDel="00000000" w:rsidP="00000000" w:rsidRDefault="00000000" w:rsidRPr="00000000" w14:paraId="00000103">
      <w:pPr>
        <w:rPr/>
      </w:pPr>
      <w:r w:rsidDel="00000000" w:rsidR="00000000" w:rsidRPr="00000000">
        <w:rPr>
          <w:rtl w:val="0"/>
        </w:rPr>
      </w:r>
    </w:p>
    <w:sectPr>
      <w:headerReference r:id="rId6" w:type="defaul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tkinson Hyperlegible N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pict>
        <v:shape id="PowerPlusWaterMarkObject1" style="position:absolute;width:461.4019023631524pt;height:176.79815816225576pt;rotation:315;z-index:-503316481;mso-position-horizontal-relative:margin;mso-position-horizontal:center;mso-position-vertical-relative:margin;mso-position-vertical:center;" fillcolor="#e8eaed" stroked="f" type="#_x0000_t136">
          <v:fill angle="0" opacity="65536f"/>
          <v:textpath fitshape="t" string="Draft 0"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Next-regular.ttf"/><Relationship Id="rId2" Type="http://schemas.openxmlformats.org/officeDocument/2006/relationships/font" Target="fonts/AtkinsonHyperlegibleNext-bold.ttf"/><Relationship Id="rId3" Type="http://schemas.openxmlformats.org/officeDocument/2006/relationships/font" Target="fonts/AtkinsonHyperlegibleNext-italic.ttf"/><Relationship Id="rId4" Type="http://schemas.openxmlformats.org/officeDocument/2006/relationships/font" Target="fonts/AtkinsonHyperlegibleN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