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Atkinson Hyperlegible Next" w:cs="Atkinson Hyperlegible Next" w:eastAsia="Atkinson Hyperlegible Next" w:hAnsi="Atkinson Hyperlegible Next"/>
          <w:b w:val="1"/>
          <w:bCs w:val="1"/>
          <w:sz w:val="60"/>
          <w:szCs w:val="60"/>
        </w:rPr>
      </w:pPr>
      <w:r w:rsidDel="00000000" w:rsidR="00000000" w:rsidRPr="00000000">
        <w:rPr>
          <w:rtl w:val="0"/>
        </w:rPr>
      </w:r>
    </w:p>
    <w:p w:rsidR="00000000" w:rsidDel="00000000" w:rsidP="00000000" w:rsidRDefault="00000000" w:rsidRPr="00000000" w14:paraId="00000002">
      <w:pPr>
        <w:spacing w:after="200" w:lineRule="auto"/>
        <w:rPr>
          <w:rFonts w:ascii="Atkinson Hyperlegible Next" w:cs="Atkinson Hyperlegible Next" w:eastAsia="Atkinson Hyperlegible Next" w:hAnsi="Atkinson Hyperlegible Next"/>
          <w:b w:val="1"/>
          <w:bCs w:val="1"/>
          <w:sz w:val="60"/>
          <w:szCs w:val="60"/>
        </w:rPr>
      </w:pPr>
      <w:r w:rsidDel="00000000" w:rsidR="00000000" w:rsidRPr="00000000">
        <w:rPr>
          <w:rFonts w:ascii="Atkinson Hyperlegible Next" w:cs="Atkinson Hyperlegible Next" w:eastAsia="Atkinson Hyperlegible Next" w:hAnsi="Atkinson Hyperlegible Next"/>
          <w:b w:val="1"/>
          <w:bCs w:val="1"/>
          <w:sz w:val="60"/>
          <w:szCs w:val="60"/>
          <w:rtl w:val="0"/>
        </w:rPr>
        <w:t xml:space="preserve">EmpowerED</w:t>
      </w:r>
    </w:p>
    <w:p w:rsidR="00000000" w:rsidDel="00000000" w:rsidP="00000000" w:rsidRDefault="00000000" w:rsidRPr="00000000" w14:paraId="00000003">
      <w:pPr>
        <w:spacing w:after="200" w:lineRule="auto"/>
        <w:rPr>
          <w:rFonts w:ascii="Atkinson Hyperlegible Next" w:cs="Atkinson Hyperlegible Next" w:eastAsia="Atkinson Hyperlegible Next" w:hAnsi="Atkinson Hyperlegible Next"/>
          <w:sz w:val="25"/>
          <w:szCs w:val="25"/>
        </w:rPr>
      </w:pPr>
      <w:r w:rsidDel="00000000" w:rsidR="00000000" w:rsidRPr="00000000">
        <w:rPr>
          <w:rFonts w:ascii="Atkinson Hyperlegible Next" w:cs="Atkinson Hyperlegible Next" w:eastAsia="Atkinson Hyperlegible Next" w:hAnsi="Atkinson Hyperlegible Next"/>
          <w:sz w:val="25"/>
          <w:szCs w:val="25"/>
          <w:rtl w:val="0"/>
        </w:rPr>
        <w:t xml:space="preserve">A UNFPA global initiative towards universal access to comprehensive sexuality education for adolescents and youth</w:t>
      </w:r>
    </w:p>
    <w:p w:rsidR="00000000" w:rsidDel="00000000" w:rsidP="00000000" w:rsidRDefault="00000000" w:rsidRPr="00000000" w14:paraId="0000000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05">
      <w:pPr>
        <w:spacing w:after="200" w:lineRule="auto"/>
        <w:rPr>
          <w:rFonts w:ascii="Atkinson Hyperlegible Next" w:cs="Atkinson Hyperlegible Next" w:eastAsia="Atkinson Hyperlegible Next" w:hAnsi="Atkinson Hyperlegible Next"/>
          <w:b w:val="1"/>
          <w:bCs w:val="1"/>
          <w:color w:val="e25a1e"/>
          <w:sz w:val="40"/>
          <w:szCs w:val="40"/>
        </w:rPr>
      </w:pPr>
      <w:r w:rsidDel="00000000" w:rsidR="00000000" w:rsidRPr="00000000">
        <w:rPr>
          <w:rFonts w:ascii="Atkinson Hyperlegible Next" w:cs="Atkinson Hyperlegible Next" w:eastAsia="Atkinson Hyperlegible Next" w:hAnsi="Atkinson Hyperlegible Next"/>
          <w:b w:val="1"/>
          <w:bCs w:val="1"/>
          <w:color w:val="e25a1e"/>
          <w:sz w:val="40"/>
          <w:szCs w:val="40"/>
          <w:rtl w:val="0"/>
        </w:rPr>
        <w:t xml:space="preserve">Baseline assessment report</w:t>
      </w:r>
    </w:p>
    <w:p w:rsidR="00000000" w:rsidDel="00000000" w:rsidP="00000000" w:rsidRDefault="00000000" w:rsidRPr="00000000" w14:paraId="00000006">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0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Argentina, Benin, Colombia, Ethiopia, Ghana, Malawi, Moldova, the Philippines, Tunisia and Zambia</w:t>
      </w:r>
    </w:p>
    <w:p w:rsidR="00000000" w:rsidDel="00000000" w:rsidP="00000000" w:rsidRDefault="00000000" w:rsidRPr="00000000" w14:paraId="00000008">
      <w:pPr>
        <w:spacing w:after="200" w:lineRule="auto"/>
        <w:rPr>
          <w:rFonts w:ascii="Atkinson Hyperlegible Next" w:cs="Atkinson Hyperlegible Next" w:eastAsia="Atkinson Hyperlegible Next" w:hAnsi="Atkinson Hyperlegible Next"/>
          <w:color w:val="8a8a8a"/>
          <w:sz w:val="20"/>
          <w:szCs w:val="20"/>
        </w:rPr>
      </w:pPr>
      <w:r w:rsidDel="00000000" w:rsidR="00000000" w:rsidRPr="00000000">
        <w:rPr>
          <w:rFonts w:ascii="Atkinson Hyperlegible Next" w:cs="Atkinson Hyperlegible Next" w:eastAsia="Atkinson Hyperlegible Next" w:hAnsi="Atkinson Hyperlegible Next"/>
          <w:color w:val="8a8a8a"/>
          <w:sz w:val="20"/>
          <w:szCs w:val="20"/>
          <w:rtl w:val="0"/>
        </w:rPr>
        <w:t xml:space="preserve">March 2026</w:t>
      </w:r>
      <w:r w:rsidDel="00000000" w:rsidR="00000000" w:rsidRPr="00000000">
        <w:br w:type="page"/>
      </w:r>
      <w:r w:rsidDel="00000000" w:rsidR="00000000" w:rsidRPr="00000000">
        <w:rPr>
          <w:rtl w:val="0"/>
        </w:rPr>
      </w:r>
    </w:p>
    <w:p w:rsidR="00000000" w:rsidDel="00000000" w:rsidP="00000000" w:rsidRDefault="00000000" w:rsidRPr="00000000" w14:paraId="00000009">
      <w:pPr>
        <w:spacing w:after="200" w:before="100" w:lineRule="auto"/>
        <w:rPr>
          <w:rFonts w:ascii="Atkinson Hyperlegible Next" w:cs="Atkinson Hyperlegible Next" w:eastAsia="Atkinson Hyperlegible Next" w:hAnsi="Atkinson Hyperlegible Next"/>
          <w:b w:val="1"/>
          <w:bCs w:val="1"/>
          <w:sz w:val="21"/>
          <w:szCs w:val="21"/>
        </w:rPr>
      </w:pPr>
      <w:r w:rsidDel="00000000" w:rsidR="00000000" w:rsidRPr="00000000">
        <w:rPr>
          <w:rFonts w:ascii="Atkinson Hyperlegible Next" w:cs="Atkinson Hyperlegible Next" w:eastAsia="Atkinson Hyperlegible Next" w:hAnsi="Atkinson Hyperlegible Next"/>
          <w:b w:val="1"/>
          <w:bCs w:val="1"/>
          <w:sz w:val="21"/>
          <w:szCs w:val="21"/>
          <w:rtl w:val="0"/>
        </w:rPr>
        <w:t xml:space="preserve">Team composition:</w:t>
      </w:r>
    </w:p>
    <w:p w:rsidR="00000000" w:rsidDel="00000000" w:rsidP="00000000" w:rsidRDefault="00000000" w:rsidRPr="00000000" w14:paraId="0000000A">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Global report: Wafa Dhaouadi</w:t>
      </w:r>
    </w:p>
    <w:p w:rsidR="00000000" w:rsidDel="00000000" w:rsidP="00000000" w:rsidRDefault="00000000" w:rsidRPr="00000000" w14:paraId="0000000B">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Argentina: Lorena Balardini.</w:t>
      </w:r>
    </w:p>
    <w:p w:rsidR="00000000" w:rsidDel="00000000" w:rsidP="00000000" w:rsidRDefault="00000000" w:rsidRPr="00000000" w14:paraId="0000000C">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Benin: Elias M. Avahoundje, Christian Agossou, Boyi Hounsou Christelle, and Dossou Jean-paul.</w:t>
      </w:r>
    </w:p>
    <w:p w:rsidR="00000000" w:rsidDel="00000000" w:rsidP="00000000" w:rsidRDefault="00000000" w:rsidRPr="00000000" w14:paraId="0000000D">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Colombia: Carlos Enrique Hoyos.</w:t>
      </w:r>
    </w:p>
    <w:p w:rsidR="00000000" w:rsidDel="00000000" w:rsidP="00000000" w:rsidRDefault="00000000" w:rsidRPr="00000000" w14:paraId="0000000E">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Ethiopia: Mehiret Habte.</w:t>
      </w:r>
    </w:p>
    <w:p w:rsidR="00000000" w:rsidDel="00000000" w:rsidP="00000000" w:rsidRDefault="00000000" w:rsidRPr="00000000" w14:paraId="0000000F">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Ghana: Joshua Amo-Adjei.</w:t>
      </w:r>
    </w:p>
    <w:p w:rsidR="00000000" w:rsidDel="00000000" w:rsidP="00000000" w:rsidRDefault="00000000" w:rsidRPr="00000000" w14:paraId="00000010">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Malawi: Hope Msosa and Priscilla Thindwa,.</w:t>
      </w:r>
    </w:p>
    <w:p w:rsidR="00000000" w:rsidDel="00000000" w:rsidP="00000000" w:rsidRDefault="00000000" w:rsidRPr="00000000" w14:paraId="00000011">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Moldova: Liviu Cazacliu, Valentina Bodrug-Lungu and Diana Cheianu-Andrei</w:t>
      </w:r>
    </w:p>
    <w:p w:rsidR="00000000" w:rsidDel="00000000" w:rsidP="00000000" w:rsidRDefault="00000000" w:rsidRPr="00000000" w14:paraId="00000012">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Philippines: Michael Pastor and the University of the Philippines Center for Women’s Studies Foundation, Inc.</w:t>
      </w:r>
    </w:p>
    <w:p w:rsidR="00000000" w:rsidDel="00000000" w:rsidP="00000000" w:rsidRDefault="00000000" w:rsidRPr="00000000" w14:paraId="00000013">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Tunisia: Dorra Bouali.</w:t>
      </w:r>
    </w:p>
    <w:p w:rsidR="00000000" w:rsidDel="00000000" w:rsidP="00000000" w:rsidRDefault="00000000" w:rsidRPr="00000000" w14:paraId="00000014">
      <w:pPr>
        <w:spacing w:after="200" w:before="100" w:lineRule="auto"/>
        <w:ind w:left="1080" w:hanging="360"/>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w:t>
      </w:r>
      <w:r w:rsidDel="00000000" w:rsidR="00000000" w:rsidRPr="00000000">
        <w:rPr>
          <w:rFonts w:ascii="Atkinson Hyperlegible Next" w:cs="Atkinson Hyperlegible Next" w:eastAsia="Atkinson Hyperlegible Next" w:hAnsi="Atkinson Hyperlegible Next"/>
          <w:sz w:val="18"/>
          <w:szCs w:val="18"/>
          <w:rtl w:val="0"/>
        </w:rPr>
        <w:t xml:space="preserve">        </w:t>
      </w:r>
      <w:r w:rsidDel="00000000" w:rsidR="00000000" w:rsidRPr="00000000">
        <w:rPr>
          <w:rFonts w:ascii="Atkinson Hyperlegible Next" w:cs="Atkinson Hyperlegible Next" w:eastAsia="Atkinson Hyperlegible Next" w:hAnsi="Atkinson Hyperlegible Next"/>
          <w:sz w:val="21"/>
          <w:szCs w:val="21"/>
          <w:rtl w:val="0"/>
        </w:rPr>
        <w:t xml:space="preserve">Zambia: Kumbutso Dzekedzeke.</w:t>
      </w:r>
    </w:p>
    <w:p w:rsidR="00000000" w:rsidDel="00000000" w:rsidP="00000000" w:rsidRDefault="00000000" w:rsidRPr="00000000" w14:paraId="00000015">
      <w:pPr>
        <w:spacing w:after="200" w:before="100" w:lineRule="auto"/>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Special thanks to Marianna Vavitsas for supporting the baseline design.</w:t>
      </w:r>
    </w:p>
    <w:p w:rsidR="00000000" w:rsidDel="00000000" w:rsidP="00000000" w:rsidRDefault="00000000" w:rsidRPr="00000000" w14:paraId="00000016">
      <w:pPr>
        <w:spacing w:after="200" w:before="100" w:lineRule="auto"/>
        <w:rPr>
          <w:rFonts w:ascii="Atkinson Hyperlegible Next" w:cs="Atkinson Hyperlegible Next" w:eastAsia="Atkinson Hyperlegible Next" w:hAnsi="Atkinson Hyperlegible Next"/>
          <w:b w:val="1"/>
          <w:bCs w:val="1"/>
          <w:sz w:val="21"/>
          <w:szCs w:val="21"/>
        </w:rPr>
      </w:pPr>
      <w:r w:rsidDel="00000000" w:rsidR="00000000" w:rsidRPr="00000000">
        <w:rPr>
          <w:rFonts w:ascii="Atkinson Hyperlegible Next" w:cs="Atkinson Hyperlegible Next" w:eastAsia="Atkinson Hyperlegible Next" w:hAnsi="Atkinson Hyperlegible Next"/>
          <w:b w:val="1"/>
          <w:bCs w:val="1"/>
          <w:sz w:val="21"/>
          <w:szCs w:val="21"/>
          <w:rtl w:val="0"/>
        </w:rPr>
        <w:t xml:space="preserve"> Disclaimer</w:t>
      </w:r>
    </w:p>
    <w:p w:rsidR="00000000" w:rsidDel="00000000" w:rsidP="00000000" w:rsidRDefault="00000000" w:rsidRPr="00000000" w14:paraId="00000017">
      <w:pPr>
        <w:spacing w:after="200" w:before="100" w:lineRule="auto"/>
        <w:rPr>
          <w:rFonts w:ascii="Atkinson Hyperlegible Next" w:cs="Atkinson Hyperlegible Next" w:eastAsia="Atkinson Hyperlegible Next" w:hAnsi="Atkinson Hyperlegible Next"/>
          <w:sz w:val="21"/>
          <w:szCs w:val="21"/>
        </w:rPr>
      </w:pPr>
      <w:r w:rsidDel="00000000" w:rsidR="00000000" w:rsidRPr="00000000">
        <w:rPr>
          <w:rFonts w:ascii="Atkinson Hyperlegible Next" w:cs="Atkinson Hyperlegible Next" w:eastAsia="Atkinson Hyperlegible Next" w:hAnsi="Atkinson Hyperlegible Next"/>
          <w:sz w:val="21"/>
          <w:szCs w:val="21"/>
          <w:rtl w:val="0"/>
        </w:rPr>
        <w:t xml:space="preserve">This is an internal report meant for programmatic purposes, and it is not to be shared publicly.</w:t>
      </w:r>
    </w:p>
    <w:p w:rsidR="00000000" w:rsidDel="00000000" w:rsidP="00000000" w:rsidRDefault="00000000" w:rsidRPr="00000000" w14:paraId="00000018">
      <w:pPr>
        <w:spacing w:after="200" w:before="100" w:lineRule="auto"/>
        <w:rPr>
          <w:rFonts w:ascii="Atkinson Hyperlegible Next" w:cs="Atkinson Hyperlegible Next" w:eastAsia="Atkinson Hyperlegible Next" w:hAnsi="Atkinson Hyperlegible Next"/>
          <w:b w:val="1"/>
          <w:bCs w:val="1"/>
          <w:sz w:val="21"/>
          <w:szCs w:val="21"/>
        </w:rPr>
      </w:pPr>
      <w:r w:rsidDel="00000000" w:rsidR="00000000" w:rsidRPr="00000000">
        <w:rPr>
          <w:rFonts w:ascii="Atkinson Hyperlegible Next" w:cs="Atkinson Hyperlegible Next" w:eastAsia="Atkinson Hyperlegible Next" w:hAnsi="Atkinson Hyperlegible Next"/>
          <w:b w:val="1"/>
          <w:bCs w:val="1"/>
          <w:sz w:val="21"/>
          <w:szCs w:val="21"/>
          <w:rtl w:val="0"/>
        </w:rPr>
        <w:t xml:space="preserve"> Disclaimer on AI use</w:t>
      </w:r>
    </w:p>
    <w:p w:rsidR="00000000" w:rsidDel="00000000" w:rsidP="00000000" w:rsidRDefault="00000000" w:rsidRPr="00000000" w14:paraId="00000019">
      <w:pPr>
        <w:spacing w:after="200" w:before="100" w:lineRule="auto"/>
        <w:rPr>
          <w:rFonts w:ascii="Atkinson Hyperlegible Next" w:cs="Atkinson Hyperlegible Next" w:eastAsia="Atkinson Hyperlegible Next" w:hAnsi="Atkinson Hyperlegible Next"/>
          <w:sz w:val="24"/>
          <w:szCs w:val="24"/>
        </w:rPr>
      </w:pPr>
      <w:r w:rsidDel="00000000" w:rsidR="00000000" w:rsidRPr="00000000">
        <w:rPr>
          <w:rFonts w:ascii="Atkinson Hyperlegible Next" w:cs="Atkinson Hyperlegible Next" w:eastAsia="Atkinson Hyperlegible Next" w:hAnsi="Atkinson Hyperlegible Next"/>
          <w:sz w:val="21"/>
          <w:szCs w:val="21"/>
          <w:rtl w:val="0"/>
        </w:rPr>
        <w:t xml:space="preserve">AI-based writing tools were used selectively to support drafting, synthesis, and clarity, in line with UNFPA guidelines on the responsible and ethical use of artificial intelligence. Analytical judgments, interpretations, and conclusions were developed by the authors.</w:t>
      </w:r>
      <w:r w:rsidDel="00000000" w:rsidR="00000000" w:rsidRPr="00000000">
        <w:rPr>
          <w:rtl w:val="0"/>
        </w:rPr>
      </w:r>
    </w:p>
    <w:p w:rsidR="00000000" w:rsidDel="00000000" w:rsidP="00000000" w:rsidRDefault="00000000" w:rsidRPr="00000000" w14:paraId="0000001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1B">
      <w:pPr>
        <w:spacing w:line="276" w:lineRule="auto"/>
        <w:rPr>
          <w:rFonts w:ascii="Atkinson Hyperlegible Next" w:cs="Atkinson Hyperlegible Next" w:eastAsia="Atkinson Hyperlegible Next" w:hAnsi="Atkinson Hyperlegible Next"/>
          <w:color w:val="1a1a1a"/>
          <w:sz w:val="21"/>
          <w:szCs w:val="21"/>
        </w:rPr>
      </w:pPr>
      <w:r w:rsidDel="00000000" w:rsidR="00000000" w:rsidRPr="00000000">
        <w:rPr>
          <w:rtl w:val="0"/>
        </w:rPr>
      </w:r>
    </w:p>
    <w:p w:rsidR="00000000" w:rsidDel="00000000" w:rsidP="00000000" w:rsidRDefault="00000000" w:rsidRPr="00000000" w14:paraId="0000001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1D">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676m1dg1sj5" w:id="0"/>
      <w:bookmarkEnd w:id="0"/>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i155v3138q1v" w:id="1"/>
      <w:bookmarkEnd w:id="1"/>
      <w:r w:rsidDel="00000000" w:rsidR="00000000" w:rsidRPr="00000000">
        <w:rPr>
          <w:rFonts w:ascii="Atkinson Hyperlegible Next" w:cs="Atkinson Hyperlegible Next" w:eastAsia="Atkinson Hyperlegible Next" w:hAnsi="Atkinson Hyperlegible Next"/>
          <w:b w:val="1"/>
          <w:bCs w:val="1"/>
          <w:smallCaps w:val="0"/>
          <w:sz w:val="46"/>
          <w:szCs w:val="46"/>
          <w:rtl w:val="0"/>
        </w:rPr>
        <w:t xml:space="preserve">Abbreviations</w:t>
      </w:r>
    </w:p>
    <w:p w:rsidR="00000000" w:rsidDel="00000000" w:rsidP="00000000" w:rsidRDefault="00000000" w:rsidRPr="00000000" w14:paraId="0000001F">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A&amp;Y: adolescents and youth</w:t>
      </w:r>
    </w:p>
    <w:p w:rsidR="00000000" w:rsidDel="00000000" w:rsidP="00000000" w:rsidRDefault="00000000" w:rsidRPr="00000000" w14:paraId="00000020">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CSE: comprehensive sexuality education</w:t>
      </w:r>
    </w:p>
    <w:p w:rsidR="00000000" w:rsidDel="00000000" w:rsidP="00000000" w:rsidRDefault="00000000" w:rsidRPr="00000000" w14:paraId="00000021">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CSO: civil society organization</w:t>
      </w:r>
    </w:p>
    <w:p w:rsidR="00000000" w:rsidDel="00000000" w:rsidP="00000000" w:rsidRDefault="00000000" w:rsidRPr="00000000" w14:paraId="00000022">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EHW: education for health and wellbeing (Ethiopia)</w:t>
      </w:r>
    </w:p>
    <w:p w:rsidR="00000000" w:rsidDel="00000000" w:rsidP="00000000" w:rsidRDefault="00000000" w:rsidRPr="00000000" w14:paraId="00000023">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ESA: Eastern and Southern Africa Ministerial Commitment</w:t>
      </w:r>
    </w:p>
    <w:p w:rsidR="00000000" w:rsidDel="00000000" w:rsidP="00000000" w:rsidRDefault="00000000" w:rsidRPr="00000000" w14:paraId="00000024">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FGD: focus group discussion</w:t>
      </w:r>
    </w:p>
    <w:p w:rsidR="00000000" w:rsidDel="00000000" w:rsidP="00000000" w:rsidRDefault="00000000" w:rsidRPr="00000000" w14:paraId="00000025">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GBV: gender-based violence</w:t>
      </w:r>
    </w:p>
    <w:p w:rsidR="00000000" w:rsidDel="00000000" w:rsidP="00000000" w:rsidRDefault="00000000" w:rsidRPr="00000000" w14:paraId="00000026">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GTA: gender-transformative approach</w:t>
      </w:r>
    </w:p>
    <w:p w:rsidR="00000000" w:rsidDel="00000000" w:rsidP="00000000" w:rsidRDefault="00000000" w:rsidRPr="00000000" w14:paraId="00000027">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ITGSE: international technical guidance on sexuality education</w:t>
      </w:r>
    </w:p>
    <w:p w:rsidR="00000000" w:rsidDel="00000000" w:rsidP="00000000" w:rsidRDefault="00000000" w:rsidRPr="00000000" w14:paraId="00000028">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KII: key informant interview</w:t>
      </w:r>
    </w:p>
    <w:p w:rsidR="00000000" w:rsidDel="00000000" w:rsidP="00000000" w:rsidRDefault="00000000" w:rsidRPr="00000000" w14:paraId="00000029">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LSE: Life Skills Education</w:t>
      </w:r>
    </w:p>
    <w:p w:rsidR="00000000" w:rsidDel="00000000" w:rsidP="00000000" w:rsidRDefault="00000000" w:rsidRPr="00000000" w14:paraId="0000002A">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LSHE: Life Skills and Health Education</w:t>
      </w:r>
    </w:p>
    <w:p w:rsidR="00000000" w:rsidDel="00000000" w:rsidP="00000000" w:rsidRDefault="00000000" w:rsidRPr="00000000" w14:paraId="0000002B">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MoE: ministry of education</w:t>
      </w:r>
    </w:p>
    <w:p w:rsidR="00000000" w:rsidDel="00000000" w:rsidP="00000000" w:rsidRDefault="00000000" w:rsidRPr="00000000" w14:paraId="0000002C">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MoH: ministry of health</w:t>
      </w:r>
    </w:p>
    <w:p w:rsidR="00000000" w:rsidDel="00000000" w:rsidP="00000000" w:rsidRDefault="00000000" w:rsidRPr="00000000" w14:paraId="0000002D">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NESIP: National Education Sector Investment Plan (Malawi)</w:t>
      </w:r>
    </w:p>
    <w:p w:rsidR="00000000" w:rsidDel="00000000" w:rsidP="00000000" w:rsidRDefault="00000000" w:rsidRPr="00000000" w14:paraId="0000002E">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NGO: non-governmental organization</w:t>
      </w:r>
    </w:p>
    <w:p w:rsidR="00000000" w:rsidDel="00000000" w:rsidP="00000000" w:rsidRDefault="00000000" w:rsidRPr="00000000" w14:paraId="0000002F">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ONFP: Office National de la Famille et de la Population (Tunisia)</w:t>
      </w:r>
    </w:p>
    <w:p w:rsidR="00000000" w:rsidDel="00000000" w:rsidP="00000000" w:rsidRDefault="00000000" w:rsidRPr="00000000" w14:paraId="00000030">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PMF: performance measurement framework</w:t>
      </w:r>
    </w:p>
    <w:p w:rsidR="00000000" w:rsidDel="00000000" w:rsidP="00000000" w:rsidRDefault="00000000" w:rsidRPr="00000000" w14:paraId="00000031">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PWD: persons with disabilities</w:t>
      </w:r>
    </w:p>
    <w:p w:rsidR="00000000" w:rsidDel="00000000" w:rsidP="00000000" w:rsidRDefault="00000000" w:rsidRPr="00000000" w14:paraId="00000032">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RHE: reproductive health education (Moldova, Ethiopia)</w:t>
      </w:r>
    </w:p>
    <w:p w:rsidR="00000000" w:rsidDel="00000000" w:rsidP="00000000" w:rsidRDefault="00000000" w:rsidRPr="00000000" w14:paraId="00000033">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RPRH: Responsible Parenthood and Reproductive Health Act (Philippines, 2012)</w:t>
      </w:r>
    </w:p>
    <w:p w:rsidR="00000000" w:rsidDel="00000000" w:rsidP="00000000" w:rsidRDefault="00000000" w:rsidRPr="00000000" w14:paraId="00000034">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SOGIE: sexual orientation, gender identity and expression</w:t>
      </w:r>
    </w:p>
    <w:p w:rsidR="00000000" w:rsidDel="00000000" w:rsidP="00000000" w:rsidRDefault="00000000" w:rsidRPr="00000000" w14:paraId="00000035">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SRHR: sexual and reproductive health and rights</w:t>
      </w:r>
    </w:p>
    <w:p w:rsidR="00000000" w:rsidDel="00000000" w:rsidP="00000000" w:rsidRDefault="00000000" w:rsidRPr="00000000" w14:paraId="00000036">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TWG: technical working group</w:t>
      </w:r>
    </w:p>
    <w:p w:rsidR="00000000" w:rsidDel="00000000" w:rsidP="00000000" w:rsidRDefault="00000000" w:rsidRPr="00000000" w14:paraId="00000037">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UNFPA: United Nations Population Fund</w:t>
      </w:r>
    </w:p>
    <w:p w:rsidR="00000000" w:rsidDel="00000000" w:rsidP="00000000" w:rsidRDefault="00000000" w:rsidRPr="00000000" w14:paraId="00000038">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YFHC: youth-friendly health centre</w:t>
      </w:r>
    </w:p>
    <w:p w:rsidR="00000000" w:rsidDel="00000000" w:rsidP="00000000" w:rsidRDefault="00000000" w:rsidRPr="00000000" w14:paraId="00000039">
      <w:pPr>
        <w:spacing w:after="0"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ZECF: Zambia Education Curriculum Framework</w:t>
      </w:r>
    </w:p>
    <w:p w:rsidR="00000000" w:rsidDel="00000000" w:rsidP="00000000" w:rsidRDefault="00000000" w:rsidRPr="00000000" w14:paraId="0000003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3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3C">
      <w:pPr>
        <w:spacing w:after="200" w:before="100" w:lineRule="auto"/>
        <w:rPr>
          <w:rFonts w:ascii="Atkinson Hyperlegible Next" w:cs="Atkinson Hyperlegible Next" w:eastAsia="Atkinson Hyperlegible Next" w:hAnsi="Atkinson Hyperlegible Next"/>
          <w:i w:val="1"/>
          <w:iCs w:val="1"/>
          <w:color w:val="8a8a8a"/>
          <w:sz w:val="17"/>
          <w:szCs w:val="17"/>
        </w:rPr>
      </w:pPr>
      <w:r w:rsidDel="00000000" w:rsidR="00000000" w:rsidRPr="00000000">
        <w:rPr>
          <w:rtl w:val="0"/>
        </w:rPr>
      </w:r>
    </w:p>
    <w:p w:rsidR="00000000" w:rsidDel="00000000" w:rsidP="00000000" w:rsidRDefault="00000000" w:rsidRPr="00000000" w14:paraId="0000003D">
      <w:pPr>
        <w:spacing w:after="200" w:lineRule="auto"/>
        <w:rPr>
          <w:rFonts w:ascii="Atkinson Hyperlegible Next" w:cs="Atkinson Hyperlegible Next" w:eastAsia="Atkinson Hyperlegible Next" w:hAnsi="Atkinson Hyperlegible Next"/>
          <w:i w:val="1"/>
          <w:iCs w:val="1"/>
          <w:color w:val="8a8a8a"/>
          <w:sz w:val="17"/>
          <w:szCs w:val="17"/>
        </w:rPr>
      </w:pPr>
      <w:r w:rsidDel="00000000" w:rsidR="00000000" w:rsidRPr="00000000">
        <w:rPr>
          <w:rtl w:val="0"/>
        </w:rPr>
      </w:r>
    </w:p>
    <w:p w:rsidR="00000000" w:rsidDel="00000000" w:rsidP="00000000" w:rsidRDefault="00000000" w:rsidRPr="00000000" w14:paraId="0000003E">
      <w:pPr>
        <w:spacing w:line="276" w:lineRule="auto"/>
        <w:rPr>
          <w:rFonts w:ascii="Atkinson Hyperlegible Next" w:cs="Atkinson Hyperlegible Next" w:eastAsia="Atkinson Hyperlegible Next" w:hAnsi="Atkinson Hyperlegible Next"/>
          <w:color w:val="1a1a1a"/>
          <w:sz w:val="21"/>
          <w:szCs w:val="21"/>
        </w:rPr>
      </w:pPr>
      <w:r w:rsidDel="00000000" w:rsidR="00000000" w:rsidRPr="00000000">
        <w:rPr>
          <w:rtl w:val="0"/>
        </w:rPr>
      </w:r>
    </w:p>
    <w:p w:rsidR="00000000" w:rsidDel="00000000" w:rsidP="00000000" w:rsidRDefault="00000000" w:rsidRPr="00000000" w14:paraId="0000003F">
      <w:pPr>
        <w:spacing w:after="200" w:lineRule="auto"/>
        <w:rPr>
          <w:rFonts w:ascii="Atkinson Hyperlegible Next" w:cs="Atkinson Hyperlegible Next" w:eastAsia="Atkinson Hyperlegible Next" w:hAnsi="Atkinson Hyperlegible Next"/>
          <w:b w:val="1"/>
          <w:bCs w:val="1"/>
          <w:color w:val="e25a1e"/>
          <w:sz w:val="30"/>
          <w:szCs w:val="30"/>
        </w:rPr>
      </w:pPr>
      <w:r w:rsidDel="00000000" w:rsidR="00000000" w:rsidRPr="00000000">
        <w:rPr>
          <w:rFonts w:ascii="Atkinson Hyperlegible Next" w:cs="Atkinson Hyperlegible Next" w:eastAsia="Atkinson Hyperlegible Next" w:hAnsi="Atkinson Hyperlegible Next"/>
          <w:b w:val="1"/>
          <w:bCs w:val="1"/>
          <w:color w:val="e25a1e"/>
          <w:sz w:val="30"/>
          <w:szCs w:val="30"/>
          <w:rtl w:val="0"/>
        </w:rPr>
        <w:t xml:space="preserve"> </w:t>
      </w:r>
    </w:p>
    <w:p w:rsidR="00000000" w:rsidDel="00000000" w:rsidP="00000000" w:rsidRDefault="00000000" w:rsidRPr="00000000" w14:paraId="00000040">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o0koeahx2mz1" w:id="2"/>
      <w:bookmarkEnd w:id="2"/>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r1ua1aos1717" w:id="3"/>
      <w:bookmarkEnd w:id="3"/>
      <w:r w:rsidDel="00000000" w:rsidR="00000000" w:rsidRPr="00000000">
        <w:rPr>
          <w:rFonts w:ascii="Atkinson Hyperlegible Next" w:cs="Atkinson Hyperlegible Next" w:eastAsia="Atkinson Hyperlegible Next" w:hAnsi="Atkinson Hyperlegible Next"/>
          <w:b w:val="1"/>
          <w:bCs w:val="1"/>
          <w:smallCaps w:val="0"/>
          <w:sz w:val="46"/>
          <w:szCs w:val="46"/>
          <w:rtl w:val="0"/>
        </w:rPr>
        <w:t xml:space="preserve">Executive summary</w:t>
      </w:r>
    </w:p>
    <w:p w:rsidR="00000000" w:rsidDel="00000000" w:rsidP="00000000" w:rsidRDefault="00000000" w:rsidRPr="00000000" w14:paraId="00000042">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This report brings together baseline findings from the ten EmpowerED countries: Argentina, Benin, Colombia, Ethiopia, Ghana, Malawi, Moldova, the Philippines, Tunisia and Zambia. It sets the baseline values for the programme performance measurement framework.</w:t>
      </w:r>
    </w:p>
    <w:p w:rsidR="00000000" w:rsidDel="00000000" w:rsidP="00000000" w:rsidRDefault="00000000" w:rsidRPr="00000000" w14:paraId="00000043">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No country yet delivers CSE that is fully aligned with international guidance and gender-transformative in practice. Educators use programme-aligned resources unevenly, and facilitators say they are more confident than their tested knowledge shows.</w:t>
      </w:r>
    </w:p>
    <w:p w:rsidR="00000000" w:rsidDel="00000000" w:rsidP="00000000" w:rsidRDefault="00000000" w:rsidRPr="00000000" w14:paraId="0000004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Many young people have been reached at some point, but not regularly. Across countries, demand outruns knowledge: young people ask for more CSE exactly where they know least, on consent, gender norms, sexual diversity, and rights and services. Laws are usually stronger than the systems that deliver and defend CSE. Opposition ranges from governments cutting programmes to organized religious and political campaigns and everyday resistance online.</w:t>
      </w:r>
    </w:p>
    <w:p w:rsidR="00000000" w:rsidDel="00000000" w:rsidP="00000000" w:rsidRDefault="00000000" w:rsidRPr="00000000" w14:paraId="0000004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Gaps run through different components: by age, with younger adolescents reached least; by geography, with rural areas behind; and by disability, sexual orientation and gender identity, migration status and poverty. Civil society reaches out-of-school young people but cannot close these gaps alone.</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930" w:hRule="atLeast"/>
          <w:tblHeader w:val="0"/>
        </w:trPr>
        <w:tc>
          <w:tcPr>
            <w:tcBorders>
              <w:top w:color="000000" w:space="0" w:sz="0" w:val="nil"/>
              <w:left w:color="e25a1e" w:space="0" w:sz="22" w:val="single"/>
              <w:bottom w:color="000000" w:space="0" w:sz="0" w:val="nil"/>
              <w:right w:color="000000" w:space="0" w:sz="0" w:val="nil"/>
            </w:tcBorders>
            <w:shd w:fill="f5f2ec" w:val="clear"/>
            <w:tcMar>
              <w:top w:w="0.0" w:type="dxa"/>
              <w:left w:w="100.0" w:type="dxa"/>
              <w:bottom w:w="0.0" w:type="dxa"/>
              <w:right w:w="100.0" w:type="dxa"/>
            </w:tcMar>
            <w:vAlign w:val="top"/>
          </w:tcPr>
          <w:p w:rsidR="00000000" w:rsidDel="00000000" w:rsidP="00000000" w:rsidRDefault="00000000" w:rsidRPr="00000000" w14:paraId="00000046">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e25a1e"/>
                <w:rtl w:val="0"/>
              </w:rPr>
              <w:t xml:space="preserve">Conclusion.  </w:t>
            </w:r>
            <w:r w:rsidDel="00000000" w:rsidR="00000000" w:rsidRPr="00000000">
              <w:rPr>
                <w:rFonts w:ascii="Atkinson Hyperlegible Next" w:cs="Atkinson Hyperlegible Next" w:eastAsia="Atkinson Hyperlegible Next" w:hAnsi="Atkinson Hyperlegible Next"/>
                <w:rtl w:val="0"/>
              </w:rPr>
              <w:t xml:space="preserve">The programme starts from high demand and uneven supply. The mission of EmpowerED is not to introduce CSE where it is missing, but to make delivery regular, gender-transformative and fair, and to rebuild the coordination that keeps it going.</w:t>
            </w:r>
          </w:p>
        </w:tc>
      </w:tr>
    </w:tbl>
    <w:p w:rsidR="00000000" w:rsidDel="00000000" w:rsidP="00000000" w:rsidRDefault="00000000" w:rsidRPr="00000000" w14:paraId="0000004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48">
      <w:pPr>
        <w:spacing w:line="276" w:lineRule="auto"/>
        <w:rPr>
          <w:rFonts w:ascii="Atkinson Hyperlegible Next" w:cs="Atkinson Hyperlegible Next" w:eastAsia="Atkinson Hyperlegible Next" w:hAnsi="Atkinson Hyperlegible Next"/>
          <w:color w:val="1a1a1a"/>
          <w:sz w:val="21"/>
          <w:szCs w:val="21"/>
        </w:rPr>
      </w:pPr>
      <w:r w:rsidDel="00000000" w:rsidR="00000000" w:rsidRPr="00000000">
        <w:rPr>
          <w:rtl w:val="0"/>
        </w:rPr>
      </w:r>
    </w:p>
    <w:p w:rsidR="00000000" w:rsidDel="00000000" w:rsidP="00000000" w:rsidRDefault="00000000" w:rsidRPr="00000000" w14:paraId="00000049">
      <w:pPr>
        <w:spacing w:after="200" w:lineRule="auto"/>
        <w:rPr>
          <w:rFonts w:ascii="Atkinson Hyperlegible Next" w:cs="Atkinson Hyperlegible Next" w:eastAsia="Atkinson Hyperlegible Next" w:hAnsi="Atkinson Hyperlegible Next"/>
          <w:b w:val="1"/>
          <w:bCs w:val="1"/>
          <w:color w:val="e25a1e"/>
          <w:sz w:val="30"/>
          <w:szCs w:val="30"/>
        </w:rPr>
      </w:pPr>
      <w:r w:rsidDel="00000000" w:rsidR="00000000" w:rsidRPr="00000000">
        <w:rPr>
          <w:rFonts w:ascii="Atkinson Hyperlegible Next" w:cs="Atkinson Hyperlegible Next" w:eastAsia="Atkinson Hyperlegible Next" w:hAnsi="Atkinson Hyperlegible Next"/>
          <w:b w:val="1"/>
          <w:bCs w:val="1"/>
          <w:color w:val="e25a1e"/>
          <w:sz w:val="30"/>
          <w:szCs w:val="30"/>
          <w:rtl w:val="0"/>
        </w:rPr>
        <w:t xml:space="preserve"> </w:t>
      </w:r>
    </w:p>
    <w:p w:rsidR="00000000" w:rsidDel="00000000" w:rsidP="00000000" w:rsidRDefault="00000000" w:rsidRPr="00000000" w14:paraId="0000004A">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qzo0fvuriomg" w:id="4"/>
      <w:bookmarkEnd w:id="4"/>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l4yyc261r1gd" w:id="5"/>
      <w:bookmarkEnd w:id="5"/>
      <w:r w:rsidDel="00000000" w:rsidR="00000000" w:rsidRPr="00000000">
        <w:rPr>
          <w:rFonts w:ascii="Atkinson Hyperlegible Next" w:cs="Atkinson Hyperlegible Next" w:eastAsia="Atkinson Hyperlegible Next" w:hAnsi="Atkinson Hyperlegible Next"/>
          <w:b w:val="1"/>
          <w:bCs w:val="1"/>
          <w:smallCaps w:val="0"/>
          <w:sz w:val="46"/>
          <w:szCs w:val="46"/>
          <w:rtl w:val="0"/>
        </w:rPr>
        <w:t xml:space="preserve">Introduction and background</w:t>
      </w:r>
    </w:p>
    <w:p w:rsidR="00000000" w:rsidDel="00000000" w:rsidP="00000000" w:rsidRDefault="00000000" w:rsidRPr="00000000" w14:paraId="0000004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UNFPA, the United Nations Population Fund, is the sexual and reproductive health agency of the United Nations. Through EmpowerED, UNFPA works towards universal access to quality, gender-transformative CSE for adolescents and youth. CSE is a curriculum-based process of teaching and learning about the cognitive, emotional, physical and social aspects of sexuality. It gives young people the knowledge, skills, attitudes and values to protect their health and wellbeing, build respectful relationships, and understand how their choices affect themselves and others.</w:t>
      </w:r>
    </w:p>
    <w:p w:rsidR="00000000" w:rsidDel="00000000" w:rsidP="00000000" w:rsidRDefault="00000000" w:rsidRPr="00000000" w14:paraId="0000004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EmpowerED has three intermediate outcomes. The first is about the quality of CSE content and the educators who deliver it. The second is about uptake and access among adolescents and youth, in and out of school. The third is about the enabling environment: the policies, partnerships, coordination and advocacy that let quality CSE be delivered and defended. This report follows those three components.</w:t>
      </w:r>
    </w:p>
    <w:p w:rsidR="00000000" w:rsidDel="00000000" w:rsidP="00000000" w:rsidRDefault="00000000" w:rsidRPr="00000000" w14:paraId="0000004E">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baseline sets starting values for the outcome and immediate-outcome indicators, measures the knowledge, attitudes and practices of adolescents and facilitators, identifies gaps in curriculum quality, facilitator preparation, institutional support and uptake, and produces disaggregated evidence to target interventions.</w:t>
      </w:r>
    </w:p>
    <w:p w:rsidR="00000000" w:rsidDel="00000000" w:rsidP="00000000" w:rsidRDefault="00000000" w:rsidRPr="00000000" w14:paraId="0000004F">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context has shifted since the programme was designed. Opposition to CSE is more organized and, in several countries, more transnational, often using the language of parental rights to push back on the rights of children and young people. Public funding for SRHR is under pressure. Digital spaces are now both a main channel for reaching young people and a route for misinformation. These patterns show up, in different mixes, across all ten baselines.</w:t>
      </w:r>
    </w:p>
    <w:p w:rsidR="00000000" w:rsidDel="00000000" w:rsidP="00000000" w:rsidRDefault="00000000" w:rsidRPr="00000000" w14:paraId="00000050">
      <w:pPr>
        <w:spacing w:line="276" w:lineRule="auto"/>
        <w:rPr>
          <w:rFonts w:ascii="Atkinson Hyperlegible Next" w:cs="Atkinson Hyperlegible Next" w:eastAsia="Atkinson Hyperlegible Next" w:hAnsi="Atkinson Hyperlegible Next"/>
          <w:color w:val="1a1a1a"/>
          <w:sz w:val="21"/>
          <w:szCs w:val="21"/>
        </w:rPr>
      </w:pPr>
      <w:r w:rsidDel="00000000" w:rsidR="00000000" w:rsidRPr="00000000">
        <w:rPr>
          <w:rtl w:val="0"/>
        </w:rPr>
      </w:r>
    </w:p>
    <w:p w:rsidR="00000000" w:rsidDel="00000000" w:rsidP="00000000" w:rsidRDefault="00000000" w:rsidRPr="00000000" w14:paraId="00000051">
      <w:pPr>
        <w:spacing w:after="200" w:lineRule="auto"/>
        <w:rPr>
          <w:rFonts w:ascii="Atkinson Hyperlegible Next" w:cs="Atkinson Hyperlegible Next" w:eastAsia="Atkinson Hyperlegible Next" w:hAnsi="Atkinson Hyperlegible Next"/>
          <w:b w:val="1"/>
          <w:bCs w:val="1"/>
          <w:color w:val="e25a1e"/>
          <w:sz w:val="30"/>
          <w:szCs w:val="30"/>
        </w:rPr>
      </w:pPr>
      <w:r w:rsidDel="00000000" w:rsidR="00000000" w:rsidRPr="00000000">
        <w:rPr>
          <w:rFonts w:ascii="Atkinson Hyperlegible Next" w:cs="Atkinson Hyperlegible Next" w:eastAsia="Atkinson Hyperlegible Next" w:hAnsi="Atkinson Hyperlegible Next"/>
          <w:b w:val="1"/>
          <w:bCs w:val="1"/>
          <w:color w:val="e25a1e"/>
          <w:sz w:val="30"/>
          <w:szCs w:val="30"/>
          <w:rtl w:val="0"/>
        </w:rPr>
        <w:t xml:space="preserve"> </w:t>
      </w:r>
    </w:p>
    <w:p w:rsidR="00000000" w:rsidDel="00000000" w:rsidP="00000000" w:rsidRDefault="00000000" w:rsidRPr="00000000" w14:paraId="00000052">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ksqkyueusqp1" w:id="6"/>
      <w:bookmarkEnd w:id="6"/>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g373d0995n5v" w:id="7"/>
      <w:bookmarkEnd w:id="7"/>
      <w:r w:rsidDel="00000000" w:rsidR="00000000" w:rsidRPr="00000000">
        <w:rPr>
          <w:rFonts w:ascii="Atkinson Hyperlegible Next" w:cs="Atkinson Hyperlegible Next" w:eastAsia="Atkinson Hyperlegible Next" w:hAnsi="Atkinson Hyperlegible Next"/>
          <w:b w:val="1"/>
          <w:bCs w:val="1"/>
          <w:smallCaps w:val="0"/>
          <w:sz w:val="46"/>
          <w:szCs w:val="46"/>
          <w:rtl w:val="0"/>
        </w:rPr>
        <w:t xml:space="preserve">Methodology</w:t>
      </w:r>
    </w:p>
    <w:p w:rsidR="00000000" w:rsidDel="00000000" w:rsidP="00000000" w:rsidRDefault="00000000" w:rsidRPr="00000000" w14:paraId="0000005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assessment used a predominantly mixed-methods design, combining quantitative survey data with qualitative component and document review.</w:t>
      </w:r>
    </w:p>
    <w:p w:rsidR="00000000" w:rsidDel="00000000" w:rsidP="00000000" w:rsidRDefault="00000000" w:rsidRPr="00000000" w14:paraId="0000005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Five instruments were used across the participating countries:</w:t>
      </w:r>
    </w:p>
    <w:p w:rsidR="00000000" w:rsidDel="00000000" w:rsidP="00000000" w:rsidRDefault="00000000" w:rsidRPr="00000000" w14:paraId="00000056">
      <w:pPr>
        <w:numPr>
          <w:ilvl w:val="0"/>
          <w:numId w:val="2"/>
        </w:numPr>
        <w:spacing w:after="0" w:afterAutospacing="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An adolescent and youth survey, targeting adolescents aged 10 to 19 and youth aged 20 to 24, stratified by in-school and out-of-school status.</w:t>
      </w:r>
    </w:p>
    <w:p w:rsidR="00000000" w:rsidDel="00000000" w:rsidP="00000000" w:rsidRDefault="00000000" w:rsidRPr="00000000" w14:paraId="00000057">
      <w:pPr>
        <w:numPr>
          <w:ilvl w:val="0"/>
          <w:numId w:val="2"/>
        </w:numPr>
        <w:spacing w:after="0" w:afterAutospacing="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 facilitator and educator survey, covering training and mentoring received, use of programme-aligned resources, self-efficacy and barriers to delivery.</w:t>
      </w:r>
    </w:p>
    <w:p w:rsidR="00000000" w:rsidDel="00000000" w:rsidP="00000000" w:rsidRDefault="00000000" w:rsidRPr="00000000" w14:paraId="00000058">
      <w:pPr>
        <w:numPr>
          <w:ilvl w:val="0"/>
          <w:numId w:val="2"/>
        </w:numPr>
        <w:spacing w:after="0" w:afterAutospacing="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Key informant interviews with policymakers, civil society leaders, United Nations partners and curriculum experts.</w:t>
      </w:r>
    </w:p>
    <w:p w:rsidR="00000000" w:rsidDel="00000000" w:rsidP="00000000" w:rsidRDefault="00000000" w:rsidRPr="00000000" w14:paraId="00000059">
      <w:pPr>
        <w:numPr>
          <w:ilvl w:val="0"/>
          <w:numId w:val="2"/>
        </w:numPr>
        <w:spacing w:after="0" w:afterAutospacing="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Focus group discussions with adolescents, youth, teachers, parents and community leaders.</w:t>
      </w:r>
    </w:p>
    <w:p w:rsidR="00000000" w:rsidDel="00000000" w:rsidP="00000000" w:rsidRDefault="00000000" w:rsidRPr="00000000" w14:paraId="0000005A">
      <w:pPr>
        <w:numPr>
          <w:ilvl w:val="0"/>
          <w:numId w:val="2"/>
        </w:numPr>
        <w:spacing w:after="20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 desk review of national laws, policies, strategies and curriculum frameworks.</w:t>
      </w:r>
    </w:p>
    <w:p w:rsidR="00000000" w:rsidDel="00000000" w:rsidP="00000000" w:rsidRDefault="00000000" w:rsidRPr="00000000" w14:paraId="0000005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Two countries followed a different approach. Tunisia relied on secondary data, qualitative interviews and a small facilitator survey, and did not conduct a large-scale adolescent survey; its quantitative figures are drawn from the 2024 knowledge, attitudes and practices study and are described as contextual. Argentina collected quantitative data in Jujuy and used qualitative methods in Misiones during this phase.</w:t>
      </w:r>
    </w:p>
    <w:p w:rsidR="00000000" w:rsidDel="00000000" w:rsidP="00000000" w:rsidRDefault="00000000" w:rsidRPr="00000000" w14:paraId="0000005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Analysis combined descriptive statistics for the survey data with thematic analysis of the qualitative material and content analysis of the policy documents. Ethical procedures included informed consent, parental consent and adolescent assent for minors, and confidentiality protections.</w:t>
      </w:r>
    </w:p>
    <w:p w:rsidR="00000000" w:rsidDel="00000000" w:rsidP="00000000" w:rsidRDefault="00000000" w:rsidRPr="00000000" w14:paraId="0000005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Several considerations frame the reading of the figures that follow. Samples are sub-national or purposive in most countries, so results are indicative rather than nationally representative, and cross-country comparison should be treated as illustrative.</w:t>
      </w:r>
    </w:p>
    <w:p w:rsidR="00000000" w:rsidDel="00000000" w:rsidP="00000000" w:rsidRDefault="00000000" w:rsidRPr="00000000" w14:paraId="0000005E">
      <w:pPr>
        <w:spacing w:after="200" w:lineRule="auto"/>
        <w:rPr>
          <w:rFonts w:ascii="Atkinson Hyperlegible Next" w:cs="Atkinson Hyperlegible Next" w:eastAsia="Atkinson Hyperlegible Next" w:hAnsi="Atkinson Hyperlegible Next"/>
        </w:rPr>
      </w:pPr>
      <w:r w:rsidDel="00000000" w:rsidR="00000000" w:rsidRPr="00000000">
        <w:rPr>
          <w:rtl w:val="0"/>
        </w:rPr>
      </w:r>
    </w:p>
    <w:p w:rsidR="00000000" w:rsidDel="00000000" w:rsidP="00000000" w:rsidRDefault="00000000" w:rsidRPr="00000000" w14:paraId="0000005F">
      <w:pPr>
        <w:spacing w:line="276" w:lineRule="auto"/>
        <w:rPr>
          <w:rFonts w:ascii="Atkinson Hyperlegible Next" w:cs="Atkinson Hyperlegible Next" w:eastAsia="Atkinson Hyperlegible Next" w:hAnsi="Atkinson Hyperlegible Next"/>
          <w:color w:val="1a1a1a"/>
          <w:sz w:val="21"/>
          <w:szCs w:val="21"/>
        </w:rPr>
      </w:pPr>
      <w:r w:rsidDel="00000000" w:rsidR="00000000" w:rsidRPr="00000000">
        <w:rPr>
          <w:rtl w:val="0"/>
        </w:rPr>
      </w:r>
    </w:p>
    <w:p w:rsidR="00000000" w:rsidDel="00000000" w:rsidP="00000000" w:rsidRDefault="00000000" w:rsidRPr="00000000" w14:paraId="0000006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61">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62">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273czyz75day" w:id="8"/>
      <w:bookmarkEnd w:id="8"/>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ypqx58w8zpzk" w:id="9"/>
      <w:bookmarkEnd w:id="9"/>
      <w:r w:rsidDel="00000000" w:rsidR="00000000" w:rsidRPr="00000000">
        <w:rPr>
          <w:rFonts w:ascii="Atkinson Hyperlegible Next" w:cs="Atkinson Hyperlegible Next" w:eastAsia="Atkinson Hyperlegible Next" w:hAnsi="Atkinson Hyperlegible Next"/>
          <w:smallCaps w:val="0"/>
          <w:sz w:val="46"/>
          <w:szCs w:val="46"/>
          <w:rtl w:val="0"/>
        </w:rPr>
        <w:t xml:space="preserve">Component 1. Quality of teaching and facilitator education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6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ten EmpowerED baseline countries are Argentina, Benin, Colombia, Ethiopia, Ghana, Malawi, Moldova, Philippines, Tunisia and Zambia. Across all of them the finding is the same: having a curriculum does not produce learner outcomes. What matters is delivery: what the curriculum covers, how it is taught and how well the system prepares and supports facilitators. The findings below cover these three areas.</w:t>
      </w:r>
    </w:p>
    <w:p w:rsidR="00000000" w:rsidDel="00000000" w:rsidP="00000000" w:rsidRDefault="00000000" w:rsidRPr="00000000" w14:paraId="00000066">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4omo489yowxc" w:id="10"/>
      <w:bookmarkEnd w:id="10"/>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1. Curricula quality and alignment to international guidance</w:t>
      </w:r>
    </w:p>
    <w:p w:rsidR="00000000" w:rsidDel="00000000" w:rsidP="00000000" w:rsidRDefault="00000000" w:rsidRPr="00000000" w14:paraId="0000006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No country in the baseline offers comprehensive sexuality education as a standalone, compulsory, examinable subject covering all the domains in the international technical guidance for every learner.</w:t>
      </w:r>
      <w:r w:rsidDel="00000000" w:rsidR="00000000" w:rsidRPr="00000000">
        <w:rPr>
          <w:rFonts w:ascii="Atkinson Hyperlegible Next" w:cs="Atkinson Hyperlegible Next" w:eastAsia="Atkinson Hyperlegible Next" w:hAnsi="Atkinson Hyperlegible Next"/>
          <w:rtl w:val="0"/>
        </w:rPr>
        <w:t xml:space="preserve"> Content is integrated into other subjects: biology, life skills, health education and civic education. Countries justify this as culturally acceptable, but it weakens accountability and lets them leave out content they see as sensitive. Tunisia states it plainly: sexuality education is spread across existing subjects rather than taught on its own, and this has sometimes meant essential components are left out, so adolescents get partial or incomplete information.</w:t>
      </w:r>
    </w:p>
    <w:p w:rsidR="00000000" w:rsidDel="00000000" w:rsidP="00000000" w:rsidRDefault="00000000" w:rsidRPr="00000000" w14:paraId="00000068">
      <w:pPr>
        <w:spacing w:after="200" w:lineRule="auto"/>
        <w:rPr>
          <w:rFonts w:ascii="Atkinson Hyperlegible Next" w:cs="Atkinson Hyperlegible Next" w:eastAsia="Atkinson Hyperlegible Next" w:hAnsi="Atkinson Hyperlegible Next"/>
          <w:u w:val="single"/>
        </w:rPr>
      </w:pPr>
      <w:r w:rsidDel="00000000" w:rsidR="00000000" w:rsidRPr="00000000">
        <w:rPr>
          <w:rFonts w:ascii="Atkinson Hyperlegible Next" w:cs="Atkinson Hyperlegible Next" w:eastAsia="Atkinson Hyperlegible Next" w:hAnsi="Atkinson Hyperlegible Next"/>
          <w:b w:val="1"/>
          <w:bCs w:val="1"/>
          <w:rtl w:val="0"/>
        </w:rPr>
        <w:t xml:space="preserve">The content is biomedically biased.</w:t>
      </w:r>
      <w:r w:rsidDel="00000000" w:rsidR="00000000" w:rsidRPr="00000000">
        <w:rPr>
          <w:rFonts w:ascii="Atkinson Hyperlegible Next" w:cs="Atkinson Hyperlegible Next" w:eastAsia="Atkinson Hyperlegible Next" w:hAnsi="Atkinson Hyperlegible Next"/>
          <w:rtl w:val="0"/>
        </w:rPr>
        <w:t xml:space="preserve"> The domains covered most consistently are puberty, reproductive health and HIV prevention. Gender-transformative domains, consent, bodily autonomy, power relations, sexual diversity and pleasure, are underdeveloped or absent. Benin partly aligns with international guidance: it covers puberty, reproductive health and HIV prevention, but addresses consent, gender norms and power relations only weakly, with consent appearing in roughly one in ten curriculum references. Malawi shows the same pattern, its Life Skills Education curriculum criticised for focusing too much on abstinence, with human rights, gender equality, child marriage, early and unintended pregnancy, and violence prevention insufficiently covered. Moldova reduces in-school content to biology and hygiene topics such as puberty, anatomy and disease prevention, with the main focus on reproduction and contraception, while consent, gender identity and emotional wellbeing are largely ignored. Argentina covers the biological side of sexuality more consistently than gender norms, relationships, consent and diversity. </w:t>
      </w:r>
      <w:r w:rsidDel="00000000" w:rsidR="00000000" w:rsidRPr="00000000">
        <w:rPr>
          <w:rFonts w:ascii="Atkinson Hyperlegible Next" w:cs="Atkinson Hyperlegible Next" w:eastAsia="Atkinson Hyperlegible Next" w:hAnsi="Atkinson Hyperlegible Next"/>
          <w:u w:val="single"/>
          <w:rtl w:val="0"/>
        </w:rPr>
        <w:t xml:space="preserve">In short, policymakers will address the physiology of sexuality but stay reluctant to treat it as social, relational and political.</w:t>
      </w:r>
    </w:p>
    <w:p w:rsidR="00000000" w:rsidDel="00000000" w:rsidP="00000000" w:rsidRDefault="00000000" w:rsidRPr="00000000" w14:paraId="0000006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Consent and power dynamics are rarely handled systematically.</w:t>
      </w:r>
      <w:r w:rsidDel="00000000" w:rsidR="00000000" w:rsidRPr="00000000">
        <w:rPr>
          <w:rFonts w:ascii="Atkinson Hyperlegible Next" w:cs="Atkinson Hyperlegible Next" w:eastAsia="Atkinson Hyperlegible Next" w:hAnsi="Atkinson Hyperlegible Next"/>
          <w:rtl w:val="0"/>
        </w:rPr>
        <w:t xml:space="preserve"> In most curricula consent is missing or referenced only indirectly, and the same is true for power and gender dynamics. In Ethiopia the gap is structural: formal education settings leave out sexuality and consent. Without explicit consent education, curricula do not equip adolescents to understand bodily autonomy, negotiate relationships or recognise coercion and abuse.</w:t>
      </w:r>
    </w:p>
    <w:p w:rsidR="00000000" w:rsidDel="00000000" w:rsidP="00000000" w:rsidRDefault="00000000" w:rsidRPr="00000000" w14:paraId="0000006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Content on sexual orientation and gender identity is largely absent across the baseline countries. Tunisia notes it is largely absent because of sociocultural constraints. Moldova confirms gender identity is largely ignored. Benin includes it only marginally, and only a small minority of respondents reject all harmful gender norms. In Ghana the contested element is rights, not curriculum content: the rights of sexual and gender minorities are described as largely resented and likely to trigger pushback, which is about social acceptance rather than whether the topics are formally in or out of the curriculum. In Ethiopia, sexual health content is systematically minimised in formal curricula because of cultural resistance to terms such as sexual and rights, making affirming content effectively impossible in formal settings. The Philippines is a partial exception: it does not teach a defined module, but facilitators deliver sensitive content, including content relevant to lesbian, gay, bisexual, transgender, queer, intersex and other learners, cautiously and through negotiated self-censorship, using risk-averse strategies in a context where such learners are institutionally erased. This exclusion reinforces heteronormative assumptions, leaves these adolescents without affirming or protective information, and undermines the gender-transformative aims of comprehensive sexuality education by avoiding diversity, stigma and discrimination.</w:t>
      </w:r>
    </w:p>
    <w:p w:rsidR="00000000" w:rsidDel="00000000" w:rsidP="00000000" w:rsidRDefault="00000000" w:rsidRPr="00000000" w14:paraId="0000006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Digital safety and online violence</w:t>
      </w:r>
      <w:r w:rsidDel="00000000" w:rsidR="00000000" w:rsidRPr="00000000">
        <w:rPr>
          <w:rFonts w:ascii="Atkinson Hyperlegible Next" w:cs="Atkinson Hyperlegible Next" w:eastAsia="Atkinson Hyperlegible Next" w:hAnsi="Atkinson Hyperlegible Next"/>
          <w:rtl w:val="0"/>
        </w:rPr>
        <w:t xml:space="preserve"> are emerging but weakly integrated domains. Tunisia, Moldova, Colombia and the Philippines reference digital risks, but often indirectly or inconsistently. Tunisia covers them in life-skills sessions. Moldova flags online sexual abuse, cyberstalking and non-consensual image sharing as a growing concern. Colombia references misinformation, harassment and exposure to gender stereotypes. The Philippines addresses digital risks inconsistently and flags caveats around access. Benin shows little systematic content and carries only digital-use statistics. Adolescents rely on digital platforms for information on sexual and reproductive health and rights, so this gap leaves them exposed to misinformation, cyberbullying and online exploitation without curricular support.</w:t>
      </w:r>
    </w:p>
    <w:p w:rsidR="00000000" w:rsidDel="00000000" w:rsidP="00000000" w:rsidRDefault="00000000" w:rsidRPr="00000000" w14:paraId="0000006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So most countries address the biology of sexuality but stop short of the relational, political and rights-based dimensions needed for gender-transformative impact.</w:t>
      </w:r>
    </w:p>
    <w:p w:rsidR="00000000" w:rsidDel="00000000" w:rsidP="00000000" w:rsidRDefault="00000000" w:rsidRPr="00000000" w14:paraId="0000006D">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tvxby2xvnyjz" w:id="11"/>
      <w:bookmarkEnd w:id="11"/>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2. Teaching practices and methods</w:t>
      </w:r>
    </w:p>
    <w:p w:rsidR="00000000" w:rsidDel="00000000" w:rsidP="00000000" w:rsidRDefault="00000000" w:rsidRPr="00000000" w14:paraId="0000006E">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Pedagogy is the main reason curriculum presence does not produce outcomes. Even where content exists, how it is delivered determines whether adolescents gain usable knowledge, reject harmful norms and apply what they learn: participatory engagement, safe and trauma-informed practice, and inclusion.</w:t>
      </w:r>
    </w:p>
    <w:p w:rsidR="00000000" w:rsidDel="00000000" w:rsidP="00000000" w:rsidRDefault="00000000" w:rsidRPr="00000000" w14:paraId="0000006F">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Participatory methods</w:t>
      </w:r>
      <w:r w:rsidDel="00000000" w:rsidR="00000000" w:rsidRPr="00000000">
        <w:rPr>
          <w:rFonts w:ascii="Atkinson Hyperlegible Next" w:cs="Atkinson Hyperlegible Next" w:eastAsia="Atkinson Hyperlegible Next" w:hAnsi="Atkinson Hyperlegible Next"/>
          <w:rtl w:val="0"/>
        </w:rPr>
        <w:t xml:space="preserve"> are reported widely but spread unevenly. Benin shows mostly participatory, dialogue-based methods, prioritising creative facilitation, games and interactive discussion to break with formal teaching. Ethiopia is the opposite: school-based, teacher-led sessions on sexual and reproductive health are largely non-participatory and dominated by one-way lecturing, and teachers are criticised for a lack of flexibility and confidence in facilitating participatory styles. Moldova reports teachers have more chances for training in methodology, that practices are participatory, inclusive and age-appropriate, that methodology depends on content, and that at least half of teachers use student-centred approaches. Across countries, participatory pedagogy concentrates in specific platforms, trained facilitators, civil society settings or better-resourced sites, rather than mainstream instruction. Where pedagogy is weak, teachers often skip material because of poor training and a shortage of materials.</w:t>
      </w:r>
    </w:p>
    <w:p w:rsidR="00000000" w:rsidDel="00000000" w:rsidP="00000000" w:rsidRDefault="00000000" w:rsidRPr="00000000" w14:paraId="0000007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Trauma-informed practice</w:t>
      </w:r>
      <w:r w:rsidDel="00000000" w:rsidR="00000000" w:rsidRPr="00000000">
        <w:rPr>
          <w:rFonts w:ascii="Atkinson Hyperlegible Next" w:cs="Atkinson Hyperlegible Next" w:eastAsia="Atkinson Hyperlegible Next" w:hAnsi="Atkinson Hyperlegible Next"/>
          <w:rtl w:val="0"/>
        </w:rPr>
        <w:t xml:space="preserve"> is a recurring gap, showing up most as weak capacity to handle disclosures and refer learners. In Colombia, trauma-informed and referral components are applied intermittently, depending on the institution. But the data do not show facilitators as broadly unequipped: roughly 48% show high referral capacity against about 24% who are low, and confidence in responding to violence stands at about 67%, so the low-capacity group is a minority of between 14 and 24%, not most facilitators. Young people may disengage if the space feels unsafe, and without referral readiness comprehensive sexuality education cannot reliably link knowledge to services for sexual and reproductive health and gender-based violence. The Philippines gives measurable indicators: participatory methods are common, but only 17.6% of facilitators handle disclosures often, 35.3% do so rarely and 11.8% never, and only 53% receive ongoing support. Interactive sessions can create disclosure opportunities the system cannot safely absorb. This matters most for gender-based violence and coercion, where the right response is not just good facilitation but immediate safeguarding, psychosocial support and referral. Benin treats safe spaces as a priority and builds referral tools into its resource-use construct, with facilitators referring young people to health services and school clubs set up as safe spaces for dialogue. Zambia links pedagogy gaps to missing materials and weak instruction, and flags the importance of referral tools for linking learners to youth-friendly health services, yet the baseline shows resource and training constraints that will limit implementation.</w:t>
      </w:r>
    </w:p>
    <w:p w:rsidR="00000000" w:rsidDel="00000000" w:rsidP="00000000" w:rsidRDefault="00000000" w:rsidRPr="00000000" w14:paraId="00000071">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Inclusive practice</w:t>
      </w:r>
      <w:r w:rsidDel="00000000" w:rsidR="00000000" w:rsidRPr="00000000">
        <w:rPr>
          <w:rFonts w:ascii="Atkinson Hyperlegible Next" w:cs="Atkinson Hyperlegible Next" w:eastAsia="Atkinson Hyperlegible Next" w:hAnsi="Atkinson Hyperlegible Next"/>
          <w:rtl w:val="0"/>
        </w:rPr>
        <w:t xml:space="preserve"> is treated as a requirement but operationalised unevenly. It is usually described indirectly, through safe spaces, openness and non-judgemental facilitation, rather than as a structured pedagogy with specific competencies such as addressing stigma, disability inclusion, gender diversity and confidentiality norms. Benin's focus on safe spaces for dialogue signals inclusion through dialogic delivery rather than an explicit framework. Colombia's participatory model implies inclusion through dialogue and youth engagement, with high self-efficacy in participatory practice and safe spaces for dialogue, but warns that trauma-informed elements are intermittent, so inclusive engagement can break down when learners' lived experiences surface and the system cannot respond safely, leading to revictimisation or silencing. Zambia adds that community receptivity is greater than expected when inclusive engagement happens, while contested norms otherwise produce mixed messages for learners. Inclusion is thus also a community strategy that reduces backlash and supports consistent delivery. Where it is absent, teachers may self-censor, soften content or omit it, which hits outcomes directly.</w:t>
      </w:r>
    </w:p>
    <w:p w:rsidR="00000000" w:rsidDel="00000000" w:rsidP="00000000" w:rsidRDefault="00000000" w:rsidRPr="00000000" w14:paraId="00000072">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These gaps show up in outcomes. Zambia gives the clearest link: application of learning is relatively high, with about two thirds of learners reporting they apply lessons, but measured knowledge is very low, with only 4.6% scoring 7 out of 10 or higher on knowledge items and only 12.1% meeting the threshold for rejecting harmful gender norms. The assessment identifies the main gaps as pedagogical, with curriculum presence not translating into practice because teachers omit content and lack training and materials. The Philippines and Colombia show the same: participatory methods may be present, but where trauma-informed capacity and referral readiness are weak, the pathway from dialogue to protection and support to service uptake stays incomplete. Colombia's two-speed model concentrates gains in high-capacity settings while other sites lag, especially on handling disclosures and linking youth to services, a divide reinforced by territorial gaps between regions.</w:t>
      </w:r>
    </w:p>
    <w:p w:rsidR="00000000" w:rsidDel="00000000" w:rsidP="00000000" w:rsidRDefault="00000000" w:rsidRPr="00000000" w14:paraId="00000073">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 summary, quality is less about having comprehensive sexuality education and more about delivery capability.</w:t>
      </w:r>
    </w:p>
    <w:p w:rsidR="00000000" w:rsidDel="00000000" w:rsidP="00000000" w:rsidRDefault="00000000" w:rsidRPr="00000000" w14:paraId="00000074">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xk5yo6wikor8" w:id="12"/>
      <w:bookmarkEnd w:id="12"/>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3. Facilitator education, training, and the confidence to competence gap</w:t>
      </w:r>
    </w:p>
    <w:p w:rsidR="00000000" w:rsidDel="00000000" w:rsidP="00000000" w:rsidRDefault="00000000" w:rsidRPr="00000000" w14:paraId="0000007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problem is not that countries lack training. It is that</w:t>
      </w:r>
      <w:r w:rsidDel="00000000" w:rsidR="00000000" w:rsidRPr="00000000">
        <w:rPr>
          <w:rFonts w:ascii="Atkinson Hyperlegible Next" w:cs="Atkinson Hyperlegible Next" w:eastAsia="Atkinson Hyperlegible Next" w:hAnsi="Atkinson Hyperlegible Next"/>
          <w:b w:val="1"/>
          <w:bCs w:val="1"/>
          <w:rtl w:val="0"/>
        </w:rPr>
        <w:t xml:space="preserve"> training is treated as an event, when quality delivery needs a system</w:t>
      </w:r>
      <w:r w:rsidDel="00000000" w:rsidR="00000000" w:rsidRPr="00000000">
        <w:rPr>
          <w:rFonts w:ascii="Atkinson Hyperlegible Next" w:cs="Atkinson Hyperlegible Next" w:eastAsia="Atkinson Hyperlegible Next" w:hAnsi="Atkinson Hyperlegible Next"/>
          <w:rtl w:val="0"/>
        </w:rPr>
        <w:t xml:space="preserve">: consistent pre-service foundations, refreshers and upgrading, coaching, mentoring and supervision, practical teaching tools and lesson guidance, and referral and safeguarding mechanisms that make it safe to teach sensitive content. When any link is weak, the same thing happens: teachers self-censor, rely on personal judgement, deliver lighter or incomplete content, and struggle to turn comprehensive sexuality education into skills and norm change. The survey data show that while training exposure is fairly widespread in several places, it is uneven in recency, shallow in content, weakly supported afterwards, and poorly translated into classroom practice.</w:t>
      </w:r>
    </w:p>
    <w:p w:rsidR="00000000" w:rsidDel="00000000" w:rsidP="00000000" w:rsidRDefault="00000000" w:rsidRPr="00000000" w14:paraId="00000076">
      <w:pPr>
        <w:spacing w:before="120" w:lineRule="auto"/>
        <w:jc w:val="center"/>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Pr>
        <w:drawing>
          <wp:inline distB="114300" distT="114300" distL="114300" distR="114300">
            <wp:extent cx="5130800" cy="2463800"/>
            <wp:effectExtent b="0" l="0" r="0" t="0"/>
            <wp:docPr id="171354285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308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Pre-service preparation is weak or inconsistent</w:t>
      </w:r>
      <w:r w:rsidDel="00000000" w:rsidR="00000000" w:rsidRPr="00000000">
        <w:rPr>
          <w:rFonts w:ascii="Atkinson Hyperlegible Next" w:cs="Atkinson Hyperlegible Next" w:eastAsia="Atkinson Hyperlegible Next" w:hAnsi="Atkinson Hyperlegible Next"/>
          <w:rtl w:val="0"/>
        </w:rPr>
        <w:t xml:space="preserve">, and in-service training is meant to fix this but often does not. Malawi shows the limits of partial provision: Life Skills Education is examinable and offered in all Teacher Training Colleges, yet institutional support is inadequate, and only 42% of educators report regularly using programme-aligned resources. Ethiopia identifies a systemic gap in both pre-service and in-service training, with pre-service preparation inadequate for sexual and reproductive health and sexuality education delivery, leaving most health and education workers without comprehensive knowledge. In Tunisia there is no mandatory pre-service training in teacher-training institutes and sexuality education is not part of standard pedagogical courses, so the system leans heavily on fragmented, donor-driven in-service training. In Argentina, preparation on gender perspectives is not institutionalised, leaving large shares of educators dependent on ad hoc professional development, with 18.7% never trained and 61.3% trained more than a year ago. Where pre-service education gives no stable, competency-based foundation, systems depend on in-service training, and where in-service systems are fragmented, as in most countries, delivery becomes highly variable and individual-dependent.</w:t>
      </w:r>
    </w:p>
    <w:p w:rsidR="00000000" w:rsidDel="00000000" w:rsidP="00000000" w:rsidRDefault="00000000" w:rsidRPr="00000000" w14:paraId="00000078">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In-service coverage is often widespread but not durable</w:t>
      </w:r>
      <w:r w:rsidDel="00000000" w:rsidR="00000000" w:rsidRPr="00000000">
        <w:rPr>
          <w:rFonts w:ascii="Atkinson Hyperlegible Next" w:cs="Atkinson Hyperlegible Next" w:eastAsia="Atkinson Hyperlegible Next" w:hAnsi="Atkinson Hyperlegible Next"/>
          <w:rtl w:val="0"/>
        </w:rPr>
        <w:t xml:space="preserve">. In Argentina, 61.3% of teachers report their most recent training on gender perspectives was more than a year ago, and 18.7% report never receiving it. In Benin, 79.7% of facilitators report having received training or support on gender-transformative content, but only 29.7% got it in the last year, 50% more than a year ago and 20.3% not at all. Colombia is comparable, with about 48% of educators trained or mentored in the last year, 38% lacking current training and 14% out of date. Tunisia and the Philippines report higher recent exposure: in Tunisia, 88.9% of surveyed facilitators report training within the last year and 11.1% more than a year ago, and in the Philippines, 70.6% report training or mentoring on gender-transformative content. At the other end, Ghana shows a critical gap, with 67% of facilitators reporting no such training at all. In-service training works more as one-time exposure than continuous professional development, so competencies decay fast and application is uneven over time.</w:t>
      </w:r>
    </w:p>
    <w:p w:rsidR="00000000" w:rsidDel="00000000" w:rsidP="00000000" w:rsidRDefault="00000000" w:rsidRPr="00000000" w14:paraId="0000007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 consistent finding is the g</w:t>
      </w:r>
      <w:r w:rsidDel="00000000" w:rsidR="00000000" w:rsidRPr="00000000">
        <w:rPr>
          <w:rFonts w:ascii="Atkinson Hyperlegible Next" w:cs="Atkinson Hyperlegible Next" w:eastAsia="Atkinson Hyperlegible Next" w:hAnsi="Atkinson Hyperlegible Next"/>
          <w:b w:val="1"/>
          <w:bCs w:val="1"/>
          <w:rtl w:val="0"/>
        </w:rPr>
        <w:t xml:space="preserve">ap between knowing gender-transformative language and applying it</w:t>
      </w:r>
      <w:r w:rsidDel="00000000" w:rsidR="00000000" w:rsidRPr="00000000">
        <w:rPr>
          <w:rFonts w:ascii="Atkinson Hyperlegible Next" w:cs="Atkinson Hyperlegible Next" w:eastAsia="Atkinson Hyperlegible Next" w:hAnsi="Atkinson Hyperlegible Next"/>
          <w:rtl w:val="0"/>
        </w:rPr>
        <w:t xml:space="preserve">. In Ghana, only 33% of facilitators report knowing what gender-transformative comprehensive sexuality education means, 52% have heard of it but cannot explain it, and 14% report no knowledge at all. In Zambia, despite very high confidence, only 26.3% demonstrate knowledge of gender-transformative concepts. The Philippines is similar, with 58.8% of facilitators having heard of the approach but only 35.3% able to explain it confidently. Tunisia reports limited conceptual clarity despite high training recency, with only 66.7% clearly understanding the approach, 22.2% partial and 11.1% not knowing it. Benin stands out with stronger grounding, where 60.9% report being able to explain the approach clearly, though even there clarity does not consistently reach practice. Where understanding stays superficial, educators treat gender as an add-on rather than a pedagogical lens, which prioritises information over transformation and limits impact on gender norms, power relations and agency.</w:t>
      </w:r>
    </w:p>
    <w:p w:rsidR="00000000" w:rsidDel="00000000" w:rsidP="00000000" w:rsidRDefault="00000000" w:rsidRPr="00000000" w14:paraId="0000007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The most consistent quantitative gap across all ten countries is post-training support</w:t>
      </w:r>
      <w:r w:rsidDel="00000000" w:rsidR="00000000" w:rsidRPr="00000000">
        <w:rPr>
          <w:rFonts w:ascii="Atkinson Hyperlegible Next" w:cs="Atkinson Hyperlegible Next" w:eastAsia="Atkinson Hyperlegible Next" w:hAnsi="Atkinson Hyperlegible Next"/>
          <w:rtl w:val="0"/>
        </w:rPr>
        <w:t xml:space="preserve">. </w:t>
      </w:r>
      <w:r w:rsidDel="00000000" w:rsidR="00000000" w:rsidRPr="00000000">
        <w:rPr>
          <w:rFonts w:ascii="Atkinson Hyperlegible Next" w:cs="Atkinson Hyperlegible Next" w:eastAsia="Atkinson Hyperlegible Next" w:hAnsi="Atkinson Hyperlegible Next"/>
          <w:rtl w:val="0"/>
        </w:rPr>
        <w:t xml:space="preserve">In Argentina, 90.8% of teachers report receiving no mentorship or support to deliver sessions with a gender perspective. In Benin, only 26.6% of facilitators report regular support or mentoring for gender-transformative delivery. In the Philippines, only 53% report ongoing post-training support, often informal rather than structured. In Moldova, 54.17% of respondents did not receive training or mentoring in reproductive health education supporting equality and respect between girls and boys. Ethiopia reports stronger mentoring coverage at 62.1%, but that still leaves more than one third of educators unsupported. Without reinforcement, educators self-censor, avoid sensitive topics and rely on personal judgement rather than professional standards.</w:t>
      </w:r>
    </w:p>
    <w:p w:rsidR="00000000" w:rsidDel="00000000" w:rsidP="00000000" w:rsidRDefault="00000000" w:rsidRPr="00000000" w14:paraId="0000007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Resource availability and use give another lens on whether training reaches practice. In Zambia, only 19.2% of facilitators regularly use programme-aligned, evidence-informed resources while 26.3% never use them, and only 14.1% always have access to aligned teaching materials, despite 90.9% reporting confidence in delivery. In Malawi, resource use averages 42% of educators, with wide district variation, from 35% in Mchinji and 40% in Nkhatabay to 51% in Chikwawa, and materials are not adapted for persons with disabilities. In Ghana, 62% of facilitators report never having access to teaching aids. In Tunisia, only 33.3% always access aligned lesson plans and just 22.2% always have sufficient materials.</w:t>
      </w:r>
    </w:p>
    <w:p w:rsidR="00000000" w:rsidDel="00000000" w:rsidP="00000000" w:rsidRDefault="00000000" w:rsidRPr="00000000" w14:paraId="0000007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These threads meet at the most telling finding: confidence does not predict competence or outcomes. Zambia is the clearest case: 90.9% of facilitators feel confident delivering comprehensive sexuality education, yet only 26.3% demonstrate gender-transformative knowledge, only 4.6% of learners reach high knowledge thresholds, and only 12.1% reject harmful gender norms.</w:t>
      </w:r>
      <w:r w:rsidDel="00000000" w:rsidR="00000000" w:rsidRPr="00000000">
        <w:rPr>
          <w:rFonts w:ascii="Atkinson Hyperlegible Next" w:cs="Atkinson Hyperlegible Next" w:eastAsia="Atkinson Hyperlegible Next" w:hAnsi="Atkinson Hyperlegible Next"/>
          <w:rtl w:val="0"/>
        </w:rPr>
        <w:t xml:space="preserve"> Malawi shows the same: knowledge adequacy reaches 74% overall, higher among in-school than out-of-school youth, and Life Skills Education runs through the formal system, yet only 48% of adolescents and youth reject harmful gender norms, with girls at 57% and boys at 51%, and older respondents at 60% against 48% of younger ones. These sit alongside resource use of 42% and inadequate institutional support, including materials not adapted for persons with disabilities, showing that confidence and even knowledge gains do not automatically produce norm change.</w:t>
      </w:r>
    </w:p>
    <w:p w:rsidR="00000000" w:rsidDel="00000000" w:rsidP="00000000" w:rsidRDefault="00000000" w:rsidRPr="00000000" w14:paraId="0000007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 summary, </w:t>
      </w:r>
      <w:r w:rsidDel="00000000" w:rsidR="00000000" w:rsidRPr="00000000">
        <w:rPr>
          <w:rFonts w:ascii="Atkinson Hyperlegible Next" w:cs="Atkinson Hyperlegible Next" w:eastAsia="Atkinson Hyperlegible Next" w:hAnsi="Atkinson Hyperlegible Next"/>
          <w:b w:val="1"/>
          <w:bCs w:val="1"/>
          <w:rtl w:val="0"/>
        </w:rPr>
        <w:t xml:space="preserve">training coverage alone is a poor predictor of quality</w:t>
      </w:r>
      <w:r w:rsidDel="00000000" w:rsidR="00000000" w:rsidRPr="00000000">
        <w:rPr>
          <w:rFonts w:ascii="Atkinson Hyperlegible Next" w:cs="Atkinson Hyperlegible Next" w:eastAsia="Atkinson Hyperlegible Next" w:hAnsi="Atkinson Hyperlegible Next"/>
          <w:rtl w:val="0"/>
        </w:rPr>
        <w:t xml:space="preserve">. Where pre-service education is weak, in-service training is episodic, mentoring coverage is low, often below 30%, and aligned resource use falls below 50%, educators are structurally constrained from delivering consistent, gender-transformative comprehensive sexuality education. The result is widespread self-censorship, uneven topic coverage and limited impact on knowledge, norms and behaviours.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2370" w:hRule="atLeast"/>
          <w:tblHeader w:val="0"/>
        </w:trPr>
        <w:tc>
          <w:tcPr>
            <w:tcBorders>
              <w:top w:color="000000" w:space="0" w:sz="0" w:val="nil"/>
              <w:left w:color="e25a1e" w:space="0" w:sz="22" w:val="single"/>
              <w:bottom w:color="000000" w:space="0" w:sz="0" w:val="nil"/>
              <w:right w:color="000000" w:space="0" w:sz="0" w:val="nil"/>
            </w:tcBorders>
            <w:shd w:fill="f5f2ec" w:val="clear"/>
            <w:tcMar>
              <w:top w:w="0.0" w:type="dxa"/>
              <w:left w:w="100.0" w:type="dxa"/>
              <w:bottom w:w="0.0" w:type="dxa"/>
              <w:right w:w="100.0" w:type="dxa"/>
            </w:tcMar>
            <w:vAlign w:val="top"/>
          </w:tcPr>
          <w:p w:rsidR="00000000" w:rsidDel="00000000" w:rsidP="00000000" w:rsidRDefault="00000000" w:rsidRPr="00000000" w14:paraId="0000007E">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e25a1e"/>
                <w:rtl w:val="0"/>
              </w:rPr>
              <w:t xml:space="preserve">Conclusion.  </w:t>
            </w:r>
            <w:r w:rsidDel="00000000" w:rsidR="00000000" w:rsidRPr="00000000">
              <w:rPr>
                <w:rFonts w:ascii="Atkinson Hyperlegible Next" w:cs="Atkinson Hyperlegible Next" w:eastAsia="Atkinson Hyperlegible Next" w:hAnsi="Atkinson Hyperlegible Next"/>
                <w:rtl w:val="0"/>
              </w:rPr>
              <w:t xml:space="preserve">Across the ten baselines, comprehensive sexuality education is widely present but rarely transformational, because curricula tilt toward biomedical content while delivery and facilitator support systems stay fragmented and individual-dependent. Pedagogy is the binding constraint: participatory methods exist in pockets, but weak trauma-informed practice, thin post-training mentoring and low resource use mean confidence routinely outruns competence, as Zambia's pairing of 90.9% facilitator confidence with 26.3% gender-transformative knowledge makes clear. Lasting quality gains depend on shifting from one-off training events to a coherent professional development system that sustains educators and connects classroom learning to skills, norm change and protection.</w:t>
            </w:r>
          </w:p>
        </w:tc>
      </w:tr>
    </w:tbl>
    <w:p w:rsidR="00000000" w:rsidDel="00000000" w:rsidP="00000000" w:rsidRDefault="00000000" w:rsidRPr="00000000" w14:paraId="0000007F">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8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81">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ryrlop5l104i" w:id="13"/>
      <w:bookmarkEnd w:id="13"/>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gg3z5mtc33bl" w:id="14"/>
      <w:bookmarkEnd w:id="14"/>
      <w:r w:rsidDel="00000000" w:rsidR="00000000" w:rsidRPr="00000000">
        <w:rPr>
          <w:rFonts w:ascii="Atkinson Hyperlegible Next" w:cs="Atkinson Hyperlegible Next" w:eastAsia="Atkinson Hyperlegible Next" w:hAnsi="Atkinson Hyperlegible Next"/>
          <w:smallCaps w:val="0"/>
          <w:sz w:val="46"/>
          <w:szCs w:val="46"/>
          <w:rtl w:val="0"/>
        </w:rPr>
        <w:t xml:space="preserve">Component 2. Uptake and access to CSE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8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Across the ten country baselines, the evidence shows that access to CSE depends less on whether a policy exists than on how CSE is delivered and where it sits institutionally. </w:t>
      </w:r>
      <w:r w:rsidDel="00000000" w:rsidR="00000000" w:rsidRPr="00000000">
        <w:rPr>
          <w:rFonts w:ascii="Atkinson Hyperlegible Next" w:cs="Atkinson Hyperlegible Next" w:eastAsia="Atkinson Hyperlegible Next" w:hAnsi="Atkinson Hyperlegible Next"/>
          <w:b w:val="1"/>
          <w:bCs w:val="1"/>
          <w:rtl w:val="0"/>
        </w:rPr>
        <w:t xml:space="preserve">Most countries report both in-school and out-of-school CSE channels. </w:t>
      </w:r>
      <w:r w:rsidDel="00000000" w:rsidR="00000000" w:rsidRPr="00000000">
        <w:rPr>
          <w:rFonts w:ascii="Atkinson Hyperlegible Next" w:cs="Atkinson Hyperlegible Next" w:eastAsia="Atkinson Hyperlegible Next" w:hAnsi="Atkinson Hyperlegible Next"/>
          <w:rtl w:val="0"/>
        </w:rPr>
        <w:t xml:space="preserve">But </w:t>
      </w:r>
      <w:r w:rsidDel="00000000" w:rsidR="00000000" w:rsidRPr="00000000">
        <w:rPr>
          <w:rFonts w:ascii="Atkinson Hyperlegible Next" w:cs="Atkinson Hyperlegible Next" w:eastAsia="Atkinson Hyperlegible Next" w:hAnsi="Atkinson Hyperlegible Next"/>
          <w:b w:val="1"/>
          <w:bCs w:val="1"/>
          <w:rtl w:val="0"/>
        </w:rPr>
        <w:t xml:space="preserve">reach, uptake and regular exposure are uneven.</w:t>
      </w:r>
      <w:r w:rsidDel="00000000" w:rsidR="00000000" w:rsidRPr="00000000">
        <w:rPr>
          <w:rFonts w:ascii="Atkinson Hyperlegible Next" w:cs="Atkinson Hyperlegible Next" w:eastAsia="Atkinson Hyperlegible Next" w:hAnsi="Atkinson Hyperlegible Next"/>
          <w:rtl w:val="0"/>
        </w:rPr>
        <w:t xml:space="preserve"> Out-of-school modalities often fill the gaps left by formal education systems. Where coverage is broad, it usually rests on non-formal, project-based delivery rather than the formal school system. That raises questions of equity, sustainability and scale.</w:t>
      </w:r>
    </w:p>
    <w:p w:rsidR="00000000" w:rsidDel="00000000" w:rsidP="00000000" w:rsidRDefault="00000000" w:rsidRPr="00000000" w14:paraId="00000085">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e5vmtnp593vf" w:id="15"/>
      <w:bookmarkEnd w:id="15"/>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1. In-school and out-of-school reach</w:t>
      </w:r>
    </w:p>
    <w:p w:rsidR="00000000" w:rsidDel="00000000" w:rsidP="00000000" w:rsidRDefault="00000000" w:rsidRPr="00000000" w14:paraId="00000086">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In-school CSE is formally available in most countries. It is usually embedded in life skills education, health education or cross-cutting curriculum components rather than taught as a standalone subject. But youth survey data show that formal availability does not mean universal or regular exposure. Curricula that look comprehensive on paper reach learners irregularly in practice. The depth and continuity of delivery vary widely between institutions, classrooms and educators.</w:t>
      </w:r>
    </w:p>
    <w:p w:rsidR="00000000" w:rsidDel="00000000" w:rsidP="00000000" w:rsidRDefault="00000000" w:rsidRPr="00000000" w14:paraId="00000087">
      <w:pPr>
        <w:spacing w:before="120" w:lineRule="auto"/>
        <w:jc w:val="center"/>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Pr>
        <w:drawing>
          <wp:inline distB="114300" distT="114300" distL="114300" distR="114300">
            <wp:extent cx="5130800" cy="3695700"/>
            <wp:effectExtent b="0" l="0" r="0" t="0"/>
            <wp:docPr id="171354285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308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Argentina shows how high nominal coverage can sit alongside thin continuity. There, 94.3% of youth reported receiving CSE at some point, mainly through school (86.3%). But only 48.1% had received it in the last 12 months. School is the dominant channel, yet recent exposure drops off sharply.</w:t>
      </w:r>
    </w:p>
    <w:p w:rsidR="00000000" w:rsidDel="00000000" w:rsidP="00000000" w:rsidRDefault="00000000" w:rsidRPr="00000000" w14:paraId="0000008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Benin shows a similar reliance on schools alongside substantial non-formal provision. There, 47.2% of adolescents and young people surveyed reported receiving some form of CSE. The main location was school (64.6%), and community or NGO programmes reached a further 42.2%. The baseline notes that non-formal education plays a critical role in reaching adolescents and young people, particularly through youth clubs, peer education and civil society initiatives that work alongside school-based provision rather than replacing it.</w:t>
      </w:r>
    </w:p>
    <w:p w:rsidR="00000000" w:rsidDel="00000000" w:rsidP="00000000" w:rsidRDefault="00000000" w:rsidRPr="00000000" w14:paraId="0000008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Colombia shows the same layering of channels. School is the primary access point, cited by 50.7% of respondents. NGO or community programmes reach 38.4% and digital channels 26%. The baseline notes that coverage varies significantly by institution: some schools run structured sessions while others address sexuality education only sporadically. This variation between institutions, more than any absence of a curriculum, defines the Colombian picture.</w:t>
      </w:r>
    </w:p>
    <w:p w:rsidR="00000000" w:rsidDel="00000000" w:rsidP="00000000" w:rsidRDefault="00000000" w:rsidRPr="00000000" w14:paraId="0000008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 Moldova, the survey uses the term reproductive health education. There, 58.57% of respondents reported receiving it through school, extracurricular or other settings, while 41.43% had not. Of all respondents, 52.69% reported receiving education on reproductive health at school. As elsewhere, school is the single largest channel. But more than four in ten young people fall outside structured provision. The baseline attributes these gaps partly to the optional nature of school-based content and partly to reliance on NGO initiatives to fill thematic gaps.</w:t>
      </w:r>
    </w:p>
    <w:p w:rsidR="00000000" w:rsidDel="00000000" w:rsidP="00000000" w:rsidRDefault="00000000" w:rsidRPr="00000000" w14:paraId="0000008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Zambia reports relatively high overall reach. There, 78.1% of surveyed youth reported receiving CSE, while 21.9% reported never receiving it despite attending institutions where CSE is in the curriculum. Non-coverage was higher among boys (25.1%) than girls (19.5%).</w:t>
      </w:r>
    </w:p>
    <w:p w:rsidR="00000000" w:rsidDel="00000000" w:rsidP="00000000" w:rsidRDefault="00000000" w:rsidRPr="00000000" w14:paraId="0000008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 Malawi, access for out-of-school learners depends heavily on NGO and community programmes. About 49% of vulnerable out-of-school youth remain unserved. In-school learners show stronger knowledge than their out-of-school peers.</w:t>
      </w:r>
    </w:p>
    <w:p w:rsidR="00000000" w:rsidDel="00000000" w:rsidP="00000000" w:rsidRDefault="00000000" w:rsidRPr="00000000" w14:paraId="0000008E">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Tunisia did not run an EmpowerED youth survey. Its figures come from the 2024 knowledge, attitudes and practices (KAP) study on sexuality and SRH. In the 2024 KAP study, 72% of youth report that they have never attended a structured session on sexual and reproductive health and rights (SRHR). Only 12% cite school-based CSE as their main source of SRHR information, far behind social media at 40.1%. These figures are consistent with the qualitative finding that in-school CSE in Tunisia is spread across biology, civic education, health and life skills modules, with exposure varying and interior schools tending to avoid or minimise sensitive content.</w:t>
      </w:r>
    </w:p>
    <w:p w:rsidR="00000000" w:rsidDel="00000000" w:rsidP="00000000" w:rsidRDefault="00000000" w:rsidRPr="00000000" w14:paraId="0000008F">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Across all ten countries, out-of-school CSE is a critical compensatory mechanism. It often reaches adolescents and young people who are underserved by formal schooling. It is delivered through youth clubs, peer education sessions, community outreach, NGO-led workshops and alternative learning systems. Youth consistently describe these formats as more interactive, participatory and responsive to their needs than in-school sessions, which they often experience as sporadic, theoretical or limited to the biology of reproduction. In Benin, community and NGO programmes reach a substantial share of recipients, and the baseline identifies non-formal channels as particularly important for adolescents who do not attend school regularly. In Colombia, NGO or community provision (38.4%) and digital channels (26%) extend reach beyond the classroom, and youth in community-based programmes report more regular exposure than those relying only on school. In Ethiopia and Tunisia, out-of-school youth report relying on civil society organisations as their main source of SRHR information. In Moldova and Malawi, out-of-school youth depend heavily on NGO-led and community-based programmes.</w:t>
      </w:r>
    </w:p>
    <w:p w:rsidR="00000000" w:rsidDel="00000000" w:rsidP="00000000" w:rsidRDefault="00000000" w:rsidRPr="00000000" w14:paraId="0000009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Delivery format strongly influences uptake and continuity. In-school CSE is usually delivered through integrated curriculum components, occasional lessons or extracurricular activities. Out-of-school CSE relies on more sustained, participatory formats. In the Philippines, the learner survey shows comparatively high exposure, with nearly three-quarters of respondents reached with CSE sessions, alongside provision through the Alternative Learning System. Out-of-school CSE expands reach and continuity but stays project-based and unevenly scaled. </w:t>
      </w:r>
      <w:r w:rsidDel="00000000" w:rsidR="00000000" w:rsidRPr="00000000">
        <w:rPr>
          <w:rFonts w:ascii="Atkinson Hyperlegible Next" w:cs="Atkinson Hyperlegible Next" w:eastAsia="Atkinson Hyperlegible Next" w:hAnsi="Atkinson Hyperlegible Next"/>
          <w:b w:val="1"/>
          <w:bCs w:val="1"/>
          <w:rtl w:val="0"/>
        </w:rPr>
        <w:t xml:space="preserve">Both modalities are needed, yet current systems lean too heavily on out-of-school programmes to make up for weak formal delivery</w:t>
      </w:r>
      <w:r w:rsidDel="00000000" w:rsidR="00000000" w:rsidRPr="00000000">
        <w:rPr>
          <w:rFonts w:ascii="Atkinson Hyperlegible Next" w:cs="Atkinson Hyperlegible Next" w:eastAsia="Atkinson Hyperlegible Next" w:hAnsi="Atkinson Hyperlegible Next"/>
          <w:rtl w:val="0"/>
        </w:rPr>
        <w:t xml:space="preserve">.</w:t>
      </w:r>
    </w:p>
    <w:p w:rsidR="00000000" w:rsidDel="00000000" w:rsidP="00000000" w:rsidRDefault="00000000" w:rsidRPr="00000000" w14:paraId="00000091">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lxrvadh4k1dm" w:id="16"/>
      <w:bookmarkEnd w:id="16"/>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2. Access and equity by sex, age, geography, disability and vulnerability</w:t>
      </w:r>
    </w:p>
    <w:p w:rsidR="00000000" w:rsidDel="00000000" w:rsidP="00000000" w:rsidRDefault="00000000" w:rsidRPr="00000000" w14:paraId="00000092">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Across the ten country baselines, access to CSE shows systematic inequities by sex, age, location and vulnerability status. Most countries report both in-school and out-of-school channels. But youth survey data and qualitative evidence show that access is neither universal nor equitable. Specific groups of adolescents and young people face structural exclusion or irregular exposure.</w:t>
      </w:r>
    </w:p>
    <w:p w:rsidR="00000000" w:rsidDel="00000000" w:rsidP="00000000" w:rsidRDefault="00000000" w:rsidRPr="00000000" w14:paraId="00000093">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clearest sex-based pattern is that </w:t>
      </w:r>
      <w:r w:rsidDel="00000000" w:rsidR="00000000" w:rsidRPr="00000000">
        <w:rPr>
          <w:rFonts w:ascii="Atkinson Hyperlegible Next" w:cs="Atkinson Hyperlegible Next" w:eastAsia="Atkinson Hyperlegible Next" w:hAnsi="Atkinson Hyperlegible Next"/>
          <w:b w:val="1"/>
          <w:bCs w:val="1"/>
          <w:rtl w:val="0"/>
        </w:rPr>
        <w:t xml:space="preserve">female adolescents</w:t>
      </w:r>
      <w:r w:rsidDel="00000000" w:rsidR="00000000" w:rsidRPr="00000000">
        <w:rPr>
          <w:rFonts w:ascii="Atkinson Hyperlegible Next" w:cs="Atkinson Hyperlegible Next" w:eastAsia="Atkinson Hyperlegible Next" w:hAnsi="Atkinson Hyperlegible Next"/>
          <w:rtl w:val="0"/>
        </w:rPr>
        <w:t xml:space="preserve"> often report higher access than males. In Benin, girls reported markedly higher access than boys (54.5% compared with 37.9%). In Zambia, non-coverage in CSE-curriculum schools was higher among boys (25.1%) than girls (19.5%), again showing broader exposure among girls. In Moldova, at-school reproductive health education reached 51.53% of girls compared with 37.99% of boys. This pattern is not universal. In Ghana, the figures run the other way: more boys than girls reported receiving sexuality education (30% of boys compared with 26% of girls).</w:t>
      </w:r>
    </w:p>
    <w:p w:rsidR="00000000" w:rsidDel="00000000" w:rsidP="00000000" w:rsidRDefault="00000000" w:rsidRPr="00000000" w14:paraId="0000009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direction of gendered participation is also context-specific. In Colombia, women make up around three-quarters of participants in CSE processes, and the baseline calls for strategies to reach men and engage with masculinities. In Ethiopia, adolescent girls use community youth centres much less than boys: girls are more likely to be kept home for domestic chores while boys move freely to attend. In Tunisia, girls face greater barriers to CSE because of social norms that restrict open discussion, mobility and participation in extracurricular activities. So higher reported access among girls in some settings sits alongside significant participation barriers for girls in others. </w:t>
      </w:r>
    </w:p>
    <w:p w:rsidR="00000000" w:rsidDel="00000000" w:rsidP="00000000" w:rsidRDefault="00000000" w:rsidRPr="00000000" w14:paraId="0000009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data suggest that </w:t>
      </w:r>
      <w:r w:rsidDel="00000000" w:rsidR="00000000" w:rsidRPr="00000000">
        <w:rPr>
          <w:rFonts w:ascii="Atkinson Hyperlegible Next" w:cs="Atkinson Hyperlegible Next" w:eastAsia="Atkinson Hyperlegible Next" w:hAnsi="Atkinson Hyperlegible Next"/>
          <w:b w:val="1"/>
          <w:bCs w:val="1"/>
          <w:rtl w:val="0"/>
        </w:rPr>
        <w:t xml:space="preserve">boys and gender-diverse youth</w:t>
      </w:r>
      <w:r w:rsidDel="00000000" w:rsidR="00000000" w:rsidRPr="00000000">
        <w:rPr>
          <w:rFonts w:ascii="Atkinson Hyperlegible Next" w:cs="Atkinson Hyperlegible Next" w:eastAsia="Atkinson Hyperlegible Next" w:hAnsi="Atkinson Hyperlegible Next"/>
          <w:rtl w:val="0"/>
        </w:rPr>
        <w:t xml:space="preserve"> are systematically underserved in many settings, which limits the potential of CSE to shift gender norms across the whole population.</w:t>
      </w:r>
    </w:p>
    <w:p w:rsidR="00000000" w:rsidDel="00000000" w:rsidP="00000000" w:rsidRDefault="00000000" w:rsidRPr="00000000" w14:paraId="00000096">
      <w:pPr>
        <w:spacing w:after="200" w:lineRule="auto"/>
        <w:rPr>
          <w:rFonts w:ascii="Atkinson Hyperlegible Next" w:cs="Atkinson Hyperlegible Next" w:eastAsia="Atkinson Hyperlegible Next" w:hAnsi="Atkinson Hyperlegible Next"/>
          <w:u w:val="single"/>
        </w:rPr>
      </w:pPr>
      <w:r w:rsidDel="00000000" w:rsidR="00000000" w:rsidRPr="00000000">
        <w:rPr>
          <w:rFonts w:ascii="Atkinson Hyperlegible Next" w:cs="Atkinson Hyperlegible Next" w:eastAsia="Atkinson Hyperlegible Next" w:hAnsi="Atkinson Hyperlegible Next"/>
          <w:rtl w:val="0"/>
        </w:rPr>
        <w:t xml:space="preserve">Age disaggregation reveals one of the most consistent inequities: </w:t>
      </w:r>
      <w:r w:rsidDel="00000000" w:rsidR="00000000" w:rsidRPr="00000000">
        <w:rPr>
          <w:rFonts w:ascii="Atkinson Hyperlegible Next" w:cs="Atkinson Hyperlegible Next" w:eastAsia="Atkinson Hyperlegible Next" w:hAnsi="Atkinson Hyperlegible Next"/>
          <w:b w:val="1"/>
          <w:bCs w:val="1"/>
          <w:rtl w:val="0"/>
        </w:rPr>
        <w:t xml:space="preserve">younger adolescents are generally less likely to access CSE and to demonstrate knowledge than older age groups</w:t>
      </w:r>
      <w:r w:rsidDel="00000000" w:rsidR="00000000" w:rsidRPr="00000000">
        <w:rPr>
          <w:rFonts w:ascii="Atkinson Hyperlegible Next" w:cs="Atkinson Hyperlegible Next" w:eastAsia="Atkinson Hyperlegible Next" w:hAnsi="Atkinson Hyperlegible Next"/>
          <w:rtl w:val="0"/>
        </w:rPr>
        <w:t xml:space="preserve">. In Ethiopia, the survey mostly engaged older youth, and the baseline identifies a critical gap in addressing early adolescents aged 10 to 14, linked to perceptions that sexuality education is inappropriate for younger learners. In Zambia, correct CSE knowledge was over five times greater in the 20 to 24 age group than among those aged 10 to 14 and 15 to 19. In Malawi, older adolescents report broader SRHR understanding and stronger rejection of harmful norms: 60% of older adolescents reject harmful gender norms compared with 48% of younger ones. The Ghana sample is concentrated among older adolescents. In the Philippines, reach data show youth aged 20 to 24 reporting slightly higher reach than adolescents aged 10 to 19. The consistent under-reach of younger adolescents undermines a core principle of CSE, early and age-appropriate learning, and cuts opportunities for prevention before risk behaviours begin. </w:t>
      </w:r>
      <w:r w:rsidDel="00000000" w:rsidR="00000000" w:rsidRPr="00000000">
        <w:rPr>
          <w:rFonts w:ascii="Atkinson Hyperlegible Next" w:cs="Atkinson Hyperlegible Next" w:eastAsia="Atkinson Hyperlegible Next" w:hAnsi="Atkinson Hyperlegible Next"/>
          <w:u w:val="single"/>
          <w:rtl w:val="0"/>
        </w:rPr>
        <w:t xml:space="preserve">Qualitative narratives attribute the gap to delayed curricular introduction, reluctance to address sexuality with younger adolescents and parental or community resistance.</w:t>
      </w:r>
    </w:p>
    <w:p w:rsidR="00000000" w:rsidDel="00000000" w:rsidP="00000000" w:rsidRDefault="00000000" w:rsidRPr="00000000" w14:paraId="0000009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Location-based disparities</w:t>
      </w:r>
      <w:r w:rsidDel="00000000" w:rsidR="00000000" w:rsidRPr="00000000">
        <w:rPr>
          <w:rFonts w:ascii="Atkinson Hyperlegible Next" w:cs="Atkinson Hyperlegible Next" w:eastAsia="Atkinson Hyperlegible Next" w:hAnsi="Atkinson Hyperlegible Next"/>
          <w:rtl w:val="0"/>
        </w:rPr>
        <w:t xml:space="preserve"> are prominent across the evidence. Rural adolescents and young people consistently report lower access than urban peers across both modalities. In Ethiopia, the rural population is described as less prioritised and underserved in SRH services and information relative to urban areas, with interventions characterised as urban-focused. In Moldova, young people in rural areas have little or no access to CSE or to youth centres, reflecting both school-level implementation gaps and limited NGO presence outside urban centres. In the Philippines, learners are uncertain whether poor or rural youth enjoy equal access, and rural and indigenous adolescents are described as having lower access. These geographic inequities reflect structural constraints in education systems and in civil society reach. Where out-of-school CSE relies heavily on NGOs and youth organisations, rural areas are disproportionately excluded, reinforcing spatial inequalities in access to SRHR information.</w:t>
      </w:r>
    </w:p>
    <w:p w:rsidR="00000000" w:rsidDel="00000000" w:rsidP="00000000" w:rsidRDefault="00000000" w:rsidRPr="00000000" w14:paraId="00000098">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Out-of-school youth</w:t>
      </w:r>
      <w:r w:rsidDel="00000000" w:rsidR="00000000" w:rsidRPr="00000000">
        <w:rPr>
          <w:rFonts w:ascii="Atkinson Hyperlegible Next" w:cs="Atkinson Hyperlegible Next" w:eastAsia="Atkinson Hyperlegible Next" w:hAnsi="Atkinson Hyperlegible Next"/>
          <w:rtl w:val="0"/>
        </w:rPr>
        <w:t xml:space="preserve"> are one of the most structurally disadvantaged groups, even though they are among the primary intended beneficiaries of out-of-school CSE. In Ethiopia, out-of-school youth, particularly girls, rely on CSO-led programmes, drop-in centres and evening outreach as their main source of SRHR information. Malawi and Tunisia similarly report that out-of-school youth depend on NGO and community-based provision. Yet reliance on non-formal channels does not guarantee coverage. In Malawi, about 49% of vulnerable out-of-school youth remain unserved despite community programmes. In Ghana, out-of-school respondents reported somewhat lower receipt of sexuality education than in-school peers (68% compared with 75%). Out-of-school CSE plays a crucial compensatory role, but its project-based nature and uneven geographic spread mean large numbers of out-of-school adolescents remain unreached.</w:t>
      </w:r>
    </w:p>
    <w:p w:rsidR="00000000" w:rsidDel="00000000" w:rsidP="00000000" w:rsidRDefault="00000000" w:rsidRPr="00000000" w14:paraId="0000009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Socio-economic vulnerability</w:t>
      </w:r>
      <w:r w:rsidDel="00000000" w:rsidR="00000000" w:rsidRPr="00000000">
        <w:rPr>
          <w:rFonts w:ascii="Atkinson Hyperlegible Next" w:cs="Atkinson Hyperlegible Next" w:eastAsia="Atkinson Hyperlegible Next" w:hAnsi="Atkinson Hyperlegible Next"/>
          <w:rtl w:val="0"/>
        </w:rPr>
        <w:t xml:space="preserve"> compounds these patterns. In Ethiopia, poverty pushes young people out of education and out of the extracurricular activities through which CSE is often delivered. In Malawi, poor and out-of-school adolescent girls face the harshest exclusion and the least access. Even when CSE is formally available, indirect costs, opportunity costs and social exclusion limit uptake among poorer adolescents. Socio-economic inequities intersect with age, location and school attendance to compound disadvantage and reinforce cycles of exclusion from SRHR information.</w:t>
      </w:r>
    </w:p>
    <w:p w:rsidR="00000000" w:rsidDel="00000000" w:rsidP="00000000" w:rsidRDefault="00000000" w:rsidRPr="00000000" w14:paraId="0000009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Adolescents with disabilities</w:t>
      </w:r>
      <w:r w:rsidDel="00000000" w:rsidR="00000000" w:rsidRPr="00000000">
        <w:rPr>
          <w:rFonts w:ascii="Atkinson Hyperlegible Next" w:cs="Atkinson Hyperlegible Next" w:eastAsia="Atkinson Hyperlegible Next" w:hAnsi="Atkinson Hyperlegible Next"/>
          <w:rtl w:val="0"/>
        </w:rPr>
        <w:t xml:space="preserve"> are consistently identified as a group with limited access to CSE, with very few examples of adapted or inclusive programming. In Benin, young people with disabilities are described as one of the most marginalised groups, with programmes very rarely tailored to their needs. Ethiopia identifies persons with disabilities as among the least addressed groups in health information and services, facing physical and attitudinal barriers and a lack of tailored content. In Malawi, life skills education materials are not yet fully adapted for learners with disabilities, who make up about 4.6% of the sample and are structurally excluded. In the Philippines, learners with disabilities are seldom explicitly included in programme design. </w:t>
      </w:r>
      <w:r w:rsidDel="00000000" w:rsidR="00000000" w:rsidRPr="00000000">
        <w:rPr>
          <w:rFonts w:ascii="Atkinson Hyperlegible Next" w:cs="Atkinson Hyperlegible Next" w:eastAsia="Atkinson Hyperlegible Next" w:hAnsi="Atkinson Hyperlegible Next"/>
          <w:u w:val="single"/>
          <w:rtl w:val="0"/>
        </w:rPr>
        <w:t xml:space="preserve">The reports rarely give quantitative estimates for these groups, reflecting broader gaps in data disaggregation.</w:t>
      </w:r>
      <w:r w:rsidDel="00000000" w:rsidR="00000000" w:rsidRPr="00000000">
        <w:rPr>
          <w:rFonts w:ascii="Atkinson Hyperlegible Next" w:cs="Atkinson Hyperlegible Next" w:eastAsia="Atkinson Hyperlegible Next" w:hAnsi="Atkinson Hyperlegible Next"/>
          <w:b w:val="1"/>
          <w:bCs w:val="1"/>
          <w:rtl w:val="0"/>
        </w:rPr>
        <w:t xml:space="preserve"> </w:t>
      </w:r>
      <w:r w:rsidDel="00000000" w:rsidR="00000000" w:rsidRPr="00000000">
        <w:rPr>
          <w:rFonts w:ascii="Atkinson Hyperlegible Next" w:cs="Atkinson Hyperlegible Next" w:eastAsia="Atkinson Hyperlegible Next" w:hAnsi="Atkinson Hyperlegible Next"/>
          <w:rtl w:val="0"/>
        </w:rPr>
        <w:t xml:space="preserve">But the repeated qualitative references point to a systemic failure to adapt CSE delivery to diverse learning needs, leaving some of the most vulnerable adolescents without essential information.</w:t>
      </w:r>
    </w:p>
    <w:p w:rsidR="00000000" w:rsidDel="00000000" w:rsidP="00000000" w:rsidRDefault="00000000" w:rsidRPr="00000000" w14:paraId="0000009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Out-of-school CSE</w:t>
      </w:r>
      <w:r w:rsidDel="00000000" w:rsidR="00000000" w:rsidRPr="00000000">
        <w:rPr>
          <w:rFonts w:ascii="Atkinson Hyperlegible Next" w:cs="Atkinson Hyperlegible Next" w:eastAsia="Atkinson Hyperlegible Next" w:hAnsi="Atkinson Hyperlegible Next"/>
          <w:rtl w:val="0"/>
        </w:rPr>
        <w:t xml:space="preserve"> reduces but does not eliminate these equity gaps. In Benin, non-formal channels extend reach beyond the classroom, yet rural youth, youth with disabilities and those not connected to organised youth spaces remain less likely to be reached even through non-formal provision, because that reach depends on links to CSOs and community structures that are themselves unevenly distributed. Taken together, access to CSE across the ten countries is shaped by intersecting inequalities: girls generally report higher access than boys in most though not all settings, older adolescents more than younger ones, urban youth more than rural youth. Out-of-school youth, youth with disabilities and those from marginalised socio-economic backgrounds remain disproportionately excluded. No country shows equitable access across all population groups. Where access is broader, it is often driven by non-formal, project-based delivery rather than institutionalised systems. Equity in CSE access cannot be assumed from national coverage figures alone. Disaggregated data reveal persistent gaps that need targeted strategies across education systems, community programming and policy frameworks.</w:t>
      </w:r>
    </w:p>
    <w:p w:rsidR="00000000" w:rsidDel="00000000" w:rsidP="00000000" w:rsidRDefault="00000000" w:rsidRPr="00000000" w14:paraId="0000009C">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nvyojaq8y264" w:id="17"/>
      <w:bookmarkEnd w:id="17"/>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3. Knowledge levels and persistent gaps</w:t>
      </w:r>
    </w:p>
    <w:p w:rsidR="00000000" w:rsidDel="00000000" w:rsidP="00000000" w:rsidRDefault="00000000" w:rsidRPr="00000000" w14:paraId="0000009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Across the ten country baselines, youth survey data and qualitative narratives point the same way: knowledge related to CSE remains modest or low in most contexts, even where CSE is formally available. Only a minority of adolescents and young people show adequate or comprehensive knowledge of CSE-related topics. Exposure alone does not guarantee learning.</w:t>
      </w:r>
    </w:p>
    <w:p w:rsidR="00000000" w:rsidDel="00000000" w:rsidP="00000000" w:rsidRDefault="00000000" w:rsidRPr="00000000" w14:paraId="0000009E">
      <w:pPr>
        <w:spacing w:before="120" w:lineRule="auto"/>
        <w:jc w:val="center"/>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Pr>
        <w:drawing>
          <wp:inline distB="114300" distT="114300" distL="114300" distR="114300">
            <wp:extent cx="5130800" cy="2946400"/>
            <wp:effectExtent b="0" l="0" r="0" t="0"/>
            <wp:docPr id="171354285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1308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country evidence spans a wide range. In Argentina, the report found near-universal basic knowledge, with around 100% of youth able to identify CSE objectives, healthy relationships and key myths, and 83% reaching the adequate-knowledge threshold. In Colombia, item-level knowledge was high: 98.6% correctly identified the purpose of CSE and 87.7% recognised both the protection offered by condoms and consent as a free and reversible agreement. Malawi reports adequate knowledge of about 74% nationally on key indicators, and Ethiopia reaches 64%. These stronger contexts contrast sharply with others: in Moldova, 34.27% show adequate knowledge; in Benin, only 24.4% of adolescents reach a sufficient level of knowledge and skills in CSE; and in Zambia, just 4.6% of adolescents and young people achieve high knowledge scores on CSE-related indicators. The Philippines measures knowledge differently, reporting a mean knowledge score of 72.9% rather than a percentage meeting an adequacy threshold. This places its learners in the stronger group but is not directly comparable to the adequacy percentages reported elsewhere. For Ghana, the indicator matrix was not populated, so a composite knowledge figure was not measured in the source.</w:t>
      </w:r>
    </w:p>
    <w:p w:rsidR="00000000" w:rsidDel="00000000" w:rsidP="00000000" w:rsidRDefault="00000000" w:rsidRPr="00000000" w14:paraId="000000A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Zambia gives the sharpest illustration of the </w:t>
      </w:r>
      <w:r w:rsidDel="00000000" w:rsidR="00000000" w:rsidRPr="00000000">
        <w:rPr>
          <w:rFonts w:ascii="Atkinson Hyperlegible Next" w:cs="Atkinson Hyperlegible Next" w:eastAsia="Atkinson Hyperlegible Next" w:hAnsi="Atkinson Hyperlegible Next"/>
          <w:b w:val="1"/>
          <w:bCs w:val="1"/>
          <w:rtl w:val="0"/>
        </w:rPr>
        <w:t xml:space="preserve">gap between reach and knowledge</w:t>
      </w:r>
      <w:r w:rsidDel="00000000" w:rsidR="00000000" w:rsidRPr="00000000">
        <w:rPr>
          <w:rFonts w:ascii="Atkinson Hyperlegible Next" w:cs="Atkinson Hyperlegible Next" w:eastAsia="Atkinson Hyperlegible Next" w:hAnsi="Atkinson Hyperlegible Next"/>
          <w:rtl w:val="0"/>
        </w:rPr>
        <w:t xml:space="preserve">. Despite relatively broad exposure through both school-based and community programmes, only 4.6% of youth achieved high knowledge scores. The baseline concludes that CSE remains uneven in coverage and weak in producing demonstrable knowledge and gender-transformative outcomes at learner level. This shows that frequency, depth and pedagogical quality, not just access, are decisive for learning. Across contexts, most young people remain below comprehensive knowledge thresholds. Fragmented delivery, limited repetition and pedagogical constraints undermine knowledge even where nominal coverage is high.</w:t>
      </w:r>
    </w:p>
    <w:p w:rsidR="00000000" w:rsidDel="00000000" w:rsidP="00000000" w:rsidRDefault="00000000" w:rsidRPr="00000000" w14:paraId="000000A1">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Several baselines link </w:t>
      </w:r>
      <w:r w:rsidDel="00000000" w:rsidR="00000000" w:rsidRPr="00000000">
        <w:rPr>
          <w:rFonts w:ascii="Atkinson Hyperlegible Next" w:cs="Atkinson Hyperlegible Next" w:eastAsia="Atkinson Hyperlegible Next" w:hAnsi="Atkinson Hyperlegible Next"/>
          <w:b w:val="1"/>
          <w:bCs w:val="1"/>
          <w:rtl w:val="0"/>
        </w:rPr>
        <w:t xml:space="preserve">higher knowledge to repeated or structured exposure</w:t>
      </w:r>
      <w:r w:rsidDel="00000000" w:rsidR="00000000" w:rsidRPr="00000000">
        <w:rPr>
          <w:rFonts w:ascii="Atkinson Hyperlegible Next" w:cs="Atkinson Hyperlegible Next" w:eastAsia="Atkinson Hyperlegible Next" w:hAnsi="Atkinson Hyperlegible Next"/>
          <w:rtl w:val="0"/>
        </w:rPr>
        <w:t xml:space="preserve">. In Argentina, knowledge was higher among youth reporting repeated exposure. In Malawi, applying CSE knowledge is linked to more recent and more frequent exposure, with in-school learners showing stronger knowledge than out-of-school peers. These findings reinforce the importance of sustained, structured CSE rather than episodic sessions, since knowledge outcomes are closely tied to the regularity and depth of engagement rather than to one-off contact.</w:t>
      </w:r>
    </w:p>
    <w:p w:rsidR="00000000" w:rsidDel="00000000" w:rsidP="00000000" w:rsidRDefault="00000000" w:rsidRPr="00000000" w14:paraId="000000A2">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Knowledge gaps also cluster around particular domains. In Ghana, gaps are noted around pregnancy myths and contraception, with a substantial share of respondents believing that contraception causes infertility, alongside weaknesses on the dual protection offered by condoms and on HIV prevention. In Moldova, gaps are identified around consent, relationships and sexual diversity despite school-based health education, with gender identity, consent and power dynamics under-covered. In Argentina, youth highlight a need to know where and how to access SRH services, a rights-and-services gap rather than a gap in basic facts. In Tunisia, knowledge gaps are more pronounced among male adolescents, reflecting lower engagement and norms that discourage help-seeking. In Ethiopia, younger adolescents and rural youth show lower knowledge linked to delayed or limited exposure. These gaps cluster around the practical, rights-based and relational parts of CSE rather than purely biological information, with direct implications for young people's ability to navigate relationships, access services and exercise bodily autonomy.</w:t>
      </w:r>
    </w:p>
    <w:p w:rsidR="00000000" w:rsidDel="00000000" w:rsidP="00000000" w:rsidRDefault="00000000" w:rsidRPr="00000000" w14:paraId="000000A3">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Knowledge gaps also map onto the equity gaps identified in access. The same groups that face barriers to access, including younger adolescents, rural youth, boys in several settings and marginalised populations, also tend to show lower knowledge, even as they express strong demand for information. Equity gaps in access therefore translate directly into equity gaps in knowledge. This reinforces the case for targeted strategies for the groups least well served by current provision.</w:t>
      </w:r>
    </w:p>
    <w:p w:rsidR="00000000" w:rsidDel="00000000" w:rsidP="00000000" w:rsidRDefault="00000000" w:rsidRPr="00000000" w14:paraId="000000A4">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34mthfe67kt7" w:id="18"/>
      <w:bookmarkEnd w:id="18"/>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4. Demand for CSE and the demand to knowledge divergence</w:t>
      </w:r>
    </w:p>
    <w:p w:rsidR="00000000" w:rsidDel="00000000" w:rsidP="00000000" w:rsidRDefault="00000000" w:rsidRPr="00000000" w14:paraId="000000A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 contrast to the modest knowledge levels above, expressed demand for CSE is strikingly high in every country. The divergence between knowledge and demand is one of the most significant findings of the baseline assessments.</w:t>
      </w:r>
    </w:p>
    <w:p w:rsidR="00000000" w:rsidDel="00000000" w:rsidP="00000000" w:rsidRDefault="00000000" w:rsidRPr="00000000" w14:paraId="000000A6">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Demand is documented consistently</w:t>
      </w:r>
      <w:r w:rsidDel="00000000" w:rsidR="00000000" w:rsidRPr="00000000">
        <w:rPr>
          <w:rFonts w:ascii="Atkinson Hyperlegible Next" w:cs="Atkinson Hyperlegible Next" w:eastAsia="Atkinson Hyperlegible Next" w:hAnsi="Atkinson Hyperlegible Next"/>
          <w:rtl w:val="0"/>
        </w:rPr>
        <w:t xml:space="preserve">, though the baselines describe it largely in qualitative terms rather than through directly comparable percentages. Across countries, adolescents and young people repeatedly express a clear appetite for more and better CSE. In the Philippines, demand is described as latent and situational, with learners actively seeking information through peers and digital sources where formal provision falls short. In Benin, demand for CSE is qualitatively high even though only 24.4% of adolescents reach the adequate-knowledge threshold. In Ethiopia, demand is particularly strong among out-of-school youth and young women, who are described as more proactive in seeking SRHR information. In Tunisia, adolescents consistently express interest in CSE across sexes; the 2024 KAP study records this interest. The consistency of demand across very different income levels, policy frameworks and programme maturities shows that young people perceive a clear gap between their needs and the education available to them.</w:t>
      </w:r>
    </w:p>
    <w:p w:rsidR="00000000" w:rsidDel="00000000" w:rsidP="00000000" w:rsidRDefault="00000000" w:rsidRPr="00000000" w14:paraId="000000A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Where baselines specify the content of youth demand, common themes emerge that align closely with the domains where knowledge is weakest. In Argentina, youth call for more support in recognising unhealthy or violent relationships and in accessing SRH services, foregrounding relationships, consent and gender-based violence. In Moldova, youth identify unmet needs around consent and sexual diversity, exactly the areas where the baseline records the most pronounced knowledge gaps. Youth demand is not generic but content-specific and grounded in lived realities. Young people are acutely aware of what they do not know. The relevance of CSE to adolescents' daily experiences and decision-making is reinforced rather than assumed.</w:t>
      </w:r>
    </w:p>
    <w:p w:rsidR="00000000" w:rsidDel="00000000" w:rsidP="00000000" w:rsidRDefault="00000000" w:rsidRPr="00000000" w14:paraId="000000A8">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The pairing of low-to-moderate knowledge with consistently high demand</w:t>
      </w:r>
      <w:r w:rsidDel="00000000" w:rsidR="00000000" w:rsidRPr="00000000">
        <w:rPr>
          <w:rFonts w:ascii="Atkinson Hyperlegible Next" w:cs="Atkinson Hyperlegible Next" w:eastAsia="Atkinson Hyperlegible Next" w:hAnsi="Atkinson Hyperlegible Next"/>
          <w:rtl w:val="0"/>
        </w:rPr>
        <w:t xml:space="preserve"> is the defining feature of the baseline findings. Zambia offers the sharpest illustration: only 4.6% of youth achieved high knowledge scores, yet demand for more and better CSE remains evident across the survey and qualitative evidence. Benin shows the same shape, with an adequate-knowledge level of just 24.4% set against qualitatively high demand. Low knowledge is not driven by lack of interest but by structural and delivery constraints. Young people are actively seeking information, yet existing systems are not meeting their needs in coverage, continuity or relevance.</w:t>
      </w:r>
    </w:p>
    <w:p w:rsidR="00000000" w:rsidDel="00000000" w:rsidP="00000000" w:rsidRDefault="00000000" w:rsidRPr="00000000" w14:paraId="000000A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divergence also varies across population groups in ways that echo the equity findings. In Ethiopia, knowledge is lower among younger adolescents and rural youth, while demand is particularly high among out-of-school youth and young women. In Tunisia, knowledge gaps are more pronounced among male adolescents even as demand remains high across sexes. The same groups that face barriers to access tend to have lower knowledge while still expressing strong demand, so equity gaps in access translate directly into equity gaps in knowledge and into unmet demand. This reinforces the importance of targeted strategies for younger adolescents, boys, rural youth and marginalised populations, who are at once the least reached, the least knowledgeable and among the most eager to learn.</w:t>
      </w:r>
    </w:p>
    <w:p w:rsidR="00000000" w:rsidDel="00000000" w:rsidP="00000000" w:rsidRDefault="00000000" w:rsidRPr="00000000" w14:paraId="000000A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CSE systems are not failing for lack of relevance or youth interest. They fail because of insufficient reach, irregular delivery and limited pedagogical depth.</w:t>
      </w:r>
      <w:r w:rsidDel="00000000" w:rsidR="00000000" w:rsidRPr="00000000">
        <w:rPr>
          <w:rFonts w:ascii="Atkinson Hyperlegible Next" w:cs="Atkinson Hyperlegible Next" w:eastAsia="Atkinson Hyperlegible Next" w:hAnsi="Atkinson Hyperlegible Next"/>
          <w:rtl w:val="0"/>
        </w:rPr>
        <w:t xml:space="preserve"> Where exposure is repeated and structured, knowledge improves. Where delivery is sporadic or superficial, knowledge stays low, regardless of policy commitments.</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890" w:hRule="atLeast"/>
          <w:tblHeader w:val="0"/>
        </w:trPr>
        <w:tc>
          <w:tcPr>
            <w:tcBorders>
              <w:top w:color="000000" w:space="0" w:sz="0" w:val="nil"/>
              <w:left w:color="e25a1e" w:space="0" w:sz="22" w:val="single"/>
              <w:bottom w:color="000000" w:space="0" w:sz="0" w:val="nil"/>
              <w:right w:color="000000" w:space="0" w:sz="0" w:val="nil"/>
            </w:tcBorders>
            <w:shd w:fill="f5f2ec" w:val="clear"/>
            <w:tcMar>
              <w:top w:w="0.0" w:type="dxa"/>
              <w:left w:w="100.0" w:type="dxa"/>
              <w:bottom w:w="0.0" w:type="dxa"/>
              <w:right w:w="100.0" w:type="dxa"/>
            </w:tcMar>
            <w:vAlign w:val="top"/>
          </w:tcPr>
          <w:p w:rsidR="00000000" w:rsidDel="00000000" w:rsidP="00000000" w:rsidRDefault="00000000" w:rsidRPr="00000000" w14:paraId="000000A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e25a1e"/>
                <w:rtl w:val="0"/>
              </w:rPr>
              <w:t xml:space="preserve">Conclusion.  </w:t>
            </w:r>
            <w:r w:rsidDel="00000000" w:rsidR="00000000" w:rsidRPr="00000000">
              <w:rPr>
                <w:rFonts w:ascii="Atkinson Hyperlegible Next" w:cs="Atkinson Hyperlegible Next" w:eastAsia="Atkinson Hyperlegible Next" w:hAnsi="Atkinson Hyperlegible Next"/>
                <w:rtl w:val="0"/>
              </w:rPr>
              <w:t xml:space="preserve">Across the ten countries, CSE provision exists but reaches adolescents and young people unevenly, leaning heavily on project-based out-of-school channels to make up for irregular in-school delivery and leaving younger, rural, out-of-school, poorer and disabled youth disproportionately excluded. Knowledge remains modest in most settings, even as demand for CSE is consistently and strongly expressed.</w:t>
            </w:r>
          </w:p>
        </w:tc>
      </w:tr>
    </w:tbl>
    <w:p w:rsidR="00000000" w:rsidDel="00000000" w:rsidP="00000000" w:rsidRDefault="00000000" w:rsidRPr="00000000" w14:paraId="000000A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A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AE">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fjl9jqt5oqt9" w:id="19"/>
      <w:bookmarkEnd w:id="19"/>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ewa0kcpn9bra" w:id="20"/>
      <w:bookmarkEnd w:id="20"/>
      <w:r w:rsidDel="00000000" w:rsidR="00000000" w:rsidRPr="00000000">
        <w:rPr>
          <w:rFonts w:ascii="Atkinson Hyperlegible Next" w:cs="Atkinson Hyperlegible Next" w:eastAsia="Atkinson Hyperlegible Next" w:hAnsi="Atkinson Hyperlegible Next"/>
          <w:smallCaps w:val="0"/>
          <w:sz w:val="46"/>
          <w:szCs w:val="46"/>
          <w:rtl w:val="0"/>
        </w:rPr>
        <w:t xml:space="preserve">Component 3. Enabling environment, advocacy, and opposition</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B1">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Across the ten EmpowerED countries the enabling environment runs on one contradiction. </w:t>
      </w:r>
      <w:r w:rsidDel="00000000" w:rsidR="00000000" w:rsidRPr="00000000">
        <w:rPr>
          <w:rFonts w:ascii="Atkinson Hyperlegible Next" w:cs="Atkinson Hyperlegible Next" w:eastAsia="Atkinson Hyperlegible Next" w:hAnsi="Atkinson Hyperlegible Next"/>
          <w:b w:val="1"/>
          <w:bCs w:val="1"/>
          <w:rtl w:val="0"/>
        </w:rPr>
        <w:t xml:space="preserve">Nearly every country has a legal, constitutional or strategic framework recognizing young people's right to sexuality education or to sexual and reproductive health information, but that recognition rarely turns into financed, coordinated and politically protected delivery.</w:t>
      </w:r>
      <w:r w:rsidDel="00000000" w:rsidR="00000000" w:rsidRPr="00000000">
        <w:rPr>
          <w:rFonts w:ascii="Atkinson Hyperlegible Next" w:cs="Atkinson Hyperlegible Next" w:eastAsia="Atkinson Hyperlegible Next" w:hAnsi="Atkinson Hyperlegible Next"/>
          <w:rtl w:val="0"/>
        </w:rPr>
        <w:t xml:space="preserve"> This component covers four findings: policy and institutional support, advocacy actors and coordination, the sources of opposition, and risk, mitigation and resilience. Three tables follow, one row per country.</w:t>
      </w:r>
    </w:p>
    <w:p w:rsidR="00000000" w:rsidDel="00000000" w:rsidP="00000000" w:rsidRDefault="00000000" w:rsidRPr="00000000" w14:paraId="000000B2">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4t3t4fc3s0ao" w:id="21"/>
      <w:bookmarkEnd w:id="21"/>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1. Policy and institutional support</w:t>
      </w:r>
    </w:p>
    <w:p w:rsidR="00000000" w:rsidDel="00000000" w:rsidP="00000000" w:rsidRDefault="00000000" w:rsidRPr="00000000" w14:paraId="000000B3">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formal policy base is stronger than many assume, but unevenly anchored in law, financed and coordinated. Some countries make sexuality education an explicit legal right; others deliver it indirectly through health, life skills or behaviour change frameworks. Even where the law is strong, delivery depends on territorial priorities, donor projects and individual ministries rather than a unified national system.</w:t>
      </w:r>
    </w:p>
    <w:p w:rsidR="00000000" w:rsidDel="00000000" w:rsidP="00000000" w:rsidRDefault="00000000" w:rsidRPr="00000000" w14:paraId="000000B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Argentina has the strongest legal position and shows how political will can dismantle a mature framework. Its 2006 National Law on Comprehensive Sexuality Education is the region's only specific regulation for sexuality education and gives every student the right to receive it in all educational establishments. It is backed by the Educating in Equality Law of 2015, which requires at least one annual session on preventing violence against women, and by later measures reaffirming sexuality education as state policy. That structure is now being rolled back. The current national administration opposes the 2030 Agenda and what it calls gender ideology. It has eliminated the Ministry of Women, Genders and Diversity, dismantled the ENIA Plan for preventing unintended adolescent pregnancy and closed the National CSE Programme. The 2025 budget proposal is the first since 2006 with no specific line for sexuality education. Provinces such as Jujuy and Misiones have kept their own frameworks and staff, now drawing on budget lines from other areas or on international cooperation.</w:t>
      </w:r>
    </w:p>
    <w:p w:rsidR="00000000" w:rsidDel="00000000" w:rsidP="00000000" w:rsidRDefault="00000000" w:rsidRPr="00000000" w14:paraId="000000B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Benin has a supportive legal framework only partly turned into an educational vision. It includes Law No. 2003-04 on sexual and reproductive health, a 2021 amendment broadening access to services, and further laws against female genital mutilation and violence against women. Sexuality education is partly built into the National Multisectoral Strategy for Adolescent and Youth SRH (2018 to 2022) and the Post-2015 Education Sector Plan, but it is not framed as a comprehensive vision and often appears narrowly as behaviour change communication. The government began adding it to school curricula in 2018, but delivery stays fragmented, lacks intersectoral coordination and leans on NGOs and external partners. There is no permanent platform to coordinate between ministries.</w:t>
      </w:r>
    </w:p>
    <w:p w:rsidR="00000000" w:rsidDel="00000000" w:rsidP="00000000" w:rsidRDefault="00000000" w:rsidRPr="00000000" w14:paraId="000000B6">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Colombia has a comparatively robust legal base: Law 1620 of 2013, which created the National School Coexistence System, and the 2008 Guidelines for Sexuality Education and Citizenship Building. Law 2447 of 2025 prohibits child marriage. The Ministry of National Education defines sexuality education as a human rights-based process, and the Ministry of Equality and Equity has built monitoring systems such as SALVIA for gender-based violence, though operational capacity stays limited. The main weakness is structural: high educational decentralization creates sharp urban-rural inequality in investment, and sexuality education has no specific national budget, so resources depend on territorial priorities and international cooperation.</w:t>
      </w:r>
    </w:p>
    <w:p w:rsidR="00000000" w:rsidDel="00000000" w:rsidP="00000000" w:rsidRDefault="00000000" w:rsidRPr="00000000" w14:paraId="000000B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Ethiopia pairs strong constitutional commitments with a cautious curriculum. It has firm constitutional guarantees of gender equality, has ratified a range of international agreements, and the National Adolescent and Youth Health Strategy (2021 to 2025) supports adolescent health. But there is no nationally standardized sexual and reproductive health curriculum. The Ministry of Education rejects the title Sexuality Education, rebrands the content as Reproductive Health Education and drops terms such as sexual rights and pleasure in response to cultural resistance. Coordination between education and health is weak, and the National EHW Technical Working Group, the main platform for operationalization, was dissolved in the face of resistance, leaving a gap in leadership.</w:t>
      </w:r>
    </w:p>
    <w:p w:rsidR="00000000" w:rsidDel="00000000" w:rsidP="00000000" w:rsidRDefault="00000000" w:rsidRPr="00000000" w14:paraId="000000B8">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Ghana has never had an explicit national policy or curriculum for comprehensive sexuality education. An attempt to introduce guidelines in 2019 met fierce resistance from religious and political groups. Existing policies, including the Adolescent Reproductive Health Policy of 2000 and the National STI and HIV Policy of 2019, support age-appropriate sexual and reproductive health education but do not explicitly prioritize gender-transformative content. After the backlash, stakeholders adopted Reproductive Health Education as an alternative framework.</w:t>
      </w:r>
    </w:p>
    <w:p w:rsidR="00000000" w:rsidDel="00000000" w:rsidP="00000000" w:rsidRDefault="00000000" w:rsidRPr="00000000" w14:paraId="000000B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Malawi has built a real policy base but left important commitments unsigned. Its frameworks include the National Education Sector Investment Plan, the Life Skills Education curriculum, the National HIV and AIDS Strategic Plan, and a school Readmission Policy supporting the return of girls to education. Malawi has not signed the Eastern and Southern Africa Ministerial Commitment on comprehensive sexuality education, seen as a major setback for institutionalizing rights-driven programming, and its policies often lack a clear rights-based orientation. Delivery is donor dependent and project based, leaving the system exposed when funding ends. Religious institutions run 58% of primary schools, giving faith-based actors direct influence over what is taught.</w:t>
      </w:r>
    </w:p>
    <w:p w:rsidR="00000000" w:rsidDel="00000000" w:rsidP="00000000" w:rsidRDefault="00000000" w:rsidRPr="00000000" w14:paraId="000000B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Moldova has a comprehensive legal framework for gender equality and anti-discrimination, and its Education 2030 Strategy commits to inclusive education and gender equality. But there is no compulsory, examinable sexuality education subject. Content is scattered across compulsory subjects such as Biology and optional ones such as Health Education, leading to uneven delivery. Collaboration between the Ministry of Education and Research, the Ministry of Health and the Ministry of Labour is patchy, and there is no central national hub to coordinate efforts.</w:t>
      </w:r>
    </w:p>
    <w:p w:rsidR="00000000" w:rsidDel="00000000" w:rsidP="00000000" w:rsidRDefault="00000000" w:rsidRPr="00000000" w14:paraId="000000B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Philippines rests on a clear statutory mandate. The Responsible Parenthood and Reproductive Health Law of 2012 (Republic Act 10354) built sexuality education into the national curriculum, and the Department of Education leads integration into the K-12 curriculum through subjects such as Science and Music, Arts, Physical Education, and Health (MAPEH) . Even so, delivery varies a lot by region because of local autonomy and moral resistance. Institutional leaders see the frameworks as enabling, while frontline implementers feel the policies give little practical protection against community resistance. Alignment is easier on what is taught than on how and to what depth it is taught.</w:t>
      </w:r>
    </w:p>
    <w:p w:rsidR="00000000" w:rsidDel="00000000" w:rsidP="00000000" w:rsidRDefault="00000000" w:rsidRPr="00000000" w14:paraId="000000B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Tunisia validated a national comprehensive sexuality education framework in 2019 that aligns with the National Strategy to End Violence Against Women and the National Health Strategy 2021 to 2030. Responsibilities are split across the Ministry of Education, which holds the curriculum, the Ministry of Health and the National Office for Family and Population, which manage services and youth centres, and the Ministry of Women, which handles gender-based violence. There is no dedicated implementation roadmap or national coordination platform, and domestic financing is limited or undocumented, so initiatives lean on donor funding.</w:t>
      </w:r>
    </w:p>
    <w:p w:rsidR="00000000" w:rsidDel="00000000" w:rsidP="00000000" w:rsidRDefault="00000000" w:rsidRPr="00000000" w14:paraId="000000B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Zambia shows the strongest institutional ownership of in-school delivery. The Ministry of Education has built capacity through Life Skills and Health Education, taught in all public schools from Grades 5 to 12. A 2014 revamp of the curriculum addressed much of the early opposition from religious and traditional stakeholders. Problems remain, including weak monitoring capacity at the district level and continued reliance on donor partners for specific outreach.</w:t>
      </w:r>
    </w:p>
    <w:p w:rsidR="00000000" w:rsidDel="00000000" w:rsidP="00000000" w:rsidRDefault="00000000" w:rsidRPr="00000000" w14:paraId="000000BE">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These profiles confirm a stark contrast between formal legal frameworks, often robust, and operational reality, often fragmented, underfunded or contested. </w:t>
      </w:r>
      <w:r w:rsidDel="00000000" w:rsidR="00000000" w:rsidRPr="00000000">
        <w:rPr>
          <w:rFonts w:ascii="Atkinson Hyperlegible Next" w:cs="Atkinson Hyperlegible Next" w:eastAsia="Atkinson Hyperlegible Next" w:hAnsi="Atkinson Hyperlegible Next"/>
          <w:b w:val="1"/>
          <w:bCs w:val="1"/>
          <w:rtl w:val="0"/>
        </w:rPr>
        <w:t xml:space="preserve">Almost every country has a supporting framework, yet delivery is held back by the absence of dedicated budgets, sustained political will or operational roadmaps.</w:t>
      </w:r>
      <w:r w:rsidDel="00000000" w:rsidR="00000000" w:rsidRPr="00000000">
        <w:rPr>
          <w:rFonts w:ascii="Atkinson Hyperlegible Next" w:cs="Atkinson Hyperlegible Next" w:eastAsia="Atkinson Hyperlegible Next" w:hAnsi="Atkinson Hyperlegible Next"/>
          <w:rtl w:val="0"/>
        </w:rPr>
        <w:t xml:space="preserve"> Several countries manage resistance by folding sexuality education into broader, less controversial subjects or by renaming it, a survival tactic that secures a curricular place but often dilutes gender-transformative and rights-based content. Ethiopia and Ghana rebrand it as Reproductive Health Education, Zambia and Malawi deliver it under Life Skills and Health Education or Life Skills Education, and Moldova and Tunisia spread it across biology and civic education, so coverage depends on teacher comfort. Where gender equality is named in law, the gender-transformative approach is rarely institutionalized: none of Ghana's existing policies emphasize it, Moldova's curriculum lacks a systematic gender-transformative perspective in mandatory subjects, and in Ethiopia the routine minimization of sexual health content blocks a transformative approach despite constitutional guarantees of equality.</w:t>
      </w:r>
    </w:p>
    <w:p w:rsidR="00000000" w:rsidDel="00000000" w:rsidP="00000000" w:rsidRDefault="00000000" w:rsidRPr="00000000" w14:paraId="000000BF">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8o1xlwp89dxn" w:id="22"/>
      <w:bookmarkEnd w:id="22"/>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2. Advocacy actors and coordination mechanisms</w:t>
      </w:r>
    </w:p>
    <w:p w:rsidR="00000000" w:rsidDel="00000000" w:rsidP="00000000" w:rsidRDefault="00000000" w:rsidRPr="00000000" w14:paraId="000000C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CSE ecosystem runs on layered actors: state institutions provide the formal framework, often limited or fragmented; civil society organizations drive delivery and innovation, especially for marginalized groups; international agencies supply technical support and funding. What matters is how fragile coordination is and how actors change tactics under resistance.</w:t>
      </w:r>
    </w:p>
    <w:p w:rsidR="00000000" w:rsidDel="00000000" w:rsidP="00000000" w:rsidRDefault="00000000" w:rsidRPr="00000000" w14:paraId="000000C1">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Government ministries are the primary duty-bearers, usually responsible for in-school curricula and health strategies, though often siloed. Ministries of education are central to in-school delivery: Zambia's Ministry of Education shows established capacity through Life Skills and Health Education, the Philippines' Department of Education leads K-12 integration, and in Argentina the national administration has dismantled the National CSE Programme and pushed the burden onto provincial ministries. Ministries of health manage youth-friendly services and out-of-school components: in Ethiopia the Ministry of Health handles out-of-school settings, though coordination with education is historically weak, and in Tunisia the National Office for Family and Population drives adolescent SRH services. Ministries of gender, youth and social protection focus on gender-based violence and protection: in Colombia the Ministry of Equality and Equity monitors gender-based violence with limited capacity, and in Malawi the Ministry of Youth helps mobilize out-of-school young people.</w:t>
      </w:r>
    </w:p>
    <w:p w:rsidR="00000000" w:rsidDel="00000000" w:rsidP="00000000" w:rsidRDefault="00000000" w:rsidRPr="00000000" w14:paraId="000000C2">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Civil society organizations are consistently the engine of delivery, especially for non-formal education and marginalized groups the state misses. Profamilia in Colombia, FUSA in Argentina and the Family Guidance Association of Ethiopia are major service providers, and in Benin ABMS and ABPF run parallel intervention systems because state mechanisms fall short. In Ghana a coalition of international and national NGOs, including PPAG and NORSAC, forms an epistemic community that drives the agenda absent a national policy, using evidence to counter opposition. In Moldova civil society is the main driver of out-of-school delivery and of advocacy for LGBTQIA+ inclusion, an area the state neglects. A division of labour forms informally, with international NGOs providing funding and legitimacy, national NGOs handling local delivery and community actors handling cultural translation.</w:t>
      </w:r>
    </w:p>
    <w:p w:rsidR="00000000" w:rsidDel="00000000" w:rsidP="00000000" w:rsidRDefault="00000000" w:rsidRPr="00000000" w14:paraId="000000C3">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International development partners provide critical funding and technical standards, sustaining programmes in donor-dependent contexts. This reliance carries risk: in Moldova, Tunisia, and Malawi heavy dependence on donor project cycles creates sustainability problems when funding ends.</w:t>
      </w:r>
    </w:p>
    <w:p w:rsidR="00000000" w:rsidDel="00000000" w:rsidP="00000000" w:rsidRDefault="00000000" w:rsidRPr="00000000" w14:paraId="000000C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Community and traditional gatekeepers cut both ways, as fierce opponents or critical allies depending on engagement. In Benin, griots, the traditional communicators, spread messages during baptisms and weddings, and advocacy drawing on holy texts has turned some religious leaders into allies. In Malawi and Zambia traditional leaders are increasingly engaged in dialogue and in supporting school re-entry for girls. Religious leaders, often opponents as in Ghana and Ethiopia, are also potential partners where engagement is careful. Young people are active implementers through peer-to-peer models trusted more than formal authority: in Ethiopia peer educators reach female sex workers and youth with disabilities in non-stigmatizing settings, in Tunisia youth-led organizations offer digital safety workshops that land better than formal classes, and in the Philippines the Sangguniang Kabataan, the local youth councils, are key partners in community-based delivery. Organized opposition groups are themselves influential actors who force rebranding or retrenchment, from the National Coalition for Proper Human Sexual Rights and Family Values that blocked a standardized curriculum in Ghana, to the national government in Argentina that opposes the 2030 Agenda, to conservative parents acting as gatekeepers in Moldova and the Philippines.</w:t>
      </w:r>
    </w:p>
    <w:p w:rsidR="00000000" w:rsidDel="00000000" w:rsidP="00000000" w:rsidRDefault="00000000" w:rsidRPr="00000000" w14:paraId="000000C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Beneath this sits a recurring problem: </w:t>
      </w:r>
      <w:r w:rsidDel="00000000" w:rsidR="00000000" w:rsidRPr="00000000">
        <w:rPr>
          <w:rFonts w:ascii="Atkinson Hyperlegible Next" w:cs="Atkinson Hyperlegible Next" w:eastAsia="Atkinson Hyperlegible Next" w:hAnsi="Atkinson Hyperlegible Next"/>
          <w:b w:val="1"/>
          <w:bCs w:val="1"/>
          <w:rtl w:val="0"/>
        </w:rPr>
        <w:t xml:space="preserve">coordination is weak and its mechanisms are fragile, often ad hoc, project based or person dependent rather than structural.</w:t>
      </w:r>
      <w:r w:rsidDel="00000000" w:rsidR="00000000" w:rsidRPr="00000000">
        <w:rPr>
          <w:rFonts w:ascii="Atkinson Hyperlegible Next" w:cs="Atkinson Hyperlegible Next" w:eastAsia="Atkinson Hyperlegible Next" w:hAnsi="Atkinson Hyperlegible Next"/>
          <w:rtl w:val="0"/>
        </w:rPr>
        <w:t xml:space="preserve"> Benin and Tunisia have formal frameworks on paper, in the form of departmental committees or national strategies, but these run irregularly for lack of dedicated state funding, so coordination depends on personal relationships rather than institutional mandates. In the Philippines institutional leaders view coordination as formal and functional while frontline implementers experience it as informal and relational. The silo effect is a major bottleneck: Moldova reports that the ministries of education, health and social protection act on their own with no shared accountability, and both Colombia and Ethiopia show coordination siloed across the health, education and protection sectors, breaking the referral pathways students need to obtain care.</w:t>
      </w:r>
    </w:p>
    <w:p w:rsidR="00000000" w:rsidDel="00000000" w:rsidP="00000000" w:rsidRDefault="00000000" w:rsidRPr="00000000" w14:paraId="000000C6">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Formal coordination bodies are often the first casualties of backlash. In Argentina the Federal CSE Observatory, established in 2021, was recently closed by the new administration as part of a broader dismantling of gender machinery. In Ethiopia the National EHW Technical Working Group was dissolved amid rising resistance and negative information campaigns, leaving a leadership vacuum. In Malawi coordination is fragmented and issue specific and collapses once donor projects end, for lack of domestic ownership. </w:t>
      </w:r>
    </w:p>
    <w:p w:rsidR="00000000" w:rsidDel="00000000" w:rsidP="00000000" w:rsidRDefault="00000000" w:rsidRPr="00000000" w14:paraId="000000C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Actors adapt: in Argentina civil society organizations pivot to alliances with provincial governments such as Jujuy and Misiones, bypassing the national blockage; in Ghana they form coalitions, including the SRH Alliance, to pool resources against opposition; and in Tunisia resilience is driven by the relational, horizontal character of youth movements and civil society organizations, which mobilize fast outside rigid structures. Youth participation ranges from tokenistic to substantive: Ethiopia recently formed an Adolescent and Youth Health Council, the Philippines counts its local youth councils as key actors although often underused in formal strategy, and in Benin newer or smaller youth organizations struggle to enter networks dominated by established NGOs. Overall, advocacy actors are strong and resilient, while coordination mechanisms are structurally weak, vulnerable to political shifts as in Argentina and Ethiopia, dependent on external funding as in Malawi and Benin, and hampered by ministerial silos as in Colombia and Moldova.</w:t>
      </w:r>
    </w:p>
    <w:p w:rsidR="00000000" w:rsidDel="00000000" w:rsidP="00000000" w:rsidRDefault="00000000" w:rsidRPr="00000000" w14:paraId="000000C8">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ridl557lwr3g" w:id="23"/>
      <w:bookmarkEnd w:id="23"/>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3. Nature and sources of opposition</w:t>
      </w:r>
    </w:p>
    <w:p w:rsidR="00000000" w:rsidDel="00000000" w:rsidP="00000000" w:rsidRDefault="00000000" w:rsidRPr="00000000" w14:paraId="000000C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Opposition ranges from high-level political dismantling to local parental anxiety. It is rarely framed in terms of health; it is about morality, cultural identity and authority over children, drawing on narratives that travel easily between countries.</w:t>
      </w:r>
    </w:p>
    <w:p w:rsidR="00000000" w:rsidDel="00000000" w:rsidP="00000000" w:rsidRDefault="00000000" w:rsidRPr="00000000" w14:paraId="000000C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Religious institutions and traditional leaders</w:t>
      </w:r>
      <w:r w:rsidDel="00000000" w:rsidR="00000000" w:rsidRPr="00000000">
        <w:rPr>
          <w:rFonts w:ascii="Atkinson Hyperlegible Next" w:cs="Atkinson Hyperlegible Next" w:eastAsia="Atkinson Hyperlegible Next" w:hAnsi="Atkinson Hyperlegible Next"/>
          <w:rtl w:val="0"/>
        </w:rPr>
        <w:t xml:space="preserve"> are the most recurrent sources in almost every context, often acting as gatekeepers to schools and communities. In Ghana resistance is highly organized, with the National Coalition for Proper Human Sexual Rights and Family Values, supported by the Catholic Bishops Conference and the Christian Council, fiercely resisting curriculum standardization. In Malawi religious institutions run 58% of primary schools, giving them direct influence to modify or exclude topics such as contraception and sexual orientation, and Christian and Muslim leaders argue that sexuality education promotes immorality and undermines spiritual guidance. In Benin, in the Donga department, Muslim religious leaders are the primary obstacle, viewing sexuality education as a misinterpretation of the Quran and opposing initiatives against early marriage. In Ethiopia religious leaders frame the content as the root of our sin, and in Moldova priests and community members have physically disrupted sessions, accusing facilitators of brainwashing.</w:t>
      </w:r>
    </w:p>
    <w:p w:rsidR="00000000" w:rsidDel="00000000" w:rsidP="00000000" w:rsidRDefault="00000000" w:rsidRPr="00000000" w14:paraId="000000C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Political actors</w:t>
      </w:r>
      <w:r w:rsidDel="00000000" w:rsidR="00000000" w:rsidRPr="00000000">
        <w:rPr>
          <w:rFonts w:ascii="Atkinson Hyperlegible Next" w:cs="Atkinson Hyperlegible Next" w:eastAsia="Atkinson Hyperlegible Next" w:hAnsi="Atkinson Hyperlegible Next"/>
          <w:rtl w:val="0"/>
        </w:rPr>
        <w:t xml:space="preserve"> form a second axis, sometimes weaponizing resistance for electoral or ideological gain. Argentina is a unique case of state-led opposition: the national administration has adopted a cultural battle against the 2030 Agenda and gender ideology, dismantling the Ministry of Women and closing the National CSE Programme, and officials have encouraged families to report teachers who teach gender-perspective content for what they call indoctrination. In Ghana opposition has clear political undertones, with parties capitalizing on public uproar over the guidelines, and in Moldova politicians use sexuality education as a political scare tactic.</w:t>
      </w:r>
    </w:p>
    <w:p w:rsidR="00000000" w:rsidDel="00000000" w:rsidP="00000000" w:rsidRDefault="00000000" w:rsidRPr="00000000" w14:paraId="000000C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Parents and families</w:t>
      </w:r>
      <w:r w:rsidDel="00000000" w:rsidR="00000000" w:rsidRPr="00000000">
        <w:rPr>
          <w:rFonts w:ascii="Atkinson Hyperlegible Next" w:cs="Atkinson Hyperlegible Next" w:eastAsia="Atkinson Hyperlegible Next" w:hAnsi="Atkinson Hyperlegible Next"/>
          <w:rtl w:val="0"/>
        </w:rPr>
        <w:t xml:space="preserve"> are a third, more diffuse layer, resisting out of fear that sexuality education leads to early sexual debut or usurps parental authority, though in several countries this is conditional rather than absolute. In Colombia and the Philippines parents generally support health and protection topics but oppose content that challenges moral or religious norms, such as pleasure and diversity; in Colombia this opposition is both institutional and sociocultural. In Tunisia parents support life skills and violence prevention but grow hesitant when topics relate directly to sexuality or emotions. In Ethiopia parents fear that discussing sexual and reproductive health encourages early sexual activity and may view young people who raise questions as delinquent or sexually active. Malawi shows a comparable pattern of moderate community acceptance with specific parental resistance to gender-transformative content.</w:t>
      </w:r>
    </w:p>
    <w:p w:rsidR="00000000" w:rsidDel="00000000" w:rsidP="00000000" w:rsidRDefault="00000000" w:rsidRPr="00000000" w14:paraId="000000C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These sources come out through a recognizable set of narratives:</w:t>
      </w:r>
    </w:p>
    <w:p w:rsidR="00000000" w:rsidDel="00000000" w:rsidP="00000000" w:rsidRDefault="00000000" w:rsidRPr="00000000" w14:paraId="000000CE">
      <w:pPr>
        <w:numPr>
          <w:ilvl w:val="0"/>
          <w:numId w:val="5"/>
        </w:numPr>
        <w:spacing w:after="0" w:afterAutospacing="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 The first is the</w:t>
      </w:r>
      <w:r w:rsidDel="00000000" w:rsidR="00000000" w:rsidRPr="00000000">
        <w:rPr>
          <w:rFonts w:ascii="Atkinson Hyperlegible Next" w:cs="Atkinson Hyperlegible Next" w:eastAsia="Atkinson Hyperlegible Next" w:hAnsi="Atkinson Hyperlegible Next"/>
          <w:b w:val="1"/>
          <w:bCs w:val="1"/>
          <w:rtl w:val="0"/>
        </w:rPr>
        <w:t xml:space="preserve"> foreign agenda narrative, framing sexuality education as neocolonialism or an imposition of foreign values that threatens national sovereignty and culture.</w:t>
      </w:r>
      <w:r w:rsidDel="00000000" w:rsidR="00000000" w:rsidRPr="00000000">
        <w:rPr>
          <w:rFonts w:ascii="Atkinson Hyperlegible Next" w:cs="Atkinson Hyperlegible Next" w:eastAsia="Atkinson Hyperlegible Next" w:hAnsi="Atkinson Hyperlegible Next"/>
          <w:rtl w:val="0"/>
        </w:rPr>
        <w:t xml:space="preserve"> In Ethiopia the content is seen by some elites and officials as a foreign programme promoting hidden agendas; the source does not confirm the specific claim that this framing points to abortion. In Argentina the government frames sexuality education as part of an anti-globalization stance against the Sustainable Development Goals, and in Ghana international NGOs and the UN are caricatured as purveyors of imperial ideals meant to disrupt local values. </w:t>
      </w:r>
    </w:p>
    <w:p w:rsidR="00000000" w:rsidDel="00000000" w:rsidP="00000000" w:rsidRDefault="00000000" w:rsidRPr="00000000" w14:paraId="000000CF">
      <w:pPr>
        <w:numPr>
          <w:ilvl w:val="0"/>
          <w:numId w:val="5"/>
        </w:numPr>
        <w:spacing w:after="20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The second is </w:t>
      </w:r>
      <w:r w:rsidDel="00000000" w:rsidR="00000000" w:rsidRPr="00000000">
        <w:rPr>
          <w:rFonts w:ascii="Atkinson Hyperlegible Next" w:cs="Atkinson Hyperlegible Next" w:eastAsia="Atkinson Hyperlegible Next" w:hAnsi="Atkinson Hyperlegible Next"/>
          <w:b w:val="1"/>
          <w:bCs w:val="1"/>
          <w:rtl w:val="0"/>
        </w:rPr>
        <w:t xml:space="preserve">the age-appropriateness and corruption argument</w:t>
      </w:r>
      <w:r w:rsidDel="00000000" w:rsidR="00000000" w:rsidRPr="00000000">
        <w:rPr>
          <w:rFonts w:ascii="Atkinson Hyperlegible Next" w:cs="Atkinson Hyperlegible Next" w:eastAsia="Atkinson Hyperlegible Next" w:hAnsi="Atkinson Hyperlegible Next"/>
          <w:rtl w:val="0"/>
        </w:rPr>
        <w:t xml:space="preserve">, that children are too young and that sexuality education corrupts innocence: in Benin parents express shock at discussing sexuality with children, believing it spoils them; in Zambia cultural norms cast children as too young, leading some schools to bar health workers from offering family planning lessons; and in Tunisia opposition is episodic, surfacing when discussions touch on puberty or sexual activity, deemed inappropriate or too modern.</w:t>
      </w:r>
    </w:p>
    <w:p w:rsidR="00000000" w:rsidDel="00000000" w:rsidP="00000000" w:rsidRDefault="00000000" w:rsidRPr="00000000" w14:paraId="000000D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Two further forms are less visible but no less consequential:</w:t>
      </w:r>
    </w:p>
    <w:p w:rsidR="00000000" w:rsidDel="00000000" w:rsidP="00000000" w:rsidRDefault="00000000" w:rsidRPr="00000000" w14:paraId="000000D1">
      <w:pPr>
        <w:numPr>
          <w:ilvl w:val="0"/>
          <w:numId w:val="6"/>
        </w:numPr>
        <w:spacing w:after="0" w:afterAutospacing="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 The first is </w:t>
      </w:r>
      <w:r w:rsidDel="00000000" w:rsidR="00000000" w:rsidRPr="00000000">
        <w:rPr>
          <w:rFonts w:ascii="Atkinson Hyperlegible Next" w:cs="Atkinson Hyperlegible Next" w:eastAsia="Atkinson Hyperlegible Next" w:hAnsi="Atkinson Hyperlegible Next"/>
          <w:b w:val="1"/>
          <w:bCs w:val="1"/>
          <w:rtl w:val="0"/>
        </w:rPr>
        <w:t xml:space="preserve">bureaucratic and passive resistance</w:t>
      </w:r>
      <w:r w:rsidDel="00000000" w:rsidR="00000000" w:rsidRPr="00000000">
        <w:rPr>
          <w:rFonts w:ascii="Atkinson Hyperlegible Next" w:cs="Atkinson Hyperlegible Next" w:eastAsia="Atkinson Hyperlegible Next" w:hAnsi="Atkinson Hyperlegible Next"/>
          <w:rtl w:val="0"/>
        </w:rPr>
        <w:t xml:space="preserve">, where officials delay or dilute implementation to avoid conflict: in Benin local actors delay official authorizations for schools by up to two years; in the Philippines frontline implementers experience opposition as ambient and anticipatory, fostering self-censorship; and in Ethiopia the Ministry of Education rejects the title Sexuality Education, dropping terms such as sexual rights to avoid controversy. </w:t>
      </w:r>
    </w:p>
    <w:p w:rsidR="00000000" w:rsidDel="00000000" w:rsidP="00000000" w:rsidRDefault="00000000" w:rsidRPr="00000000" w14:paraId="000000D2">
      <w:pPr>
        <w:numPr>
          <w:ilvl w:val="0"/>
          <w:numId w:val="6"/>
        </w:numPr>
        <w:spacing w:after="20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The second is </w:t>
      </w:r>
      <w:r w:rsidDel="00000000" w:rsidR="00000000" w:rsidRPr="00000000">
        <w:rPr>
          <w:rFonts w:ascii="Atkinson Hyperlegible Next" w:cs="Atkinson Hyperlegible Next" w:eastAsia="Atkinson Hyperlegible Next" w:hAnsi="Atkinson Hyperlegible Next"/>
          <w:b w:val="1"/>
          <w:bCs w:val="1"/>
          <w:rtl w:val="0"/>
        </w:rPr>
        <w:t xml:space="preserve">digital misinformation</w:t>
      </w:r>
      <w:r w:rsidDel="00000000" w:rsidR="00000000" w:rsidRPr="00000000">
        <w:rPr>
          <w:rFonts w:ascii="Atkinson Hyperlegible Next" w:cs="Atkinson Hyperlegible Next" w:eastAsia="Atkinson Hyperlegible Next" w:hAnsi="Atkinson Hyperlegible Next"/>
          <w:rtl w:val="0"/>
        </w:rPr>
        <w:t xml:space="preserve">, a new front: in Argentina hate speech and digital violence have increased and are often tolerated by officials; in Tunisia online narratives circulate fast that portray sexuality education as foreign, inappropriate or morally threatening; and in Ghana opposition campaigns are waged heavily on social media alongside traditional media.</w:t>
      </w:r>
    </w:p>
    <w:p w:rsidR="00000000" w:rsidDel="00000000" w:rsidP="00000000" w:rsidRDefault="00000000" w:rsidRPr="00000000" w14:paraId="000000D3">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a7wkik5o7hei" w:id="24"/>
      <w:bookmarkEnd w:id="24"/>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4. Risks, mitigation, and resilience</w:t>
      </w:r>
    </w:p>
    <w:p w:rsidR="00000000" w:rsidDel="00000000" w:rsidP="00000000" w:rsidRDefault="00000000" w:rsidRPr="00000000" w14:paraId="000000D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risk landscape is shaped by cultural, religious and political resistance, by fragile institutional capacity and by the dual character of digital space. To survive, stakeholders combine adaptive invisibility, renaming programmes and avoiding confrontation, with strategic visibility, engaging high-level gatekeepers. The resilience is real but uneven, and it carries a human and operational cost.</w:t>
      </w:r>
    </w:p>
    <w:p w:rsidR="00000000" w:rsidDel="00000000" w:rsidP="00000000" w:rsidRDefault="00000000" w:rsidRPr="00000000" w14:paraId="000000D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most pervasive risk is </w:t>
      </w:r>
      <w:r w:rsidDel="00000000" w:rsidR="00000000" w:rsidRPr="00000000">
        <w:rPr>
          <w:rFonts w:ascii="Atkinson Hyperlegible Next" w:cs="Atkinson Hyperlegible Next" w:eastAsia="Atkinson Hyperlegible Next" w:hAnsi="Atkinson Hyperlegible Next"/>
          <w:b w:val="1"/>
          <w:bCs w:val="1"/>
          <w:rtl w:val="0"/>
        </w:rPr>
        <w:t xml:space="preserve">cultural and religious resistanc</w:t>
      </w:r>
      <w:r w:rsidDel="00000000" w:rsidR="00000000" w:rsidRPr="00000000">
        <w:rPr>
          <w:rFonts w:ascii="Atkinson Hyperlegible Next" w:cs="Atkinson Hyperlegible Next" w:eastAsia="Atkinson Hyperlegible Next" w:hAnsi="Atkinson Hyperlegible Next"/>
          <w:rtl w:val="0"/>
        </w:rPr>
        <w:t xml:space="preserve">e from leaders who frame sexuality education as a threat to morality, a promotion of promiscuity or an imposition of foreign values. In Benin and Ethiopia religious actors view the content as a misinterpretation of holy texts or as “the root of sin” and block access to schools or communities. In Zambia, Malawi and Tunisia resistance rests on the belief that children are too young and that discussing sexuality destroys innocence or encourages early experimentation, though in Tunisia the objection is voiced more often as content being inappropriate or too modern. In Moldova priests and community members have physically disrupted sessions. Mitigation takes several forms. In Benin, theological alignment is prominent: civil society organizations use scripture from the Quran and the Bible to show that sexuality education concepts align with religious values of health and responsibility, turning some religious dignitaries into allies. In Malawi programmes engage Traditional Authorities as cultural custodians to dissolve child marriages and champion girls' return to school.</w:t>
      </w:r>
    </w:p>
    <w:p w:rsidR="00000000" w:rsidDel="00000000" w:rsidP="00000000" w:rsidRDefault="00000000" w:rsidRPr="00000000" w14:paraId="000000D6">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 second cluster of risk comes from </w:t>
      </w:r>
      <w:r w:rsidDel="00000000" w:rsidR="00000000" w:rsidRPr="00000000">
        <w:rPr>
          <w:rFonts w:ascii="Atkinson Hyperlegible Next" w:cs="Atkinson Hyperlegible Next" w:eastAsia="Atkinson Hyperlegible Next" w:hAnsi="Atkinson Hyperlegible Next"/>
          <w:b w:val="1"/>
          <w:bCs w:val="1"/>
          <w:rtl w:val="0"/>
        </w:rPr>
        <w:t xml:space="preserve">political opposition and policy fragility</w:t>
      </w:r>
      <w:r w:rsidDel="00000000" w:rsidR="00000000" w:rsidRPr="00000000">
        <w:rPr>
          <w:rFonts w:ascii="Atkinson Hyperlegible Next" w:cs="Atkinson Hyperlegible Next" w:eastAsia="Atkinson Hyperlegible Next" w:hAnsi="Atkinson Hyperlegible Next"/>
          <w:rtl w:val="0"/>
        </w:rPr>
        <w:t xml:space="preserve">, where the state itself becomes a threat through active dismantling or bureaucratic inertia, as in Argentina's cultural battle against the 2030 Agenda, Ghana's electoral instrumentalization of public uproar, and Benin's authorizations that can take up to two years. Mitigation centres on two moves:</w:t>
      </w:r>
    </w:p>
    <w:p w:rsidR="00000000" w:rsidDel="00000000" w:rsidP="00000000" w:rsidRDefault="00000000" w:rsidRPr="00000000" w14:paraId="000000D7">
      <w:pPr>
        <w:numPr>
          <w:ilvl w:val="0"/>
          <w:numId w:val="1"/>
        </w:numPr>
        <w:spacing w:after="0" w:afterAutospacing="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 The first is </w:t>
      </w:r>
      <w:r w:rsidDel="00000000" w:rsidR="00000000" w:rsidRPr="00000000">
        <w:rPr>
          <w:rFonts w:ascii="Atkinson Hyperlegible Next" w:cs="Atkinson Hyperlegible Next" w:eastAsia="Atkinson Hyperlegible Next" w:hAnsi="Atkinson Hyperlegible Next"/>
          <w:b w:val="1"/>
          <w:bCs w:val="1"/>
          <w:rtl w:val="0"/>
        </w:rPr>
        <w:t xml:space="preserve">strategic rebranding</w:t>
      </w:r>
      <w:r w:rsidDel="00000000" w:rsidR="00000000" w:rsidRPr="00000000">
        <w:rPr>
          <w:rFonts w:ascii="Atkinson Hyperlegible Next" w:cs="Atkinson Hyperlegible Next" w:eastAsia="Atkinson Hyperlegible Next" w:hAnsi="Atkinson Hyperlegible Next"/>
          <w:rtl w:val="0"/>
        </w:rPr>
        <w:t xml:space="preserve"> to stay below the political radar: Argentina uses Education in Affectivity, Ghana adopted Reproductive Health Education, Ethiopia rebranded to Reproductive Health while dropping terms such as sexual rights, and Tunisia frames its work under life skills, digital safety or violence prevention. </w:t>
      </w:r>
    </w:p>
    <w:p w:rsidR="00000000" w:rsidDel="00000000" w:rsidP="00000000" w:rsidRDefault="00000000" w:rsidRPr="00000000" w14:paraId="000000D8">
      <w:pPr>
        <w:numPr>
          <w:ilvl w:val="0"/>
          <w:numId w:val="1"/>
        </w:numPr>
        <w:spacing w:after="20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The second is building sub-national alliances, shown by Argentina, where civil society organizations and international agencies bypass a hostile national government by allying directly with provincial governments such as Jujuy and Misiones. In the Philippines there is a parallel push to operationalize safeguarding protocols so that risk is shared institutionally rather than borne by individual teachers.</w:t>
      </w:r>
    </w:p>
    <w:p w:rsidR="00000000" w:rsidDel="00000000" w:rsidP="00000000" w:rsidRDefault="00000000" w:rsidRPr="00000000" w14:paraId="000000D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 third risk is internal: </w:t>
      </w:r>
      <w:r w:rsidDel="00000000" w:rsidR="00000000" w:rsidRPr="00000000">
        <w:rPr>
          <w:rFonts w:ascii="Atkinson Hyperlegible Next" w:cs="Atkinson Hyperlegible Next" w:eastAsia="Atkinson Hyperlegible Next" w:hAnsi="Atkinson Hyperlegible Next"/>
          <w:b w:val="1"/>
          <w:bCs w:val="1"/>
          <w:rtl w:val="0"/>
        </w:rPr>
        <w:t xml:space="preserve">weak institutional capacity and the vulnerability of teachers</w:t>
      </w:r>
      <w:r w:rsidDel="00000000" w:rsidR="00000000" w:rsidRPr="00000000">
        <w:rPr>
          <w:rFonts w:ascii="Atkinson Hyperlegible Next" w:cs="Atkinson Hyperlegible Next" w:eastAsia="Atkinson Hyperlegible Next" w:hAnsi="Atkinson Hyperlegible Next"/>
          <w:rtl w:val="0"/>
        </w:rPr>
        <w:t xml:space="preserve">, which together produce self-censorship and low-quality delivery. In Ethiopia, Malawi and the Philippines teachers often omit sensitive topics such as contraception, pleasure and LGBTQIA+ issues because of personal discomfort, inadequate training or fear of community backlash. In the Philippines facilitators report that policy on paper offers little practical protection when they face community harassment. In Zambia and Tunisia weak monitoring capacity and transport constraints prevent quality assurance in hard-to-reach areas. Mitigation focuses on frontline staff: Zambia recommends rapid-response peer support networks for teachers facing pushback, plus concrete scripts and euphemism maps for sensitive vocabulary, while in Benin civil society organizations provide specialized training emphasizing value clarification that helps teachers separate personal beliefs from professional duty.</w:t>
      </w:r>
    </w:p>
    <w:p w:rsidR="00000000" w:rsidDel="00000000" w:rsidP="00000000" w:rsidRDefault="00000000" w:rsidRPr="00000000" w14:paraId="000000D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 fourth risk concerns </w:t>
      </w:r>
      <w:r w:rsidDel="00000000" w:rsidR="00000000" w:rsidRPr="00000000">
        <w:rPr>
          <w:rFonts w:ascii="Atkinson Hyperlegible Next" w:cs="Atkinson Hyperlegible Next" w:eastAsia="Atkinson Hyperlegible Next" w:hAnsi="Atkinson Hyperlegible Next"/>
          <w:b w:val="1"/>
          <w:bCs w:val="1"/>
          <w:rtl w:val="0"/>
        </w:rPr>
        <w:t xml:space="preserve">the digital space</w:t>
      </w:r>
      <w:r w:rsidDel="00000000" w:rsidR="00000000" w:rsidRPr="00000000">
        <w:rPr>
          <w:rFonts w:ascii="Atkinson Hyperlegible Next" w:cs="Atkinson Hyperlegible Next" w:eastAsia="Atkinson Hyperlegible Next" w:hAnsi="Atkinson Hyperlegible Next"/>
          <w:rtl w:val="0"/>
        </w:rPr>
        <w:t xml:space="preserve">, which offers access while also serving as a vector for opposition and abuse. In Ghana and Tunisia online campaigns spread rumours that portray sexuality education as foreign, inappropriate or morally threatening, fuelling parental panic. In Argentina and the Philippines advocates and teachers face online harassment, doxxing and moral policing. In Malawi the digital divide cuts the other way: most young people lack reliable digital access, which makes online sexuality education an unviable primary channel and risks deepening inequity. Mitigation navigates the domain: in Ghana young people are encouraged to cross-check information against trusted sources such as clinics and teachers before sharing it; Ethiopia uses low-tech and offline solutions, including the offline application Minch, to reach young people without internet access; and Tunisia builds digital safety and cyber-harassment prevention into youth programming as an entry point for broader conversations about bodily autonomy and consent.</w:t>
      </w:r>
    </w:p>
    <w:p w:rsidR="00000000" w:rsidDel="00000000" w:rsidP="00000000" w:rsidRDefault="00000000" w:rsidRPr="00000000" w14:paraId="000000D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Beyond these tactics, the assessment points to a general account of resilience: strategic adaptation, coalition building and the substitution of state roles, often in hostile or resource-constrained settings. The clearest conclusion is that programmes are most resilient when they embed sexuality education within broader, less controversial frameworks such as health, protection or digital safety, rather than insisting on explicit rights-based language that triggers opposition. But this same adaptation can erode the transformative content the programmes exist to deliver.</w:t>
      </w:r>
    </w:p>
    <w:p w:rsidR="00000000" w:rsidDel="00000000" w:rsidP="00000000" w:rsidRDefault="00000000" w:rsidRPr="00000000" w14:paraId="000000DC">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287gne3loc7c" w:id="25"/>
      <w:bookmarkEnd w:id="25"/>
      <w:r w:rsidDel="00000000" w:rsidR="00000000" w:rsidRPr="00000000">
        <w:rPr>
          <w:rFonts w:ascii="Atkinson Hyperlegible Next" w:cs="Atkinson Hyperlegible Next" w:eastAsia="Atkinson Hyperlegible Next" w:hAnsi="Atkinson Hyperlegible Next"/>
          <w:smallCaps w:val="0"/>
          <w:sz w:val="34"/>
          <w:szCs w:val="34"/>
          <w:rtl w:val="0"/>
        </w:rPr>
        <w:t xml:space="preserve">Table A. Legal framework, bottleneck and primary strategy</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35"/>
        <w:gridCol w:w="2250"/>
        <w:gridCol w:w="2220"/>
        <w:tblGridChange w:id="0">
          <w:tblGrid>
            <w:gridCol w:w="2205"/>
            <w:gridCol w:w="2235"/>
            <w:gridCol w:w="2250"/>
            <w:gridCol w:w="2220"/>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0DD">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Country</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Legal framework</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0DF">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Principal bottleneck</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0E0">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Primary strategy</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Argentina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National Law on CSE (2006), the strongest in the region; Educating in Equality Law (2015)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Political rollback: programme closed, ministry eliminated, no budget line for 2025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Sub-national pivot to provincial governments (Jujuy, Misiones)</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E5">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Benin</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Law No. 2003-04 on SRH and 2021 amendment; FGM and anti-violence laws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E7">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CSE framed as behaviour change communication, not a comprehensive vision; no coordination platform</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E8">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NGO-led parallel delivery and theological alignment with faith leaders</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Colombia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Law 1620 (2013), 2008 sexuality education guidelines, Law 2447 (2025) on child marriage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Decentralization and urban-rural inequality; no specific national budget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Territorial prioritization and reliance on international cooperation</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ED">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Ethiopia</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Constitutional gender-equality guarantees; National Adolescent and Youth Health Strategy (2021 to 2025)</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No standardized SRH curriculum; weak ministry coordination; working group dissolved</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Rebranding to Reproductive Health Education; peer educators for marginalized groups</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Ghana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Adolescent Reproductive Health Policy of 2000, 2016 SRH Policy for Young People, 2019 National STI and HIV Policy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Fierce religious and political resistance; no gender-transformative priority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Rebranding to Reproductive Health Education; epistemic-community advocacy</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Malawi</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NESIP and Life Skills Education curriculum; National HIV and AIDS Strategic Plan; school Readmission Policy</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F7">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ESA Ministerial Commitment unsigned; donor-dependent, project-based delivery; weak rights orientation</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F8">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Engaging Traditional Authorities; integrating CSE into broader health and gender programmes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Moldova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Gender-equality and anti-discrimination framework; Education 2030 Strategy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No compulsory examinable subject; content scattered; no national coordination hub</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CSO-led out-of-school delivery and advocacy for inclusion</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FD">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Philippines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FE">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RPRH Law of 2012 (RA 10354); DepEd-led K-12 integration</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0FF">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Regional variation; gap between formal endorsement and frontline protection</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00">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Negotiated delivery and push for shared safeguarding protocols</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Tunisia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National CSE framework validated (2019); aligned with national violence and health strategies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No implementation roadmap or coordination platform; limited domestic financing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Integration under life skills and digital safety; youth-led and relational networks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05">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Zambia</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06">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Life Skills and Health Education taught in all public schools, Grades 5 to 12</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07">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Weak district monitoring; reliance on donor partners for outreach</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08">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Strong MoE ownership; 2014 curriculum revamp easing earlier opposition</w:t>
            </w:r>
          </w:p>
        </w:tc>
      </w:tr>
    </w:tbl>
    <w:p w:rsidR="00000000" w:rsidDel="00000000" w:rsidP="00000000" w:rsidRDefault="00000000" w:rsidRPr="00000000" w14:paraId="0000010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0A">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15adl2fzuiae" w:id="26"/>
      <w:bookmarkEnd w:id="26"/>
      <w:r w:rsidDel="00000000" w:rsidR="00000000" w:rsidRPr="00000000">
        <w:rPr>
          <w:rFonts w:ascii="Atkinson Hyperlegible Next" w:cs="Atkinson Hyperlegible Next" w:eastAsia="Atkinson Hyperlegible Next" w:hAnsi="Atkinson Hyperlegible Next"/>
          <w:smallCaps w:val="0"/>
          <w:sz w:val="34"/>
          <w:szCs w:val="34"/>
          <w:rtl w:val="0"/>
        </w:rPr>
        <w:t xml:space="preserve">Table B. Coordination status, characteristic and resilience</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50"/>
        <w:gridCol w:w="2235"/>
        <w:gridCol w:w="2220"/>
        <w:tblGridChange w:id="0">
          <w:tblGrid>
            <w:gridCol w:w="2205"/>
            <w:gridCol w:w="2250"/>
            <w:gridCol w:w="2235"/>
            <w:gridCol w:w="2220"/>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0B">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Country</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0C">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Coordination status</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0D">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Defining characteristic</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0E">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Resilience</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Argentina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Dismantled at central level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Federal CSE Observatory closed by new administration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High at sub-national level through provincial alliances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1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Benin</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1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Weak, informal</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15">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Formal committees function irregularly; NGOs run parallel systems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16">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Logistical flexibility; alternate timing and WhatsApp delivery</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7">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Colombia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8">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Siloed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9">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Coordination siloed across health, education and protection sectors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Youth-led safe spaces for dialogue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1B">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Ethiopia</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1C">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Fragmented</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1D">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Technical working group dissolved by resistance; ministry silos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1E">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CSOs substitute for state; youth-led structures emerging</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F">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Ghana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0">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Coalition-based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Epistemic community drives agenda absent national policy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SRH Alliance and coalition building</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2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Malawi</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2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Issue-specific, fragile</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25">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Coordination collapses when donor projects end</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Integration into broader programmes; Traditional Authority engagement</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Moldova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Siloed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9">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Education, health and labour ministries act with no shared accountability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A">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CSOs bridge sectors and reach Roma and refugee communities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2B">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Philippines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2C">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Divergent perception</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2D">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Leaders see it as formal; implementers experience it as relational</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2E">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Youth networks and safe digital spaces, at cost of fatigue</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Tunisia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Fragmented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Responsibilities split across four ministries; no roadmap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Relational, horizontal youth and CSO mobilization</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Zambia</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Institutionalized in-school</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MoE ownership through Life Skills and Health Education</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Established curriculum capacity; district monitoring still weak</w:t>
            </w:r>
          </w:p>
        </w:tc>
      </w:tr>
    </w:tbl>
    <w:p w:rsidR="00000000" w:rsidDel="00000000" w:rsidP="00000000" w:rsidRDefault="00000000" w:rsidRPr="00000000" w14:paraId="0000013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38">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271c0h1rvfhy" w:id="27"/>
      <w:bookmarkEnd w:id="27"/>
      <w:r w:rsidDel="00000000" w:rsidR="00000000" w:rsidRPr="00000000">
        <w:rPr>
          <w:rFonts w:ascii="Atkinson Hyperlegible Next" w:cs="Atkinson Hyperlegible Next" w:eastAsia="Atkinson Hyperlegible Next" w:hAnsi="Atkinson Hyperlegible Next"/>
          <w:smallCaps w:val="0"/>
          <w:sz w:val="34"/>
          <w:szCs w:val="34"/>
          <w:rtl w:val="0"/>
        </w:rPr>
        <w:t xml:space="preserve">Table C. Opposition source, nature and impact</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20"/>
        <w:gridCol w:w="2250"/>
        <w:gridCol w:w="2235"/>
        <w:tblGridChange w:id="0">
          <w:tblGrid>
            <w:gridCol w:w="2205"/>
            <w:gridCol w:w="2220"/>
            <w:gridCol w:w="2250"/>
            <w:gridCol w:w="2235"/>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Country</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Primary source of opposition</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Nature</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Atkinson Hyperlegible Next" w:cs="Atkinson Hyperlegible Next" w:eastAsia="Atkinson Hyperlegible Next" w:hAnsi="Atkinson Hyperlegible Next"/>
                <w:b w:val="1"/>
                <w:bCs w:val="1"/>
                <w:color w:val="ffffff"/>
                <w:sz w:val="16"/>
                <w:szCs w:val="16"/>
              </w:rPr>
            </w:pPr>
            <w:r w:rsidDel="00000000" w:rsidR="00000000" w:rsidRPr="00000000">
              <w:rPr>
                <w:rFonts w:ascii="Atkinson Hyperlegible Next" w:cs="Atkinson Hyperlegible Next" w:eastAsia="Atkinson Hyperlegible Next" w:hAnsi="Atkinson Hyperlegible Next"/>
                <w:b w:val="1"/>
                <w:bCs w:val="1"/>
                <w:color w:val="ffffff"/>
                <w:sz w:val="16"/>
                <w:szCs w:val="16"/>
                <w:rtl w:val="0"/>
              </w:rPr>
              <w:t xml:space="preserve">Impact</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Argentina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The state and political actors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Cultural battle against gender ideology and the 2030 Agenda; digital violence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Programme closed; teachers reported for indoctrination; climate of harassment</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Benin</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Religious leaders and bureaucracy</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Quranic misinterpretation claims; logistical delay of authorizations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4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School entry stalled up to two years; opposition to anti-early-marriage work</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Colombia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Parents, families and institutions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Both institutional and sociocultural; conditional: health accepted, moral and rights content opposed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Selective coverage; sensitive topics curtailed</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49">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Ethiopia</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4A">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Religious leaders and officials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4B">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Content framed as the root of sin and as a foreign agenda</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4C">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Curriculum minimized and rebranded; sexual rights omitted</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Ghana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Religious and political coalitions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Organized resistance; social-media campaigns; imperial-ideals framing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Curriculum standardization blocked; forced rebranding</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5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Malawi</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Religious institutions and parents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5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Faith bodies run 58% of primary schools; resistance to gender-transformative content</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5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Topics modified or excluded; messages softened to retain acceptance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Moldova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Priests, politicians and parents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Sessions physically disrupted; CSE used as a political scare tactic</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Brainwashing accusations; pressure to limit content</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59">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Philippines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5A">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Communities and frontline climate</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5B">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Ambient and anticipatory opposition; conditional parental acceptance</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5C">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Self-censorship and cautious, negotiated delivery</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Tunisia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Parents and online narratives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Episodic objection to puberty and sexuality content; online misinformation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Delivery uneven by teacher comfort; heightened parental anxiety</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61">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Zambia</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62">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Cultural norms and gatekeepers</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63">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Children deemed too young for sexuality content</w:t>
            </w:r>
          </w:p>
        </w:tc>
        <w:tc>
          <w:tcPr>
            <w:tcBorders>
              <w:top w:color="000000" w:space="0" w:sz="0" w:val="nil"/>
              <w:left w:color="000000" w:space="0" w:sz="0" w:val="nil"/>
              <w:bottom w:color="000000" w:space="0" w:sz="4" w:val="single"/>
              <w:right w:color="000000" w:space="0" w:sz="4" w:val="single"/>
            </w:tcBorders>
            <w:shd w:fill="f5f2ec" w:val="clear"/>
            <w:tcMar>
              <w:top w:w="0.0" w:type="dxa"/>
              <w:left w:w="100.0" w:type="dxa"/>
              <w:bottom w:w="0.0" w:type="dxa"/>
              <w:right w:w="100.0" w:type="dxa"/>
            </w:tcMar>
            <w:vAlign w:val="top"/>
          </w:tcPr>
          <w:p w:rsidR="00000000" w:rsidDel="00000000" w:rsidP="00000000" w:rsidRDefault="00000000" w:rsidRPr="00000000" w14:paraId="00000164">
            <w:pPr>
              <w:spacing w:after="0" w:line="276" w:lineRule="auto"/>
              <w:rPr>
                <w:rFonts w:ascii="Atkinson Hyperlegible Next" w:cs="Atkinson Hyperlegible Next" w:eastAsia="Atkinson Hyperlegible Next" w:hAnsi="Atkinson Hyperlegible Next"/>
                <w:sz w:val="16"/>
                <w:szCs w:val="16"/>
              </w:rPr>
            </w:pPr>
            <w:r w:rsidDel="00000000" w:rsidR="00000000" w:rsidRPr="00000000">
              <w:rPr>
                <w:rFonts w:ascii="Atkinson Hyperlegible Next" w:cs="Atkinson Hyperlegible Next" w:eastAsia="Atkinson Hyperlegible Next" w:hAnsi="Atkinson Hyperlegible Next"/>
                <w:sz w:val="16"/>
                <w:szCs w:val="16"/>
                <w:rtl w:val="0"/>
              </w:rPr>
              <w:t xml:space="preserve">Family planning lessons disallowed in some schools</w:t>
            </w:r>
          </w:p>
        </w:tc>
      </w:tr>
    </w:tbl>
    <w:p w:rsidR="00000000" w:rsidDel="00000000" w:rsidP="00000000" w:rsidRDefault="00000000" w:rsidRPr="00000000" w14:paraId="0000016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2130" w:hRule="atLeast"/>
          <w:tblHeader w:val="0"/>
        </w:trPr>
        <w:tc>
          <w:tcPr>
            <w:tcBorders>
              <w:top w:color="000000" w:space="0" w:sz="0" w:val="nil"/>
              <w:left w:color="e25a1e" w:space="0" w:sz="22" w:val="single"/>
              <w:bottom w:color="000000" w:space="0" w:sz="0" w:val="nil"/>
              <w:right w:color="000000" w:space="0" w:sz="0" w:val="nil"/>
            </w:tcBorders>
            <w:shd w:fill="f5f2ec" w:val="clear"/>
            <w:tcMar>
              <w:top w:w="0.0" w:type="dxa"/>
              <w:left w:w="100.0" w:type="dxa"/>
              <w:bottom w:w="0.0" w:type="dxa"/>
              <w:right w:w="100.0" w:type="dxa"/>
            </w:tcMar>
            <w:vAlign w:val="top"/>
          </w:tcPr>
          <w:p w:rsidR="00000000" w:rsidDel="00000000" w:rsidP="00000000" w:rsidRDefault="00000000" w:rsidRPr="00000000" w14:paraId="00000166">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e25a1e"/>
                <w:rtl w:val="0"/>
              </w:rPr>
              <w:t xml:space="preserve">Conclusion.  </w:t>
            </w:r>
            <w:r w:rsidDel="00000000" w:rsidR="00000000" w:rsidRPr="00000000">
              <w:rPr>
                <w:rFonts w:ascii="Atkinson Hyperlegible Next" w:cs="Atkinson Hyperlegible Next" w:eastAsia="Atkinson Hyperlegible Next" w:hAnsi="Atkinson Hyperlegible Next"/>
                <w:rtl w:val="0"/>
              </w:rPr>
              <w:t xml:space="preserve">Across the ten countries the enabling environment is defined less by the absence of policy than by the gap between robust legal frameworks and fragmented, underfunded and politically contested implementation, with coordination mechanisms that are weak and easily dismantled. Civil society organizations, UN agencies and youth movements are the most resilient actors, sustaining delivery through rebranding, sub-national alliances and coalition building when the state withdraws or resists. That resilience is genuine but costly, since the same adaptations that secure survival, renaming programmes and softening rights-based content, tend to dilute the gender-transformative core that comprehensive sexuality education exists to advance.</w:t>
            </w:r>
          </w:p>
        </w:tc>
      </w:tr>
    </w:tbl>
    <w:p w:rsidR="00000000" w:rsidDel="00000000" w:rsidP="00000000" w:rsidRDefault="00000000" w:rsidRPr="00000000" w14:paraId="0000016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68">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69">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xroveduoy6lq" w:id="28"/>
      <w:bookmarkEnd w:id="28"/>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e8yz9b40y92m" w:id="29"/>
      <w:bookmarkEnd w:id="29"/>
      <w:r w:rsidDel="00000000" w:rsidR="00000000" w:rsidRPr="00000000">
        <w:rPr>
          <w:rFonts w:ascii="Atkinson Hyperlegible Next" w:cs="Atkinson Hyperlegible Next" w:eastAsia="Atkinson Hyperlegible Next" w:hAnsi="Atkinson Hyperlegible Next"/>
          <w:smallCaps w:val="0"/>
          <w:sz w:val="46"/>
          <w:szCs w:val="46"/>
          <w:rtl w:val="0"/>
        </w:rPr>
        <w:t xml:space="preserve">Cross-cutting analysis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6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Two themes run through all ten country baseline reports. The first is the digital world where adolescents now look for information about sexuality, relationships and health, and the unequal power that decides who can reach it. The second is gender, power and intersectionality. Entrenched hierarchies decide who takes part in CSE and what they are allowed to learn.</w:t>
      </w:r>
    </w:p>
    <w:p w:rsidR="00000000" w:rsidDel="00000000" w:rsidP="00000000" w:rsidRDefault="00000000" w:rsidRPr="00000000" w14:paraId="0000016D">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djsede40mtvw" w:id="30"/>
      <w:bookmarkEnd w:id="30"/>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1. Digital access, use, and power dynamics</w:t>
      </w:r>
    </w:p>
    <w:p w:rsidR="00000000" w:rsidDel="00000000" w:rsidP="00000000" w:rsidRDefault="00000000" w:rsidRPr="00000000" w14:paraId="0000016E">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Across the baselines, digital platforms are a growing but very unequal route to information on sexuality, relationships and health. The picture is mixed. Digital spaces widen access to CSE content. They also reproduce gender and income inequalities and expose young people to new risks, surveillance and misinformation. So they are neither always good nor always within reach. Context, power and overlapping vulnerabilities shape how they work.</w:t>
      </w:r>
    </w:p>
    <w:p w:rsidR="00000000" w:rsidDel="00000000" w:rsidP="00000000" w:rsidRDefault="00000000" w:rsidRPr="00000000" w14:paraId="0000016F">
      <w:pPr>
        <w:spacing w:before="120" w:lineRule="auto"/>
        <w:jc w:val="center"/>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Pr>
        <w:drawing>
          <wp:inline distB="114300" distT="114300" distL="114300" distR="114300">
            <wp:extent cx="5130800" cy="3302000"/>
            <wp:effectExtent b="0" l="0" r="0" t="0"/>
            <wp:docPr id="171354285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308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Levels of digital use vary widely. </w:t>
      </w:r>
      <w:r w:rsidDel="00000000" w:rsidR="00000000" w:rsidRPr="00000000">
        <w:rPr>
          <w:rFonts w:ascii="Atkinson Hyperlegible Next" w:cs="Atkinson Hyperlegible Next" w:eastAsia="Atkinson Hyperlegible Next" w:hAnsi="Atkinson Hyperlegible Next"/>
          <w:rtl w:val="0"/>
        </w:rPr>
        <w:t xml:space="preserve">This reflects differences in infrastructure, cost and social norms. In Argentina digital platforms are central to how adolescents look for information. All surveyed youth reported frequent use of digital media. 80% had used digital platforms or artificial intelligence tools to look for information on health, sexuality or relationships, often through messaging apps that allow private and anonymous questions. Moldova is similarly well connected. 94.37% of youth reported using digital or media platforms in the past six months, though only 43.73% used them to search specifically for health or reproductive information. Colombia has near-universal access. Only 2.7% reported no digital media use in the past six months, and 75.3% had searched online for information on sexual and reproductive health and rights (SRHR) or relationships. There, TikTok (74%) and Facebook (69.9%) led usage, followed by Google (57.5%), Instagram (45.2%), YouTube (41.1%) and AI tools (38.4%). But only 26% of Colombian youth reported getting sexuality education through digital platforms. This gap between what is available and what is actually delivered in a structured way shows up throughout the data.</w:t>
      </w:r>
    </w:p>
    <w:p w:rsidR="00000000" w:rsidDel="00000000" w:rsidP="00000000" w:rsidRDefault="00000000" w:rsidRPr="00000000" w14:paraId="00000171">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At the other end, digital use for SRH information is sharply limited. In Benin only 5.1% of adolescents used digital tools to search for health or SRH information, and 40.7% did not use digital media at all. AI use was marginal at 2.8%. Zambia recorded just 18.5% of young people ever using digital tools, with Facebook the most common platform among those with access. Malawi reported access to digital CSE content averaging 18% across three surveyed districts. This average hides a wide gap, from 31% in Nkhatabay to only 6% in Chikwawa. Ethiopia sat in the middle, with 33.9% of youth using digital media or AI tools to look for information on health or SRH. Ghana had wider reach, with about 63% of respondents using platforms such as TikTok, WhatsApp or Facebook to look for SRHR information. In the Philippines and Tunisia, where formal communication is limited, digital platforms are a main way to get information. Tunisia's internet penetration is about 85%, and adolescents are heavy users of TikTok, Instagram, YouTube and WhatsApp.</w:t>
      </w:r>
    </w:p>
    <w:p w:rsidR="00000000" w:rsidDel="00000000" w:rsidP="00000000" w:rsidRDefault="00000000" w:rsidRPr="00000000" w14:paraId="00000172">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Where access exists, young people search a lot.</w:t>
      </w:r>
      <w:r w:rsidDel="00000000" w:rsidR="00000000" w:rsidRPr="00000000">
        <w:rPr>
          <w:rFonts w:ascii="Atkinson Hyperlegible Next" w:cs="Atkinson Hyperlegible Next" w:eastAsia="Atkinson Hyperlegible Next" w:hAnsi="Atkinson Hyperlegible Next"/>
          <w:rtl w:val="0"/>
        </w:rPr>
        <w:t xml:space="preserve"> The topics differ by context and gender. Argentine adolescents most often looked for information on contraception and pregnancy prevention (52.2%), prevention of sexually transmitted infections (43.5%) and puberty (42.4%). In Moldova the top topics were puberty (26.85%), relationships and consent (21.48%) and contraception (13.04%). In Zambia, HIV and sexually transmitted infection prevention was by far the most searched topic among the few young people using digital media. Ghana showed clear gender patterns. Young women were more likely to search for contraception and relationships. Young men more often searched for puberty, HIV and sexually transmitted infection prevention, and gender identity.</w:t>
      </w:r>
    </w:p>
    <w:p w:rsidR="00000000" w:rsidDel="00000000" w:rsidP="00000000" w:rsidRDefault="00000000" w:rsidRPr="00000000" w14:paraId="00000173">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The digital divide follows gender, geography and income. </w:t>
      </w:r>
      <w:r w:rsidDel="00000000" w:rsidR="00000000" w:rsidRPr="00000000">
        <w:rPr>
          <w:rFonts w:ascii="Atkinson Hyperlegible Next" w:cs="Atkinson Hyperlegible Next" w:eastAsia="Atkinson Hyperlegible Next" w:hAnsi="Atkinson Hyperlegible Next"/>
          <w:rtl w:val="0"/>
        </w:rPr>
        <w:t xml:space="preserve">In Ethiopia parents are more likely to buy mobile phones for boys. As a result women are 40% less likely than men to use mobile internet. In Tunisia parents control girls' access more tightly, while boys have more freedom. In Ghana overall usage was similar across genders at 63%, but what they searched for differed a lot. In Malawi and Zambia, weak infrastructure and cost make digital platforms unworkable as a main CSE delivery channel.</w:t>
      </w:r>
    </w:p>
    <w:p w:rsidR="00000000" w:rsidDel="00000000" w:rsidP="00000000" w:rsidRDefault="00000000" w:rsidRPr="00000000" w14:paraId="00000174">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Digital spaces also bring real risks.</w:t>
      </w:r>
      <w:r w:rsidDel="00000000" w:rsidR="00000000" w:rsidRPr="00000000">
        <w:rPr>
          <w:rFonts w:ascii="Atkinson Hyperlegible Next" w:cs="Atkinson Hyperlegible Next" w:eastAsia="Atkinson Hyperlegible Next" w:hAnsi="Atkinson Hyperlegible Next"/>
          <w:rtl w:val="0"/>
        </w:rPr>
        <w:t xml:space="preserve"> In Argentina the reports describe pornography websites as a competitor to CSE, especially for young males. In Colombia 79.4% of youth said they would check a reliable source when faced with a false post about contraception, but 6.9% said they would share or comment on it without checking. In Tunisia online misinformation is named as a main driver of parental anxiety and opposition to CSE. In Ghana, opposition advocacy has been organised through platforms such as X (formerly: Twitter) and Facebook. Online violence comes up again and again. In the Philippines, largely unregulated digital spaces expose learners, especially girls and LGBTQIA+ youth, to cyberviolence, harassment and exploitation. Tunisian girls reported digital surveillance and image-based abuse, which led many to self-censor or leave. Ethiopia named cyberbullying, deepfakes and non-consensual image sharing. Moldova described online sexual abuse and cyberstalking as growing risks.</w:t>
      </w:r>
    </w:p>
    <w:p w:rsidR="00000000" w:rsidDel="00000000" w:rsidP="00000000" w:rsidRDefault="00000000" w:rsidRPr="00000000" w14:paraId="00000175">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The baselines also show resilience and opportunity</w:t>
      </w:r>
      <w:r w:rsidDel="00000000" w:rsidR="00000000" w:rsidRPr="00000000">
        <w:rPr>
          <w:rFonts w:ascii="Atkinson Hyperlegible Next" w:cs="Atkinson Hyperlegible Next" w:eastAsia="Atkinson Hyperlegible Next" w:hAnsi="Atkinson Hyperlegible Next"/>
          <w:rtl w:val="0"/>
        </w:rPr>
        <w:t xml:space="preserve">. In Argentina apps such as WhatsApp let adolescents ask for personalised information without meeting anyone face to face. In Ethiopia the Minch app, which works without internet, was built to close access gaps, and a Telegram chatbot called Abeba is being developed. Tunisian adolescents adapt well to digital spaces and use them to make up for gaps in formal communication. In the Philippines, digital platforms are a critical way to reach out-of-school youth and marginalised groups. In Ghana, WhatsApp groups have been proposed as a way to stay in contact with out-of-school learners and track programme reach.</w:t>
      </w:r>
    </w:p>
    <w:p w:rsidR="00000000" w:rsidDel="00000000" w:rsidP="00000000" w:rsidRDefault="00000000" w:rsidRPr="00000000" w14:paraId="00000176">
      <w:pPr>
        <w:pStyle w:val="Heading2"/>
        <w:keepNext w:val="0"/>
        <w:keepLines w:val="0"/>
        <w:spacing w:after="80" w:before="360" w:line="259" w:lineRule="auto"/>
        <w:rPr>
          <w:rFonts w:ascii="Atkinson Hyperlegible Next" w:cs="Atkinson Hyperlegible Next" w:eastAsia="Atkinson Hyperlegible Next" w:hAnsi="Atkinson Hyperlegible Next"/>
          <w:smallCaps w:val="0"/>
          <w:sz w:val="34"/>
          <w:szCs w:val="34"/>
        </w:rPr>
      </w:pPr>
      <w:bookmarkStart w:colFirst="0" w:colLast="0" w:name="_heading=h.s9cq8x6q2bj" w:id="31"/>
      <w:bookmarkEnd w:id="31"/>
      <w:r w:rsidDel="00000000" w:rsidR="00000000" w:rsidRPr="00000000">
        <w:rPr>
          <w:rFonts w:ascii="Atkinson Hyperlegible Next" w:cs="Atkinson Hyperlegible Next" w:eastAsia="Atkinson Hyperlegible Next" w:hAnsi="Atkinson Hyperlegible Next"/>
          <w:smallCaps w:val="0"/>
          <w:sz w:val="34"/>
          <w:szCs w:val="34"/>
          <w:rtl w:val="0"/>
        </w:rPr>
        <w:t xml:space="preserve">Finding 2. Gender, power, and intersectionality</w:t>
      </w:r>
    </w:p>
    <w:p w:rsidR="00000000" w:rsidDel="00000000" w:rsidP="00000000" w:rsidRDefault="00000000" w:rsidRPr="00000000" w14:paraId="00000177">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Many countries have legal frameworks for gender equality. But in practice CSE is held back by entrenched patriarchal power. </w:t>
      </w:r>
      <w:r w:rsidDel="00000000" w:rsidR="00000000" w:rsidRPr="00000000">
        <w:rPr>
          <w:rFonts w:ascii="Atkinson Hyperlegible Next" w:cs="Atkinson Hyperlegible Next" w:eastAsia="Atkinson Hyperlegible Next" w:hAnsi="Atkinson Hyperlegible Next"/>
          <w:b w:val="1"/>
          <w:bCs w:val="1"/>
          <w:rtl w:val="0"/>
        </w:rPr>
        <w:t xml:space="preserve">Implementation is gender-responsive: it acknowledges differences. It is not gender-transformative: it does not dismantle hierarchies. </w:t>
      </w:r>
      <w:r w:rsidDel="00000000" w:rsidR="00000000" w:rsidRPr="00000000">
        <w:rPr>
          <w:rFonts w:ascii="Atkinson Hyperlegible Next" w:cs="Atkinson Hyperlegible Next" w:eastAsia="Atkinson Hyperlegible Next" w:hAnsi="Atkinson Hyperlegible Next"/>
          <w:rtl w:val="0"/>
        </w:rPr>
        <w:t xml:space="preserve">There is strong resistance to shifting the balance of power between genders and between generations.</w:t>
      </w:r>
    </w:p>
    <w:p w:rsidR="00000000" w:rsidDel="00000000" w:rsidP="00000000" w:rsidRDefault="00000000" w:rsidRPr="00000000" w14:paraId="00000178">
      <w:pPr>
        <w:spacing w:before="120" w:lineRule="auto"/>
        <w:jc w:val="center"/>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Pr>
        <w:drawing>
          <wp:inline distB="114300" distT="114300" distL="114300" distR="114300">
            <wp:extent cx="5130800" cy="2984500"/>
            <wp:effectExtent b="0" l="0" r="0" t="0"/>
            <wp:docPr id="171354285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308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Control over adolescent sexuality, and female sexuality above all, is a central fight.</w:t>
      </w:r>
      <w:r w:rsidDel="00000000" w:rsidR="00000000" w:rsidRPr="00000000">
        <w:rPr>
          <w:rFonts w:ascii="Atkinson Hyperlegible Next" w:cs="Atkinson Hyperlegible Next" w:eastAsia="Atkinson Hyperlegible Next" w:hAnsi="Atkinson Hyperlegible Next"/>
          <w:rtl w:val="0"/>
        </w:rPr>
        <w:t xml:space="preserve"> Adult gatekeepers, including parents, religious leaders and political figures, use cultural norms to keep authority. They often treat bodily autonomy for youth as a moral threat. A virility double standard runs through several contexts. In Ethiopia a “woman is expected to marry pure”, premarital sex is treated as a sin punished by social disgrace, and boys' education comes first. Benin shows similar norms favouring sons. In Tunisia girls grow up under strong expectations of modesty and caution. They are discouraged from talking about their bodies to protect their reputation, while boys are pushed to appear knowledgeable and dominant, which stops them admitting ignorance or vulnerability. In the Philippines a sexual double standard praises male assertiveness and tightly polices female sexuality. It is built into schools, where female teachers are pressured to perform respectable femininity and avoid taboo topics such as pleasure.</w:t>
      </w:r>
    </w:p>
    <w:p w:rsidR="00000000" w:rsidDel="00000000" w:rsidP="00000000" w:rsidRDefault="00000000" w:rsidRPr="00000000" w14:paraId="0000017A">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Coercive control is often treated as normal</w:t>
      </w:r>
      <w:r w:rsidDel="00000000" w:rsidR="00000000" w:rsidRPr="00000000">
        <w:rPr>
          <w:rFonts w:ascii="Atkinson Hyperlegible Next" w:cs="Atkinson Hyperlegible Next" w:eastAsia="Atkinson Hyperlegible Next" w:hAnsi="Atkinson Hyperlegible Next"/>
          <w:rtl w:val="0"/>
        </w:rPr>
        <w:t xml:space="preserve">. In Colombia 38.3% of respondents think it is normal for parents to control what girls wear, and 11% justify physical aggression as a sign of love or jealousy. In Moldova 30.18% of adolescents agree that if a boy loves his girlfriend it is normal for him to dictate her clothing, and 67.78% support parental control over dress. More positively, 79.8% reject a partner checking a phone. Stereotypes are built into textbooks that describe girls as tender and boys as strong or courageous. The starkest figure is from Benin, where 57.4% of adolescents believe that violence, such as slapping or grabbing, can be a sign of love. In Tunisia, the 2024 KAP study found that a third of young people (33.6%) agree that the clothes women and girls wear incite rape, more common among boys (40.5%) than girls (26.8%); coercive control is widely not seen as violence, with only 26.7% recognising demanding a partner's passwords as violence and just 20.9% seeing forced sex within a couple as violence. </w:t>
      </w:r>
    </w:p>
    <w:p w:rsidR="00000000" w:rsidDel="00000000" w:rsidP="00000000" w:rsidRDefault="00000000" w:rsidRPr="00000000" w14:paraId="0000017B">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Political and religious gatekeeping reverses or threatens earlier gains.</w:t>
      </w:r>
      <w:r w:rsidDel="00000000" w:rsidR="00000000" w:rsidRPr="00000000">
        <w:rPr>
          <w:rFonts w:ascii="Atkinson Hyperlegible Next" w:cs="Atkinson Hyperlegible Next" w:eastAsia="Atkinson Hyperlegible Next" w:hAnsi="Atkinson Hyperlegible Next"/>
          <w:rtl w:val="0"/>
        </w:rPr>
        <w:t xml:space="preserve"> In Argentina a state-led cultural battle against gender ideology has dismantled the Ministry of Women and closed the National CSE Programme. This actively reverses gains for women and LGBTQIA+ groups. In Ghana, concepts such as gender and sexual rights are contested by religious coalitions. They see these ideas as too egalitarian and fear they may lead children to demand rights regardless of social and religious values.</w:t>
      </w:r>
    </w:p>
    <w:p w:rsidR="00000000" w:rsidDel="00000000" w:rsidP="00000000" w:rsidRDefault="00000000" w:rsidRPr="00000000" w14:paraId="0000017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Gendered economic roles create structural barriers to education. </w:t>
      </w:r>
      <w:r w:rsidDel="00000000" w:rsidR="00000000" w:rsidRPr="00000000">
        <w:rPr>
          <w:rFonts w:ascii="Atkinson Hyperlegible Next" w:cs="Atkinson Hyperlegible Next" w:eastAsia="Atkinson Hyperlegible Next" w:hAnsi="Atkinson Hyperlegible Next"/>
          <w:rtl w:val="0"/>
        </w:rPr>
        <w:t xml:space="preserve">Girls carry too much unpaid care work, which cuts the time they have for schooling and CSE. In Argentina adolescent girls spend over four hours a day on domestic tasks, compared with under three hours for boys. In Ethiopia girls are often taken out of school to do household chores or caregiving, while family money goes to boys' education. In Benin family resources go to sons in the same way. Economic vulnerability deepens the pattern. In Ethiopia female sex workers said sex work is wide open to enter but narrow to leave, for want of economic alternatives, and poverty drives families to hand over daughters to early marriage or labour exploitation.</w:t>
      </w:r>
    </w:p>
    <w:p w:rsidR="00000000" w:rsidDel="00000000" w:rsidP="00000000" w:rsidRDefault="00000000" w:rsidRPr="00000000" w14:paraId="0000017D">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Youth is not one group.</w:t>
      </w:r>
      <w:r w:rsidDel="00000000" w:rsidR="00000000" w:rsidRPr="00000000">
        <w:rPr>
          <w:rFonts w:ascii="Atkinson Hyperlegible Next" w:cs="Atkinson Hyperlegible Next" w:eastAsia="Atkinson Hyperlegible Next" w:hAnsi="Atkinson Hyperlegible Next"/>
          <w:rtl w:val="0"/>
        </w:rPr>
        <w:t xml:space="preserve"> Access to CSE is split by disability, geography and legal status. Disability is a crisis of invisibility. In Ethiopia young people with disabilities are often seen as asexual or cursed and hidden at home. In Malawi learning materials are rarely adapted and physical infrastructure stays inaccessible. In Benin persons with disabilities are largely shut out of learning spaces, which increases their isolation and exposure to abuse. Geography adds to the exclusion. Rural youth in Tunisia and Moldova face deeper conservatism and surveillance. Families in rural Moldova are more likely to oppose CSE content, and Tunisia's interior regions have fewer youth-friendly spaces. In Colombia, Indigenous populations such as the Wayuu in La Guajira face language barriers and a lack of culturally adapted materials that respect their worldview while addressing rights. LGBTQIA+ youth face institutional erasure. In the Philippines strict uniform policies deny gender identity and add to dropout, and transgender students are often forced to follow traditional dress codes. In Moldova, LGBTQIA+ topics are openly forbidden or heavily censored in some areas. In Argentina the political climate has fuelled hate speech and stigma that threaten earlier legislative gains.</w:t>
      </w:r>
    </w:p>
    <w:p w:rsidR="00000000" w:rsidDel="00000000" w:rsidP="00000000" w:rsidRDefault="00000000" w:rsidRPr="00000000" w14:paraId="0000017E">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The digital world mirrors these offline patterns.</w:t>
      </w:r>
      <w:r w:rsidDel="00000000" w:rsidR="00000000" w:rsidRPr="00000000">
        <w:rPr>
          <w:rFonts w:ascii="Atkinson Hyperlegible Next" w:cs="Atkinson Hyperlegible Next" w:eastAsia="Atkinson Hyperlegible Next" w:hAnsi="Atkinson Hyperlegible Next"/>
          <w:rtl w:val="0"/>
        </w:rPr>
        <w:t xml:space="preserve"> In Ethiopia parents are more likely to buy mobile phones for sons than daughters, which creates a stark divide. In Benin digital use for SRH is low at 5.1%. In Tunisia girls face digital surveillance from parents and are the main targets for cyber-harassment and image-based abuse, which makes many self-censor or leave online spaces, while boys are exposed to toxic masculinities online.</w:t>
      </w:r>
    </w:p>
    <w:p w:rsidR="00000000" w:rsidDel="00000000" w:rsidP="00000000" w:rsidRDefault="00000000" w:rsidRPr="00000000" w14:paraId="0000017F">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rtl w:val="0"/>
        </w:rPr>
        <w:t xml:space="preserve">There are also clear signs of shifting norms and resilience. </w:t>
      </w:r>
      <w:r w:rsidDel="00000000" w:rsidR="00000000" w:rsidRPr="00000000">
        <w:rPr>
          <w:rFonts w:ascii="Atkinson Hyperlegible Next" w:cs="Atkinson Hyperlegible Next" w:eastAsia="Atkinson Hyperlegible Next" w:hAnsi="Atkinson Hyperlegible Next"/>
          <w:rtl w:val="0"/>
        </w:rPr>
        <w:t xml:space="preserve">In Colombia 58% of women reported applying CSE learning to personal decisions, compared with 42% of men. This suggests that when women get this education they use it to reclaim autonomy. In Malawi girls (57%) were more likely than boys (51%) to reject harmful gender norms. In Benin, peer-to-peer networks are overcoming cultural taboos, because young people accept messages more readily from peers than from adults. And in Ghana, out-of-school youth were 3.5 times more likely than those in school to have better knowledge of healthy relationships. This is likely due to life experience and older age, and it challenges the assumption that formal schooling is the only place to learn.</w:t>
      </w:r>
    </w:p>
    <w:p w:rsidR="00000000" w:rsidDel="00000000" w:rsidP="00000000" w:rsidRDefault="00000000" w:rsidRPr="00000000" w14:paraId="00000180">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Taken together, the evidence confirms that current CSE implementation is often gender-responsive but rarely gender-transformative. Two things hold back real change. Teachers face a confidence gap and fear challenging community power structures. And in contexts such as Argentina, gender machinery is being actively dismantled by political action.</w:t>
      </w:r>
    </w:p>
    <w:p w:rsidR="00000000" w:rsidDel="00000000" w:rsidP="00000000" w:rsidRDefault="00000000" w:rsidRPr="00000000" w14:paraId="00000181">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82">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t8408dlvx1n7" w:id="32"/>
      <w:bookmarkEnd w:id="32"/>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6z19yvuwuqem" w:id="33"/>
      <w:bookmarkEnd w:id="33"/>
      <w:r w:rsidDel="00000000" w:rsidR="00000000" w:rsidRPr="00000000">
        <w:rPr>
          <w:rFonts w:ascii="Atkinson Hyperlegible Next" w:cs="Atkinson Hyperlegible Next" w:eastAsia="Atkinson Hyperlegible Next" w:hAnsi="Atkinson Hyperlegible Next"/>
          <w:smallCaps w:val="0"/>
          <w:sz w:val="46"/>
          <w:szCs w:val="46"/>
          <w:rtl w:val="0"/>
        </w:rPr>
        <w:t xml:space="preserve">Programmatic implications and recommendations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85">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1.</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Strengthen continuity of delivery as the main goal of the programme rather than on first reach</w:t>
      </w:r>
      <w:r w:rsidDel="00000000" w:rsidR="00000000" w:rsidRPr="00000000">
        <w:rPr>
          <w:rFonts w:ascii="Atkinson Hyperlegible Next" w:cs="Atkinson Hyperlegible Next" w:eastAsia="Atkinson Hyperlegible Next" w:hAnsi="Atkinson Hyperlegible Next"/>
          <w:rtl w:val="0"/>
        </w:rPr>
        <w:t xml:space="preserve">. Across countries, young people can find CSE content, but structured, sustained delivery falls away. Build in explicit retention and follow-up monitoring tools, not one-off exposure.</w:t>
      </w:r>
    </w:p>
    <w:p w:rsidR="00000000" w:rsidDel="00000000" w:rsidP="00000000" w:rsidRDefault="00000000" w:rsidRPr="00000000" w14:paraId="00000186">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2.</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Build blended delivery models matched to each context's connectivity. Where access is near-universal, as in Argentina, Colombia and Moldova, invest in structured digital curricula and quality assurance. Where access is limited, as in Benin, Malawi and Zambia, treat digital platforms as a complement to in-person delivery and prioritise low-bandwidth and offline solutions.</w:t>
      </w:r>
    </w:p>
    <w:p w:rsidR="00000000" w:rsidDel="00000000" w:rsidP="00000000" w:rsidRDefault="00000000" w:rsidRPr="00000000" w14:paraId="00000187">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3.</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Close the digital gender divide as a deliberate programme measure. Device ownership, parental control and online safety all disadvantage girls. Programmes should tackle phone access, negotiate with parents and caregivers, and give girls safe, private channels to ask questions, including anonymous messaging.</w:t>
      </w:r>
    </w:p>
    <w:p w:rsidR="00000000" w:rsidDel="00000000" w:rsidP="00000000" w:rsidRDefault="00000000" w:rsidRPr="00000000" w14:paraId="00000188">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4.</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Put digital literacy and misinformation resilience in every curriculum. Significant minorities would share unverified content, and opposition is organised online. CSE should teach young people to check sources, spot misinformation and protect themselves, and should engage caregivers to reduce anxiety-driven opposition.</w:t>
      </w:r>
    </w:p>
    <w:p w:rsidR="00000000" w:rsidDel="00000000" w:rsidP="00000000" w:rsidRDefault="00000000" w:rsidRPr="00000000" w14:paraId="00000189">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5.</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Make online safety, safeguarding and referral core programme components. Cyberviolence, image-based abuse, deepfakes and cyberstalking recur across the Philippines, Tunisia, Ethiopia and Moldova. Build prevention messaging, reporting pathways and links to protection services into delivery.</w:t>
      </w:r>
    </w:p>
    <w:p w:rsidR="00000000" w:rsidDel="00000000" w:rsidP="00000000" w:rsidRDefault="00000000" w:rsidRPr="00000000" w14:paraId="0000018A">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6.</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Move from gender-responsive to gender-transformative content. Programmes should tackle harmful norms head-on, including beliefs that violence can signify love and the acceptance of coercive control. Work with both girls and boys to engage masculinities and unequal power.</w:t>
      </w:r>
    </w:p>
    <w:p w:rsidR="00000000" w:rsidDel="00000000" w:rsidP="00000000" w:rsidRDefault="00000000" w:rsidRPr="00000000" w14:paraId="0000018B">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7.</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Invest in teacher confidence and competence together. The confidence gap means teachers avoid challenging community power structures. Use training, mentoring, peer support and institutional backing to build the assurance needed for contested topics. Pair this with measures of competence, not just self-reported comfort.</w:t>
      </w:r>
    </w:p>
    <w:p w:rsidR="00000000" w:rsidDel="00000000" w:rsidP="00000000" w:rsidRDefault="00000000" w:rsidRPr="00000000" w14:paraId="0000018C">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8.</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Design explicitly for left-behind populations. Persons with disabilities, Indigenous communities, rural youth, out-of-school youth and LGBTQIA+ young people need adapted materials, accessible infrastructure, culturally grounded approaches such as Wayuu-language adaptation, and inclusive policies that do not deny gender identity.</w:t>
      </w:r>
    </w:p>
    <w:p w:rsidR="00000000" w:rsidDel="00000000" w:rsidP="00000000" w:rsidRDefault="00000000" w:rsidRPr="00000000" w14:paraId="0000018D">
      <w:pPr>
        <w:spacing w:after="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9.</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Use peer networks and out-of-school channels as primary, not peripheral. Countries’ reports on peer-to-peer evidence and findings that out-of-school youth held stronger knowledge of healthy relationships show that learning happens well beyond the classroom. Programmes should formalise peer education and community-based reach.</w:t>
      </w:r>
    </w:p>
    <w:p w:rsidR="00000000" w:rsidDel="00000000" w:rsidP="00000000" w:rsidRDefault="00000000" w:rsidRPr="00000000" w14:paraId="0000018E">
      <w:pPr>
        <w:spacing w:after="200" w:lineRule="auto"/>
        <w:ind w:left="720" w:hanging="360"/>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10.</w:t>
      </w:r>
      <w:r w:rsidDel="00000000" w:rsidR="00000000" w:rsidRPr="00000000">
        <w:rPr>
          <w:rFonts w:ascii="Atkinson Hyperlegible Next" w:cs="Atkinson Hyperlegible Next" w:eastAsia="Atkinson Hyperlegible Next" w:hAnsi="Atkinson Hyperlegible Next"/>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Strengthen coordination, governance and a protective policy environment. The dismantling of CSE machinery in some countries and censorship in others show how fast gains can be reversed. Treat sustained multisectoral coordination, resilient institutional anchoring and advocacy to protect the enabling environment as programme priorities, not afterthoughts.</w:t>
      </w:r>
    </w:p>
    <w:p w:rsidR="00000000" w:rsidDel="00000000" w:rsidP="00000000" w:rsidRDefault="00000000" w:rsidRPr="00000000" w14:paraId="0000018F">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90">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97nvqx10ecei" w:id="34"/>
      <w:bookmarkEnd w:id="34"/>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keepNext w:val="0"/>
        <w:keepLines w:val="0"/>
        <w:spacing w:after="120" w:before="480" w:line="259" w:lineRule="auto"/>
        <w:rPr>
          <w:rFonts w:ascii="Atkinson Hyperlegible Next" w:cs="Atkinson Hyperlegible Next" w:eastAsia="Atkinson Hyperlegible Next" w:hAnsi="Atkinson Hyperlegible Next"/>
          <w:smallCaps w:val="0"/>
          <w:sz w:val="46"/>
          <w:szCs w:val="46"/>
        </w:rPr>
      </w:pPr>
      <w:bookmarkStart w:colFirst="0" w:colLast="0" w:name="_heading=h.50hwus2m489u" w:id="35"/>
      <w:bookmarkEnd w:id="35"/>
      <w:r w:rsidDel="00000000" w:rsidR="00000000" w:rsidRPr="00000000">
        <w:rPr>
          <w:rFonts w:ascii="Atkinson Hyperlegible Next" w:cs="Atkinson Hyperlegible Next" w:eastAsia="Atkinson Hyperlegible Next" w:hAnsi="Atkinson Hyperlegible Next"/>
          <w:smallCaps w:val="0"/>
          <w:sz w:val="46"/>
          <w:szCs w:val="46"/>
          <w:rtl w:val="0"/>
        </w:rPr>
        <w:t xml:space="preserve">Conclusions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93">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baseline report allows the following conclusions:</w:t>
      </w:r>
    </w:p>
    <w:p w:rsidR="00000000" w:rsidDel="00000000" w:rsidP="00000000" w:rsidRDefault="00000000" w:rsidRPr="00000000" w14:paraId="00000194">
      <w:pPr>
        <w:numPr>
          <w:ilvl w:val="0"/>
          <w:numId w:val="3"/>
        </w:numPr>
        <w:spacing w:after="0" w:afterAutospacing="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b w:val="1"/>
          <w:bCs w:val="1"/>
          <w:rtl w:val="0"/>
        </w:rPr>
        <w:t xml:space="preserve">First,</w:t>
      </w:r>
      <w:r w:rsidDel="00000000" w:rsidR="00000000" w:rsidRPr="00000000">
        <w:rPr>
          <w:rFonts w:ascii="Atkinson Hyperlegible Next" w:cs="Atkinson Hyperlegible Next" w:eastAsia="Atkinson Hyperlegible Next" w:hAnsi="Atkinson Hyperlegible Next"/>
          <w:rtl w:val="0"/>
        </w:rPr>
        <w:t xml:space="preserve"> </w:t>
      </w:r>
      <w:r w:rsidDel="00000000" w:rsidR="00000000" w:rsidRPr="00000000">
        <w:rPr>
          <w:rFonts w:ascii="Atkinson Hyperlegible Next" w:cs="Atkinson Hyperlegible Next" w:eastAsia="Atkinson Hyperlegible Next" w:hAnsi="Atkinson Hyperlegible Next"/>
          <w:b w:val="1"/>
          <w:bCs w:val="1"/>
          <w:rtl w:val="0"/>
        </w:rPr>
        <w:t xml:space="preserve">continuity rather than first reach is the binding constraint</w:t>
      </w:r>
      <w:r w:rsidDel="00000000" w:rsidR="00000000" w:rsidRPr="00000000">
        <w:rPr>
          <w:rFonts w:ascii="Atkinson Hyperlegible Next" w:cs="Atkinson Hyperlegible Next" w:eastAsia="Atkinson Hyperlegible Next" w:hAnsi="Atkinson Hyperlegible Next"/>
          <w:rtl w:val="0"/>
        </w:rPr>
        <w:t xml:space="preserve">. In most contexts young people can reach CSE information, but structured, sustained and quality-assured delivery is the exception. The decisive challenge is to turn access into lasting learning.</w:t>
      </w:r>
    </w:p>
    <w:p w:rsidR="00000000" w:rsidDel="00000000" w:rsidP="00000000" w:rsidRDefault="00000000" w:rsidRPr="00000000" w14:paraId="00000195">
      <w:pPr>
        <w:numPr>
          <w:ilvl w:val="0"/>
          <w:numId w:val="3"/>
        </w:numPr>
        <w:spacing w:after="0" w:afterAutospacing="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b w:val="1"/>
          <w:bCs w:val="1"/>
          <w:rtl w:val="0"/>
        </w:rPr>
        <w:t xml:space="preserve">Second,</w:t>
      </w:r>
      <w:r w:rsidDel="00000000" w:rsidR="00000000" w:rsidRPr="00000000">
        <w:rPr>
          <w:rFonts w:ascii="Atkinson Hyperlegible Next" w:cs="Atkinson Hyperlegible Next" w:eastAsia="Atkinson Hyperlegible Next" w:hAnsi="Atkinson Hyperlegible Next"/>
          <w:rtl w:val="0"/>
        </w:rPr>
        <w:t xml:space="preserve"> </w:t>
      </w:r>
      <w:r w:rsidDel="00000000" w:rsidR="00000000" w:rsidRPr="00000000">
        <w:rPr>
          <w:rFonts w:ascii="Atkinson Hyperlegible Next" w:cs="Atkinson Hyperlegible Next" w:eastAsia="Atkinson Hyperlegible Next" w:hAnsi="Atkinson Hyperlegible Next"/>
          <w:b w:val="1"/>
          <w:bCs w:val="1"/>
          <w:rtl w:val="0"/>
        </w:rPr>
        <w:t xml:space="preserve">there is a persistent gap between demand and knowledge. </w:t>
      </w:r>
      <w:r w:rsidDel="00000000" w:rsidR="00000000" w:rsidRPr="00000000">
        <w:rPr>
          <w:rFonts w:ascii="Atkinson Hyperlegible Next" w:cs="Atkinson Hyperlegible Next" w:eastAsia="Atkinson Hyperlegible Next" w:hAnsi="Atkinson Hyperlegible Next"/>
          <w:rtl w:val="0"/>
        </w:rPr>
        <w:t xml:space="preserve">Young people search a lot, yet the topics they pursue are uneven, the sources are unverified and understanding lags behind the appetite for information. Demand on its own is not proof that good learning is happening.</w:t>
      </w:r>
    </w:p>
    <w:p w:rsidR="00000000" w:rsidDel="00000000" w:rsidP="00000000" w:rsidRDefault="00000000" w:rsidRPr="00000000" w14:paraId="00000196">
      <w:pPr>
        <w:numPr>
          <w:ilvl w:val="0"/>
          <w:numId w:val="3"/>
        </w:numPr>
        <w:spacing w:after="0" w:afterAutospacing="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b w:val="1"/>
          <w:bCs w:val="1"/>
          <w:rtl w:val="0"/>
        </w:rPr>
        <w:t xml:space="preserve">Third, confidence often exceeds competence.</w:t>
      </w:r>
      <w:r w:rsidDel="00000000" w:rsidR="00000000" w:rsidRPr="00000000">
        <w:rPr>
          <w:rFonts w:ascii="Atkinson Hyperlegible Next" w:cs="Atkinson Hyperlegible Next" w:eastAsia="Atkinson Hyperlegible Next" w:hAnsi="Atkinson Hyperlegible Next"/>
          <w:rtl w:val="0"/>
        </w:rPr>
        <w:t xml:space="preserve"> Young people say they are willing to act on what they have learned, and teachers may appear to deliver, yet the data on harmful norms, misinformation handling and avoided topics show that assurance outruns actual ability on both sides of the classroom.</w:t>
      </w:r>
    </w:p>
    <w:p w:rsidR="00000000" w:rsidDel="00000000" w:rsidP="00000000" w:rsidRDefault="00000000" w:rsidRPr="00000000" w14:paraId="00000197">
      <w:pPr>
        <w:numPr>
          <w:ilvl w:val="0"/>
          <w:numId w:val="3"/>
        </w:numPr>
        <w:spacing w:after="20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b w:val="1"/>
          <w:bCs w:val="1"/>
          <w:rtl w:val="0"/>
        </w:rPr>
        <w:t xml:space="preserve">Fourth, coordination is the weakest pillar.</w:t>
      </w:r>
      <w:r w:rsidDel="00000000" w:rsidR="00000000" w:rsidRPr="00000000">
        <w:rPr>
          <w:rFonts w:ascii="Atkinson Hyperlegible Next" w:cs="Atkinson Hyperlegible Next" w:eastAsia="Atkinson Hyperlegible Next" w:hAnsi="Atkinson Hyperlegible Next"/>
          <w:rtl w:val="0"/>
        </w:rPr>
        <w:t xml:space="preserve"> The lack of resilient governance, multisectoral coordination and a protective policy environment leaves programmes open to reversal, censorship and fragmentation. Without strengthening this pillar, gains in access, content and capability stay fragile.</w:t>
      </w:r>
    </w:p>
    <w:p w:rsidR="00000000" w:rsidDel="00000000" w:rsidP="00000000" w:rsidRDefault="00000000" w:rsidRPr="00000000" w14:paraId="00000198">
      <w:pPr>
        <w:spacing w:line="276" w:lineRule="auto"/>
        <w:rPr>
          <w:rFonts w:ascii="Atkinson Hyperlegible Next" w:cs="Atkinson Hyperlegible Next" w:eastAsia="Atkinson Hyperlegible Next" w:hAnsi="Atkinson Hyperlegible Next"/>
          <w:color w:val="1a1a1a"/>
          <w:sz w:val="21"/>
          <w:szCs w:val="21"/>
        </w:rPr>
      </w:pPr>
      <w:r w:rsidDel="00000000" w:rsidR="00000000" w:rsidRPr="00000000">
        <w:rPr>
          <w:rtl w:val="0"/>
        </w:rPr>
      </w:r>
    </w:p>
    <w:p w:rsidR="00000000" w:rsidDel="00000000" w:rsidP="00000000" w:rsidRDefault="00000000" w:rsidRPr="00000000" w14:paraId="00000199">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9A">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vz7lo9pgjn9y" w:id="36"/>
      <w:bookmarkEnd w:id="36"/>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keepNext w:val="0"/>
        <w:keepLines w:val="0"/>
        <w:spacing w:after="120" w:before="480" w:line="259" w:lineRule="auto"/>
        <w:rPr>
          <w:rFonts w:ascii="Atkinson Hyperlegible Next" w:cs="Atkinson Hyperlegible Next" w:eastAsia="Atkinson Hyperlegible Next" w:hAnsi="Atkinson Hyperlegible Next"/>
          <w:b w:val="1"/>
          <w:bCs w:val="1"/>
          <w:smallCaps w:val="0"/>
          <w:sz w:val="46"/>
          <w:szCs w:val="46"/>
        </w:rPr>
      </w:pPr>
      <w:bookmarkStart w:colFirst="0" w:colLast="0" w:name="_heading=h.3zijt4xebuq" w:id="37"/>
      <w:bookmarkEnd w:id="37"/>
      <w:r w:rsidDel="00000000" w:rsidR="00000000" w:rsidRPr="00000000">
        <w:rPr>
          <w:rFonts w:ascii="Atkinson Hyperlegible Next" w:cs="Atkinson Hyperlegible Next" w:eastAsia="Atkinson Hyperlegible Next" w:hAnsi="Atkinson Hyperlegible Next"/>
          <w:b w:val="1"/>
          <w:bCs w:val="1"/>
          <w:smallCaps w:val="0"/>
          <w:sz w:val="46"/>
          <w:szCs w:val="46"/>
          <w:rtl w:val="0"/>
        </w:rPr>
        <w:t xml:space="preserve">Annex. PMF indicator baseline table</w:t>
      </w:r>
    </w:p>
    <w:p w:rsidR="00000000" w:rsidDel="00000000" w:rsidP="00000000" w:rsidRDefault="00000000" w:rsidRPr="00000000" w14:paraId="0000019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Baseline value for each performance measurement framework indicator, by country. Read it with four points in mind.</w:t>
      </w:r>
    </w:p>
    <w:p w:rsidR="00000000" w:rsidDel="00000000" w:rsidP="00000000" w:rsidRDefault="00000000" w:rsidRPr="00000000" w14:paraId="0000019D">
      <w:pPr>
        <w:numPr>
          <w:ilvl w:val="0"/>
          <w:numId w:val="4"/>
        </w:numPr>
        <w:spacing w:after="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Indicator 1100.b is the level of knowledge adequacy at baseline, not an increase. Endline will measure change against these values.</w:t>
      </w:r>
    </w:p>
    <w:p w:rsidR="00000000" w:rsidDel="00000000" w:rsidP="00000000" w:rsidRDefault="00000000" w:rsidRPr="00000000" w14:paraId="0000019E">
      <w:pPr>
        <w:numPr>
          <w:ilvl w:val="0"/>
          <w:numId w:val="4"/>
        </w:numPr>
        <w:spacing w:after="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Some indicators are counts. Where a country reported a percentage against a count indicator, read the value with its denominator.</w:t>
      </w:r>
    </w:p>
    <w:p w:rsidR="00000000" w:rsidDel="00000000" w:rsidP="00000000" w:rsidRDefault="00000000" w:rsidRPr="00000000" w14:paraId="0000019F">
      <w:pPr>
        <w:numPr>
          <w:ilvl w:val="0"/>
          <w:numId w:val="4"/>
        </w:numPr>
        <w:spacing w:after="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Tunisia used the 2024 CAP study.</w:t>
      </w:r>
    </w:p>
    <w:p w:rsidR="00000000" w:rsidDel="00000000" w:rsidP="00000000" w:rsidRDefault="00000000" w:rsidRPr="00000000" w14:paraId="000001A0">
      <w:pPr>
        <w:numPr>
          <w:ilvl w:val="0"/>
          <w:numId w:val="4"/>
        </w:numPr>
        <w:spacing w:after="200"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rtl w:val="0"/>
        </w:rPr>
        <w:t xml:space="preserve">Read the table down each country column, against that country's own narrative, not across rows as a ranking.</w:t>
      </w:r>
    </w:p>
    <w:p w:rsidR="00000000" w:rsidDel="00000000" w:rsidP="00000000" w:rsidRDefault="00000000" w:rsidRPr="00000000" w14:paraId="000001A1">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A2">
      <w:pPr>
        <w:spacing w:after="200" w:lineRule="auto"/>
        <w:rPr>
          <w:rFonts w:ascii="Atkinson Hyperlegible Next" w:cs="Atkinson Hyperlegible Next" w:eastAsia="Atkinson Hyperlegible Next" w:hAnsi="Atkinson Hyperlegible Next"/>
        </w:rPr>
      </w:pPr>
      <w:r w:rsidDel="00000000" w:rsidR="00000000" w:rsidRPr="00000000">
        <w:rPr>
          <w:rtl w:val="0"/>
        </w:rPr>
      </w:r>
    </w:p>
    <w:tbl>
      <w:tblPr>
        <w:tblStyle w:val="Table8"/>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675"/>
        <w:gridCol w:w="1050"/>
        <w:gridCol w:w="1095"/>
        <w:gridCol w:w="690"/>
        <w:gridCol w:w="735"/>
        <w:gridCol w:w="685.0000000000002"/>
        <w:gridCol w:w="949.9999999999998"/>
        <w:gridCol w:w="735"/>
        <w:gridCol w:w="930"/>
        <w:gridCol w:w="1095"/>
        <w:tblGridChange w:id="0">
          <w:tblGrid>
            <w:gridCol w:w="915"/>
            <w:gridCol w:w="675"/>
            <w:gridCol w:w="1050"/>
            <w:gridCol w:w="1095"/>
            <w:gridCol w:w="690"/>
            <w:gridCol w:w="735"/>
            <w:gridCol w:w="685.0000000000002"/>
            <w:gridCol w:w="949.9999999999998"/>
            <w:gridCol w:w="735"/>
            <w:gridCol w:w="930"/>
            <w:gridCol w:w="10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3">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PMF Indicator (Baseline)</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4">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Argentina</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5">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Benin</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6">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Colombia</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7">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Ethiopia</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8">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Ghana</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9">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Malawi</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A">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Moldova</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B">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Philippines</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C">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Tunisia</w:t>
            </w:r>
          </w:p>
        </w:tc>
        <w:tc>
          <w:tcPr>
            <w:tcBorders>
              <w:top w:color="000000" w:space="0" w:sz="4" w:val="single"/>
              <w:left w:color="000000" w:space="0" w:sz="0" w:val="nil"/>
              <w:bottom w:color="000000" w:space="0" w:sz="4" w:val="single"/>
              <w:right w:color="000000" w:space="0" w:sz="4" w:val="single"/>
            </w:tcBorders>
            <w:shd w:fill="e25a1e" w:val="clear"/>
            <w:tcMar>
              <w:top w:w="0.0" w:type="dxa"/>
              <w:left w:w="100.0" w:type="dxa"/>
              <w:bottom w:w="0.0" w:type="dxa"/>
              <w:right w:w="100.0" w:type="dxa"/>
            </w:tcMar>
            <w:vAlign w:val="top"/>
          </w:tcPr>
          <w:p w:rsidR="00000000" w:rsidDel="00000000" w:rsidP="00000000" w:rsidRDefault="00000000" w:rsidRPr="00000000" w14:paraId="000001AD">
            <w:pPr>
              <w:spacing w:after="0" w:line="276" w:lineRule="auto"/>
              <w:rPr>
                <w:rFonts w:ascii="Atkinson Hyperlegible Next" w:cs="Atkinson Hyperlegible Next" w:eastAsia="Atkinson Hyperlegible Next" w:hAnsi="Atkinson Hyperlegible Next"/>
                <w:b w:val="1"/>
                <w:bCs w:val="1"/>
                <w:color w:val="ffffff"/>
                <w:sz w:val="13"/>
                <w:szCs w:val="13"/>
              </w:rPr>
            </w:pPr>
            <w:r w:rsidDel="00000000" w:rsidR="00000000" w:rsidRPr="00000000">
              <w:rPr>
                <w:rFonts w:ascii="Atkinson Hyperlegible Next" w:cs="Atkinson Hyperlegible Next" w:eastAsia="Atkinson Hyperlegible Next" w:hAnsi="Atkinson Hyperlegible Next"/>
                <w:b w:val="1"/>
                <w:bCs w:val="1"/>
                <w:color w:val="ffffff"/>
                <w:sz w:val="13"/>
                <w:szCs w:val="13"/>
                <w:rtl w:val="0"/>
              </w:rPr>
              <w:t xml:space="preserve">Zambia</w:t>
            </w:r>
          </w:p>
        </w:tc>
      </w:tr>
      <w:tr>
        <w:trPr>
          <w:cantSplit w:val="0"/>
          <w:trHeight w:val="3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E">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1100.a % of adolescents and young people who report applying what they learned from CSE to make informed decisions about their relationships, health, or seeking SRHR services, disaggregated by gender and age (if applicable, disability)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96.7%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35.9% for overall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50.7% report having applied learning (e.g., contraception, consent, self-care).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71%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Females: 34.1%</w:t>
              <w:br w:type="textWrapping"/>
              <w:t xml:space="preserve"> Males: 36.7%</w:t>
              <w:br w:type="textWrapping"/>
              <w:t xml:space="preserve"> Age</w:t>
              <w:br w:type="textWrapping"/>
              <w:t xml:space="preserve"> 10 to 14=25.0</w:t>
              <w:br w:type="textWrapping"/>
              <w:t xml:space="preserve"> 15 to 19=31.4%</w:t>
              <w:br w:type="textWrapping"/>
              <w:t xml:space="preserve"> 20 to 24=46.0%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67%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65.94 %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37.17%</w:t>
              <w:br w:type="textWrapping"/>
              <w:t xml:space="preserve"> Adolescent (10 to 19): 32.14</w:t>
              <w:br w:type="textWrapping"/>
              <w:t xml:space="preserve"> Youth (20 to 24): 50.98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No EmpowerED adolescent baseline survey was conducted. CAP 2024 contextual data only: adolescents demonstrate 39 to 72% knowledge across key SRHR domains (contraception, STIs, abortion legislation, SRHR rights).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67.5% overall (females 60.5%; males 77.9%)</w:t>
            </w:r>
          </w:p>
        </w:tc>
      </w:tr>
      <w:tr>
        <w:trPr>
          <w:cantSplit w:val="0"/>
          <w:trHeight w:val="24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1100.b % of adolescents and youth with increased knowledge and skills related to sexual and reproductive health and rights (SRHR), disaggregated by gender &amp;, age, if applicable, and disability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83.0%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24,4% for overall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Knowledge: correct purpose of the CSE 98.6%; correctly states that the condom protects against pregnancy/STIs 87.7%; consent “yes, free and reversible” 87.7%. (Suggestion: composite pre/post index with these items.)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64% (64% female, 63% male)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Females: 68.4%</w:t>
              <w:br w:type="textWrapping"/>
              <w:t xml:space="preserve"> Males 65.9%</w:t>
              <w:br w:type="textWrapping"/>
              <w:t xml:space="preserve"> 0 to 14=61.5</w:t>
              <w:br w:type="textWrapping"/>
              <w:t xml:space="preserve"> 15 to 19=63.2%</w:t>
              <w:br w:type="textWrapping"/>
              <w:t xml:space="preserve"> 20 to 24=77.19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74%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34.27 %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72.9%</w:t>
              <w:br w:type="textWrapping"/>
              <w:t xml:space="preserve"> Adolescent (10 to 19): 71.2</w:t>
              <w:br w:type="textWrapping"/>
              <w:t xml:space="preserve"> Youth (20 to 24): 77.7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Varies 39 to 72% knowledge across key SRHR domains (contraception, STIs, abortion legislation, SRHR rights)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4.6%</w:t>
            </w:r>
          </w:p>
        </w:tc>
      </w:tr>
      <w:tr>
        <w:trPr>
          <w:cantSplit w:val="0"/>
          <w:trHeight w:val="22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1200. % of adolescents and youth who report rejecting harmful gender norms and justifications for GBV after participating in CSE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88.7%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5.7% for all adolescents surveyed and 6.3% for those who reported having participated in CSE sessions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Rejection: “checking the phone without permission” 80.8% disagreed; “slapping/grabbing = love/jealousy” 80.8% disagreed; “clothing causes harassment” 56.1% disagreed. (Suggestion: index 3-5 items and follow-up for improvement).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65% (male 63%, 67% female)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Females: 5.2%</w:t>
              <w:br w:type="textWrapping"/>
              <w:t xml:space="preserve"> Males: 7.2%</w:t>
              <w:br w:type="textWrapping"/>
              <w:t xml:space="preserve"> 15 to 19=6.6%</w:t>
              <w:br w:type="textWrapping"/>
              <w:t xml:space="preserve"> 20 to 24=7.0%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29.41%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26.30%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No EmpowerED baseline survey was conducted; CAP 2024 contextual data only.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12.1%</w:t>
            </w:r>
          </w:p>
        </w:tc>
      </w:tr>
      <w:tr>
        <w:trPr>
          <w:cantSplit w:val="0"/>
          <w:trHeight w:val="3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1300. Number (or proportion) of EmpowerED programme countries where youth-, women-, and feminist-led organizations and alliances demonstrate strengthened capacity and coordinated action to advance quality, gender-transformative CSE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2">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To be determined programmatically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3">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TBD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r>
      <w:tr>
        <w:trPr>
          <w:cantSplit w:val="0"/>
          <w:trHeight w:val="26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1110. # of adolescents and youth in programme areas who accessed quality CSE content via digital platforms, disaggregated by gender and 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Proxy survey: 75.3% have searched for information on SRHR /relationships in digital media/AI. Platform usage (last 6 months): TikTok 74.0%, Facebook 69.9%, Google 57.5%, Instagram 45.2%. (The number will be obtained from the program's Analytics /LMS).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32.39%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18.5%</w:t>
            </w:r>
          </w:p>
        </w:tc>
      </w:tr>
      <w:tr>
        <w:trPr>
          <w:cantSplit w:val="0"/>
          <w:trHeight w:val="3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1120. % of educators and practitioners who report regularly using programme-aligned evidence-informed CSE resources to prepare and/or deliver CSE sessions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53.1%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GTA materials/guides 23.9%; CSE visual materials 47.6%; SRHR guides 47.6%; resources on harmful norms/GBV 42.9%; referral to services 47.7%; participatory tools 47.7%. (Standardize “regular”.)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GTA, 33% Male 12% (2/16)</w:t>
              <w:br w:type="textWrapping"/>
              <w:t xml:space="preserve"> Females 100% (4/4)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54.17%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64.71%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Facilitators’ survey: 66.7% (6/9) clearly understand GTA; 22.2% partial understanding; 11.1% do not know it. 88.9% received GTA-aligned CSE training in the last year; 11.1% more than a year ago. Experience: 100% have 1 to 3 years of facilitation. KIIs confirm uneven competencies.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19.2%</w:t>
            </w:r>
          </w:p>
        </w:tc>
      </w:tr>
      <w:tr>
        <w:trPr>
          <w:cantSplit w:val="0"/>
          <w:trHeight w:val="27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1210. # of facilitators reporting strengthened technical capacity to deliver gender transformative CSE.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76.3%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Self-efficacy: responding appropriately to situations of violence 66.7% (4 to 5). Service orientation (regular use of referral tools) 47.7%. (Other domains to be incorporated in future measurements).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Confidence to deliver GTA CSE-90%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83.33%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70.59%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33.3% (3/9) always access GTA-aligned lesson plans; 55.6% sometimes; 11.1% rarely. Materials sufficiency: 22.2% always have enough; 66.7% sometimes; 11.1% rarely. Indicates inconsistent material access.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90.9%</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1220. # of young people reached with gender-transformative CSE sessions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73.58%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r>
      <w:tr>
        <w:trPr>
          <w:cantSplit w:val="0"/>
          <w:trHeight w:val="15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1310. # of programme countries with policy frameworks that integrate quality, gender-transformative CSE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Already integrated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Partial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To be determined programmatically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Integrated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TBD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Partial/Progressing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0</w:t>
            </w:r>
          </w:p>
        </w:tc>
      </w:tr>
      <w:tr>
        <w:trPr>
          <w:cantSplit w:val="0"/>
          <w:trHeight w:val="29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76" w:lineRule="auto"/>
              <w:rPr>
                <w:rFonts w:ascii="Atkinson Hyperlegible Next" w:cs="Atkinson Hyperlegible Next" w:eastAsia="Atkinson Hyperlegible Next" w:hAnsi="Atkinson Hyperlegible Next"/>
                <w:b w:val="1"/>
                <w:bCs w:val="1"/>
                <w:sz w:val="13"/>
                <w:szCs w:val="13"/>
              </w:rPr>
            </w:pPr>
            <w:r w:rsidDel="00000000" w:rsidR="00000000" w:rsidRPr="00000000">
              <w:rPr>
                <w:rFonts w:ascii="Atkinson Hyperlegible Next" w:cs="Atkinson Hyperlegible Next" w:eastAsia="Atkinson Hyperlegible Next" w:hAnsi="Atkinson Hyperlegible Next"/>
                <w:b w:val="1"/>
                <w:bCs w:val="1"/>
                <w:sz w:val="13"/>
                <w:szCs w:val="13"/>
                <w:rtl w:val="0"/>
              </w:rPr>
              <w:t xml:space="preserve">1320. # of youth-led, women-led and feminist organisations and coalitions reporting strengthened capacity to mitigate coordinated campaigns preventing access to quality SRHR including the right to be free from violence.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rPr>
                <w:rFonts w:ascii="Atkinson Hyperlegible Next" w:cs="Atkinson Hyperlegible Next" w:eastAsia="Atkinson Hyperlegible Next" w:hAnsi="Atkinson Hyperlegible Next"/>
                <w:sz w:val="13"/>
                <w:szCs w:val="13"/>
              </w:rPr>
            </w:pPr>
            <w:r w:rsidDel="00000000" w:rsidR="00000000" w:rsidRPr="00000000">
              <w:rPr>
                <w:rFonts w:ascii="Atkinson Hyperlegible Next" w:cs="Atkinson Hyperlegible Next" w:eastAsia="Atkinson Hyperlegible Next" w:hAnsi="Atkinson Hyperlegible Next"/>
                <w:sz w:val="13"/>
                <w:szCs w:val="13"/>
                <w:rtl w:val="0"/>
              </w:rPr>
              <w:t xml:space="preserve">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76"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r>
    </w:tbl>
    <w:p w:rsidR="00000000" w:rsidDel="00000000" w:rsidP="00000000" w:rsidRDefault="00000000" w:rsidRPr="00000000" w14:paraId="0000021C">
      <w:pPr>
        <w:spacing w:after="200"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21D">
      <w:pPr>
        <w:rPr>
          <w:rFonts w:ascii="Atkinson Hyperlegible Next" w:cs="Atkinson Hyperlegible Next" w:eastAsia="Atkinson Hyperlegible Next" w:hAnsi="Atkinson Hyperlegible Next"/>
          <w:b w:val="1"/>
          <w:bCs w:val="1"/>
        </w:rPr>
      </w:pPr>
      <w:r w:rsidDel="00000000" w:rsidR="00000000" w:rsidRPr="00000000">
        <w:rPr>
          <w:rtl w:val="0"/>
        </w:rPr>
      </w:r>
    </w:p>
    <w:p w:rsidR="00000000" w:rsidDel="00000000" w:rsidP="00000000" w:rsidRDefault="00000000" w:rsidRPr="00000000" w14:paraId="0000021E">
      <w:pPr>
        <w:rPr>
          <w:rFonts w:ascii="Atkinson Hyperlegible Next" w:cs="Atkinson Hyperlegible Next" w:eastAsia="Atkinson Hyperlegible Next" w:hAnsi="Atkinson Hyperlegible Next"/>
        </w:rPr>
      </w:pP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417" w:top="1417" w:left="1417" w:right="1417"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tkinson Hyperlegible N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Work Sans" w:cs="Work Sans" w:eastAsia="Work Sans" w:hAnsi="Work Sans"/>
        <w:b w:val="0"/>
        <w:bCs w:val="0"/>
        <w:i w:val="0"/>
        <w:iCs w:val="0"/>
        <w:smallCaps w:val="0"/>
        <w:strike w:val="0"/>
        <w:color w:val="000000"/>
        <w:sz w:val="22"/>
        <w:szCs w:val="22"/>
        <w:u w:val="none"/>
        <w:shd w:fill="auto" w:val="clear"/>
        <w:vertAlign w:val="baseline"/>
      </w:rPr>
    </w:pPr>
    <w:r w:rsidDel="00000000" w:rsidR="00000000" w:rsidRPr="00000000">
      <w:rPr>
        <w:color w:val="666666"/>
        <w:sz w:val="18"/>
        <w:szCs w:val="18"/>
        <w:rtl w:val="0"/>
      </w:rPr>
      <w:t xml:space="preserve">EmpowerED baseline assessment - internal use only</w:t>
    </w:r>
    <w:r w:rsidDel="00000000" w:rsidR="00000000" w:rsidRPr="00000000">
      <w:rPr>
        <w:rtl w:val="0"/>
      </w:rPr>
      <w:t xml:space="preserve">                           </w:t>
    </w:r>
    <w:r w:rsidDel="00000000" w:rsidR="00000000" w:rsidRPr="00000000">
      <w:rPr>
        <w:rFonts w:ascii="Work Sans" w:cs="Work Sans" w:eastAsia="Work Sans" w:hAnsi="Work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Work Sans" w:cs="Work Sans" w:eastAsia="Work Sans" w:hAnsi="Work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Work Sans" w:cs="Work Sans" w:eastAsia="Work Sans" w:hAnsi="Work Sans"/>
        <w:b w:val="0"/>
        <w:bCs w:val="0"/>
        <w:i w:val="0"/>
        <w:iCs w:val="0"/>
        <w:smallCaps w:val="0"/>
        <w:strike w:val="0"/>
        <w:color w:val="000000"/>
        <w:sz w:val="22"/>
        <w:szCs w:val="22"/>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2"/>
        <w:szCs w:val="22"/>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2232505</wp:posOffset>
          </wp:positionH>
          <wp:positionV relativeFrom="paragraph">
            <wp:posOffset>0</wp:posOffset>
          </wp:positionV>
          <wp:extent cx="1295400" cy="853440"/>
          <wp:effectExtent b="0" l="0" r="0" t="0"/>
          <wp:wrapTopAndBottom distB="0" distT="0"/>
          <wp:docPr descr="Une image contenant clipart, dessin humoristique, illustration, Dessin animé&#10;&#10;Le contenu généré par l’IA peut être incorrect." id="1713542857" name="image2.png"/>
          <a:graphic>
            <a:graphicData uri="http://schemas.openxmlformats.org/drawingml/2006/picture">
              <pic:pic>
                <pic:nvPicPr>
                  <pic:cNvPr descr="Une image contenant clipart, dessin humoristique, illustration, Dessin animé&#10;&#10;Le contenu généré par l’IA peut être incorrect." id="0" name="image2.png"/>
                  <pic:cNvPicPr preferRelativeResize="0"/>
                </pic:nvPicPr>
                <pic:blipFill>
                  <a:blip r:embed="rId1"/>
                  <a:srcRect b="0" l="0" r="0" t="0"/>
                  <a:stretch>
                    <a:fillRect/>
                  </a:stretch>
                </pic:blipFill>
                <pic:spPr>
                  <a:xfrm>
                    <a:off x="0" y="0"/>
                    <a:ext cx="1295400" cy="853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4591050</wp:posOffset>
          </wp:positionH>
          <wp:positionV relativeFrom="paragraph">
            <wp:posOffset>0</wp:posOffset>
          </wp:positionV>
          <wp:extent cx="1615440" cy="685800"/>
          <wp:effectExtent b="0" l="0" r="0" t="0"/>
          <wp:wrapTopAndBottom distB="0" distT="0"/>
          <wp:docPr descr="Une image contenant Graphique, capture d’écran, graphisme, Police&#10;&#10;Le contenu généré par l’IA peut être incorrect." id="1713542859" name="image1.png"/>
          <a:graphic>
            <a:graphicData uri="http://schemas.openxmlformats.org/drawingml/2006/picture">
              <pic:pic>
                <pic:nvPicPr>
                  <pic:cNvPr descr="Une image contenant Graphique, capture d’écran, graphisme, Police&#10;&#10;Le contenu généré par l’IA peut être incorrect." id="0" name="image1.png"/>
                  <pic:cNvPicPr preferRelativeResize="0"/>
                </pic:nvPicPr>
                <pic:blipFill>
                  <a:blip r:embed="rId2"/>
                  <a:srcRect b="0" l="0" r="0" t="0"/>
                  <a:stretch>
                    <a:fillRect/>
                  </a:stretch>
                </pic:blipFill>
                <pic:spPr>
                  <a:xfrm>
                    <a:off x="0" y="0"/>
                    <a:ext cx="1615440" cy="685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0</wp:posOffset>
          </wp:positionV>
          <wp:extent cx="1303020" cy="685800"/>
          <wp:effectExtent b="0" l="0" r="0" t="0"/>
          <wp:wrapTopAndBottom distB="0" distT="0"/>
          <wp:docPr descr="Une image contenant cercle, Graphique, graphisme, logo&#10;&#10;Le contenu généré par l’IA peut être incorrect." id="1713542860" name="image3.png"/>
          <a:graphic>
            <a:graphicData uri="http://schemas.openxmlformats.org/drawingml/2006/picture">
              <pic:pic>
                <pic:nvPicPr>
                  <pic:cNvPr descr="Une image contenant cercle, Graphique, graphisme, logo&#10;&#10;Le contenu généré par l’IA peut être incorrect." id="0" name="image3.png"/>
                  <pic:cNvPicPr preferRelativeResize="0"/>
                </pic:nvPicPr>
                <pic:blipFill>
                  <a:blip r:embed="rId3"/>
                  <a:srcRect b="0" l="0" r="0" t="0"/>
                  <a:stretch>
                    <a:fillRect/>
                  </a:stretch>
                </pic:blipFill>
                <pic:spPr>
                  <a:xfrm>
                    <a:off x="0" y="0"/>
                    <a:ext cx="130302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w:cs="Work Sans" w:eastAsia="Work Sans" w:hAnsi="Work San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Titre7">
    <w:name w:val="heading 7"/>
    <w:basedOn w:val="Normal"/>
    <w:next w:val="Normal"/>
    <w:link w:val="Titre7Car"/>
    <w:uiPriority w:val="9"/>
    <w:semiHidden w:val="1"/>
    <w:unhideWhenUsed w:val="1"/>
    <w:qFormat w:val="1"/>
    <w:rsid w:val="00BA650B"/>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Titre8">
    <w:name w:val="heading 8"/>
    <w:basedOn w:val="Normal"/>
    <w:next w:val="Normal"/>
    <w:link w:val="Titre8Car"/>
    <w:uiPriority w:val="9"/>
    <w:semiHidden w:val="1"/>
    <w:unhideWhenUsed w:val="1"/>
    <w:qFormat w:val="1"/>
    <w:rsid w:val="00BA650B"/>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Titre9">
    <w:name w:val="heading 9"/>
    <w:basedOn w:val="Normal"/>
    <w:next w:val="Normal"/>
    <w:link w:val="Titre9Car"/>
    <w:uiPriority w:val="9"/>
    <w:semiHidden w:val="1"/>
    <w:unhideWhenUsed w:val="1"/>
    <w:qFormat w:val="1"/>
    <w:rsid w:val="00BA650B"/>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F7C98"/>
    <w:pPr>
      <w:spacing w:after="100" w:afterAutospacing="1" w:before="100" w:beforeAutospacing="1" w:line="240" w:lineRule="auto"/>
    </w:pPr>
    <w:rPr>
      <w:rFonts w:ascii="Times New Roman" w:cs="Times New Roman" w:eastAsia="Times New Roman" w:hAnsi="Times New Roman"/>
      <w:lang w:val="fr-FR"/>
    </w:rPr>
  </w:style>
  <w:style w:type="character" w:styleId="lev">
    <w:name w:val="Strong"/>
    <w:basedOn w:val="Policepardfaut"/>
    <w:uiPriority w:val="22"/>
    <w:qFormat w:val="1"/>
    <w:rsid w:val="00BA650B"/>
    <w:rPr>
      <w:b w:val="1"/>
      <w:bCs w:val="1"/>
    </w:rPr>
  </w:style>
  <w:style w:type="table" w:styleId="Grilledutableau">
    <w:name w:val="Table Grid"/>
    <w:basedOn w:val="TableauNormal"/>
    <w:uiPriority w:val="39"/>
    <w:rsid w:val="0073215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1Car" w:customStyle="1">
    <w:name w:val="Titre 1 Car"/>
    <w:basedOn w:val="Policepardfaut"/>
    <w:link w:val="Titre1"/>
    <w:uiPriority w:val="9"/>
    <w:rsid w:val="00BA650B"/>
    <w:rPr>
      <w:rFonts w:asciiTheme="majorHAnsi" w:cstheme="majorBidi" w:eastAsiaTheme="majorEastAsia" w:hAnsiTheme="majorHAnsi"/>
      <w:caps w:val="1"/>
      <w:sz w:val="36"/>
      <w:szCs w:val="36"/>
    </w:rPr>
  </w:style>
  <w:style w:type="character" w:styleId="Titre2Car" w:customStyle="1">
    <w:name w:val="Titre 2 Car"/>
    <w:basedOn w:val="Policepardfaut"/>
    <w:link w:val="Titre2"/>
    <w:uiPriority w:val="9"/>
    <w:rsid w:val="00BA650B"/>
    <w:rPr>
      <w:rFonts w:asciiTheme="majorHAnsi" w:cstheme="majorBidi" w:eastAsiaTheme="majorEastAsia" w:hAnsiTheme="majorHAnsi"/>
      <w:caps w:val="1"/>
      <w:sz w:val="28"/>
      <w:szCs w:val="28"/>
    </w:rPr>
  </w:style>
  <w:style w:type="character" w:styleId="Titre3Car" w:customStyle="1">
    <w:name w:val="Titre 3 Car"/>
    <w:basedOn w:val="Policepardfaut"/>
    <w:link w:val="Titre3"/>
    <w:uiPriority w:val="9"/>
    <w:rsid w:val="00BA650B"/>
    <w:rPr>
      <w:rFonts w:asciiTheme="majorHAnsi" w:cstheme="majorBidi" w:eastAsiaTheme="majorEastAsia" w:hAnsiTheme="majorHAnsi"/>
      <w:smallCaps w:val="1"/>
      <w:sz w:val="28"/>
      <w:szCs w:val="28"/>
    </w:rPr>
  </w:style>
  <w:style w:type="character" w:styleId="Titre4Car" w:customStyle="1">
    <w:name w:val="Titre 4 Car"/>
    <w:basedOn w:val="Policepardfaut"/>
    <w:link w:val="Titre4"/>
    <w:uiPriority w:val="9"/>
    <w:semiHidden w:val="1"/>
    <w:rsid w:val="00BA650B"/>
    <w:rPr>
      <w:rFonts w:asciiTheme="majorHAnsi" w:cstheme="majorBidi" w:eastAsiaTheme="majorEastAsia" w:hAnsiTheme="majorHAnsi"/>
      <w:caps w:val="1"/>
    </w:rPr>
  </w:style>
  <w:style w:type="character" w:styleId="Titre5Car" w:customStyle="1">
    <w:name w:val="Titre 5 Car"/>
    <w:basedOn w:val="Policepardfaut"/>
    <w:link w:val="Titre5"/>
    <w:uiPriority w:val="9"/>
    <w:semiHidden w:val="1"/>
    <w:rsid w:val="00BA650B"/>
    <w:rPr>
      <w:rFonts w:asciiTheme="majorHAnsi" w:cstheme="majorBidi" w:eastAsiaTheme="majorEastAsia" w:hAnsiTheme="majorHAnsi"/>
      <w:i w:val="1"/>
      <w:iCs w:val="1"/>
      <w:caps w:val="1"/>
    </w:rPr>
  </w:style>
  <w:style w:type="character" w:styleId="Titre6Car" w:customStyle="1">
    <w:name w:val="Titre 6 Car"/>
    <w:basedOn w:val="Policepardfaut"/>
    <w:link w:val="Titre6"/>
    <w:uiPriority w:val="9"/>
    <w:semiHidden w:val="1"/>
    <w:rsid w:val="00BA650B"/>
    <w:rPr>
      <w:rFonts w:asciiTheme="majorHAnsi" w:cstheme="majorBidi" w:eastAsiaTheme="majorEastAsia" w:hAnsiTheme="majorHAnsi"/>
      <w:b w:val="1"/>
      <w:bCs w:val="1"/>
      <w:caps w:val="1"/>
      <w:color w:val="262626" w:themeColor="text1" w:themeTint="0000D9"/>
      <w:sz w:val="20"/>
      <w:szCs w:val="20"/>
    </w:rPr>
  </w:style>
  <w:style w:type="character" w:styleId="Titre7Car" w:customStyle="1">
    <w:name w:val="Titre 7 Car"/>
    <w:basedOn w:val="Policepardfaut"/>
    <w:link w:val="Titre7"/>
    <w:uiPriority w:val="9"/>
    <w:semiHidden w:val="1"/>
    <w:rsid w:val="00BA650B"/>
    <w:rPr>
      <w:rFonts w:asciiTheme="majorHAnsi" w:cstheme="majorBidi" w:eastAsiaTheme="majorEastAsia" w:hAnsiTheme="majorHAnsi"/>
      <w:b w:val="1"/>
      <w:bCs w:val="1"/>
      <w:i w:val="1"/>
      <w:iCs w:val="1"/>
      <w:caps w:val="1"/>
      <w:color w:val="262626" w:themeColor="text1" w:themeTint="0000D9"/>
      <w:sz w:val="20"/>
      <w:szCs w:val="20"/>
    </w:rPr>
  </w:style>
  <w:style w:type="character" w:styleId="Titre8Car" w:customStyle="1">
    <w:name w:val="Titre 8 Car"/>
    <w:basedOn w:val="Policepardfaut"/>
    <w:link w:val="Titre8"/>
    <w:uiPriority w:val="9"/>
    <w:semiHidden w:val="1"/>
    <w:rsid w:val="00BA650B"/>
    <w:rPr>
      <w:rFonts w:asciiTheme="majorHAnsi" w:cstheme="majorBidi" w:eastAsiaTheme="majorEastAsia" w:hAnsiTheme="majorHAnsi"/>
      <w:b w:val="1"/>
      <w:bCs w:val="1"/>
      <w:caps w:val="1"/>
      <w:color w:val="7f7f7f" w:themeColor="text1" w:themeTint="000080"/>
      <w:sz w:val="20"/>
      <w:szCs w:val="20"/>
    </w:rPr>
  </w:style>
  <w:style w:type="character" w:styleId="Titre9Car" w:customStyle="1">
    <w:name w:val="Titre 9 Car"/>
    <w:basedOn w:val="Policepardfaut"/>
    <w:link w:val="Titre9"/>
    <w:uiPriority w:val="9"/>
    <w:semiHidden w:val="1"/>
    <w:rsid w:val="00BA650B"/>
    <w:rPr>
      <w:rFonts w:asciiTheme="majorHAnsi" w:cstheme="majorBidi" w:eastAsiaTheme="majorEastAsia" w:hAnsiTheme="majorHAnsi"/>
      <w:b w:val="1"/>
      <w:bCs w:val="1"/>
      <w:i w:val="1"/>
      <w:iCs w:val="1"/>
      <w:caps w:val="1"/>
      <w:color w:val="7f7f7f" w:themeColor="text1" w:themeTint="000080"/>
      <w:sz w:val="20"/>
      <w:szCs w:val="20"/>
    </w:rPr>
  </w:style>
  <w:style w:type="paragraph" w:styleId="Lgende">
    <w:name w:val="caption"/>
    <w:basedOn w:val="Normal"/>
    <w:next w:val="Normal"/>
    <w:uiPriority w:val="35"/>
    <w:semiHidden w:val="1"/>
    <w:unhideWhenUsed w:val="1"/>
    <w:qFormat w:val="1"/>
    <w:rsid w:val="00BA650B"/>
    <w:pPr>
      <w:spacing w:line="240" w:lineRule="auto"/>
    </w:pPr>
    <w:rPr>
      <w:b w:val="1"/>
      <w:bCs w:val="1"/>
      <w:smallCaps w:val="1"/>
      <w:color w:val="595959" w:themeColor="text1" w:themeTint="0000A6"/>
    </w:rPr>
  </w:style>
  <w:style w:type="character" w:styleId="TitreCar" w:customStyle="1">
    <w:name w:val="Titre Car"/>
    <w:basedOn w:val="Policepardfaut"/>
    <w:link w:val="Titre"/>
    <w:uiPriority w:val="10"/>
    <w:rsid w:val="00BA650B"/>
    <w:rPr>
      <w:rFonts w:asciiTheme="majorHAnsi" w:cstheme="majorBidi" w:eastAsiaTheme="majorEastAsia" w:hAnsiTheme="majorHAnsi"/>
      <w:caps w:val="1"/>
      <w:color w:val="404040" w:themeColor="text1" w:themeTint="0000BF"/>
      <w:spacing w:val="-10"/>
      <w:sz w:val="72"/>
      <w:szCs w:val="72"/>
    </w:rPr>
  </w:style>
  <w:style w:type="character" w:styleId="Sous-titreCar" w:customStyle="1">
    <w:name w:val="Sous-titre Car"/>
    <w:basedOn w:val="Policepardfaut"/>
    <w:link w:val="Sous-titre"/>
    <w:uiPriority w:val="11"/>
    <w:rsid w:val="00BA650B"/>
    <w:rPr>
      <w:rFonts w:asciiTheme="majorHAnsi" w:cstheme="majorBidi" w:eastAsiaTheme="majorEastAsia" w:hAnsiTheme="majorHAnsi"/>
      <w:smallCaps w:val="1"/>
      <w:color w:val="595959" w:themeColor="text1" w:themeTint="0000A6"/>
      <w:sz w:val="28"/>
      <w:szCs w:val="28"/>
    </w:rPr>
  </w:style>
  <w:style w:type="character" w:styleId="Accentuation">
    <w:name w:val="Emphasis"/>
    <w:basedOn w:val="Policepardfaut"/>
    <w:uiPriority w:val="20"/>
    <w:qFormat w:val="1"/>
    <w:rsid w:val="00BA650B"/>
    <w:rPr>
      <w:i w:val="1"/>
      <w:iCs w:val="1"/>
    </w:rPr>
  </w:style>
  <w:style w:type="paragraph" w:styleId="Sansinterligne">
    <w:name w:val="No Spacing"/>
    <w:uiPriority w:val="1"/>
    <w:qFormat w:val="1"/>
    <w:rsid w:val="00BA650B"/>
    <w:pPr>
      <w:spacing w:after="0" w:line="240" w:lineRule="auto"/>
    </w:pPr>
  </w:style>
  <w:style w:type="paragraph" w:styleId="Citation">
    <w:name w:val="Quote"/>
    <w:basedOn w:val="Normal"/>
    <w:next w:val="Normal"/>
    <w:link w:val="CitationCar"/>
    <w:uiPriority w:val="29"/>
    <w:qFormat w:val="1"/>
    <w:rsid w:val="00BA650B"/>
    <w:pPr>
      <w:spacing w:before="160" w:line="240" w:lineRule="auto"/>
      <w:ind w:left="720" w:right="720"/>
    </w:pPr>
    <w:rPr>
      <w:rFonts w:asciiTheme="majorHAnsi" w:cstheme="majorBidi" w:eastAsiaTheme="majorEastAsia" w:hAnsiTheme="majorHAnsi"/>
      <w:sz w:val="25"/>
      <w:szCs w:val="25"/>
    </w:rPr>
  </w:style>
  <w:style w:type="character" w:styleId="CitationCar" w:customStyle="1">
    <w:name w:val="Citation Car"/>
    <w:basedOn w:val="Policepardfaut"/>
    <w:link w:val="Citation"/>
    <w:uiPriority w:val="29"/>
    <w:rsid w:val="00BA650B"/>
    <w:rPr>
      <w:rFonts w:asciiTheme="majorHAnsi" w:cstheme="majorBidi" w:eastAsiaTheme="majorEastAsia" w:hAnsiTheme="majorHAnsi"/>
      <w:sz w:val="25"/>
      <w:szCs w:val="25"/>
    </w:rPr>
  </w:style>
  <w:style w:type="paragraph" w:styleId="Citationintense">
    <w:name w:val="Intense Quote"/>
    <w:basedOn w:val="Normal"/>
    <w:next w:val="Normal"/>
    <w:link w:val="CitationintenseCar"/>
    <w:uiPriority w:val="30"/>
    <w:qFormat w:val="1"/>
    <w:rsid w:val="00BA650B"/>
    <w:pPr>
      <w:spacing w:after="280" w:before="280" w:line="240" w:lineRule="auto"/>
      <w:ind w:left="1080" w:right="1080"/>
      <w:jc w:val="center"/>
    </w:pPr>
    <w:rPr>
      <w:color w:val="404040" w:themeColor="text1" w:themeTint="0000BF"/>
      <w:sz w:val="32"/>
      <w:szCs w:val="32"/>
    </w:rPr>
  </w:style>
  <w:style w:type="character" w:styleId="CitationintenseCar" w:customStyle="1">
    <w:name w:val="Citation intense Car"/>
    <w:basedOn w:val="Policepardfaut"/>
    <w:link w:val="Citationintense"/>
    <w:uiPriority w:val="30"/>
    <w:rsid w:val="00BA650B"/>
    <w:rPr>
      <w:color w:val="404040" w:themeColor="text1" w:themeTint="0000BF"/>
      <w:sz w:val="32"/>
      <w:szCs w:val="32"/>
    </w:rPr>
  </w:style>
  <w:style w:type="character" w:styleId="Accentuationlgre">
    <w:name w:val="Subtle Emphasis"/>
    <w:basedOn w:val="Policepardfaut"/>
    <w:uiPriority w:val="19"/>
    <w:qFormat w:val="1"/>
    <w:rsid w:val="00BA650B"/>
    <w:rPr>
      <w:i w:val="1"/>
      <w:iCs w:val="1"/>
      <w:color w:val="595959" w:themeColor="text1" w:themeTint="0000A6"/>
    </w:rPr>
  </w:style>
  <w:style w:type="character" w:styleId="Accentuationintense">
    <w:name w:val="Intense Emphasis"/>
    <w:basedOn w:val="Policepardfaut"/>
    <w:uiPriority w:val="21"/>
    <w:qFormat w:val="1"/>
    <w:rsid w:val="00BA650B"/>
    <w:rPr>
      <w:b w:val="1"/>
      <w:bCs w:val="1"/>
      <w:i w:val="1"/>
      <w:iCs w:val="1"/>
    </w:rPr>
  </w:style>
  <w:style w:type="character" w:styleId="Rfrencelgre">
    <w:name w:val="Subtle Reference"/>
    <w:basedOn w:val="Policepardfaut"/>
    <w:uiPriority w:val="31"/>
    <w:qFormat w:val="1"/>
    <w:rsid w:val="00BA650B"/>
    <w:rPr>
      <w:smallCaps w:val="1"/>
      <w:color w:val="404040" w:themeColor="text1" w:themeTint="0000BF"/>
      <w:u w:color="7f7f7f" w:themeColor="text1" w:themeTint="000080" w:val="single"/>
    </w:rPr>
  </w:style>
  <w:style w:type="character" w:styleId="Rfrenceintense">
    <w:name w:val="Intense Reference"/>
    <w:basedOn w:val="Policepardfaut"/>
    <w:uiPriority w:val="32"/>
    <w:qFormat w:val="1"/>
    <w:rsid w:val="00BA650B"/>
    <w:rPr>
      <w:b w:val="1"/>
      <w:bCs w:val="1"/>
      <w:caps w:val="0"/>
      <w:smallCaps w:val="1"/>
      <w:color w:val="auto"/>
      <w:spacing w:val="3"/>
      <w:u w:val="single"/>
    </w:rPr>
  </w:style>
  <w:style w:type="character" w:styleId="Titredulivre">
    <w:name w:val="Book Title"/>
    <w:basedOn w:val="Policepardfaut"/>
    <w:uiPriority w:val="33"/>
    <w:qFormat w:val="1"/>
    <w:rsid w:val="00BA650B"/>
    <w:rPr>
      <w:b w:val="1"/>
      <w:bCs w:val="1"/>
      <w:smallCaps w:val="1"/>
      <w:spacing w:val="7"/>
    </w:rPr>
  </w:style>
  <w:style w:type="paragraph" w:styleId="En-ttedetabledesmatires">
    <w:name w:val="TOC Heading"/>
    <w:basedOn w:val="Titre1"/>
    <w:next w:val="Normal"/>
    <w:uiPriority w:val="39"/>
    <w:unhideWhenUsed w:val="1"/>
    <w:qFormat w:val="1"/>
    <w:rsid w:val="00BA650B"/>
    <w:pPr>
      <w:outlineLvl w:val="9"/>
    </w:pPr>
  </w:style>
  <w:style w:type="paragraph" w:styleId="Paragraphedeliste">
    <w:name w:val="List Paragraph"/>
    <w:basedOn w:val="Normal"/>
    <w:uiPriority w:val="34"/>
    <w:qFormat w:val="1"/>
    <w:rsid w:val="008645B5"/>
    <w:pPr>
      <w:ind w:left="720"/>
      <w:contextualSpacing w:val="1"/>
    </w:pPr>
  </w:style>
  <w:style w:type="paragraph" w:styleId="TM1">
    <w:name w:val="toc 1"/>
    <w:basedOn w:val="Normal"/>
    <w:next w:val="Normal"/>
    <w:autoRedefine w:val="1"/>
    <w:uiPriority w:val="39"/>
    <w:unhideWhenUsed w:val="1"/>
    <w:rsid w:val="00FF4C99"/>
    <w:pPr>
      <w:spacing w:after="100"/>
    </w:pPr>
  </w:style>
  <w:style w:type="paragraph" w:styleId="TM2">
    <w:name w:val="toc 2"/>
    <w:basedOn w:val="Normal"/>
    <w:next w:val="Normal"/>
    <w:autoRedefine w:val="1"/>
    <w:uiPriority w:val="39"/>
    <w:unhideWhenUsed w:val="1"/>
    <w:rsid w:val="00FF4C99"/>
    <w:pPr>
      <w:spacing w:after="100"/>
      <w:ind w:left="220"/>
    </w:pPr>
  </w:style>
  <w:style w:type="paragraph" w:styleId="TM3">
    <w:name w:val="toc 3"/>
    <w:basedOn w:val="Normal"/>
    <w:next w:val="Normal"/>
    <w:autoRedefine w:val="1"/>
    <w:uiPriority w:val="39"/>
    <w:unhideWhenUsed w:val="1"/>
    <w:rsid w:val="00FF4C99"/>
    <w:pPr>
      <w:spacing w:after="100"/>
      <w:ind w:left="440"/>
    </w:pPr>
  </w:style>
  <w:style w:type="character" w:styleId="Lienhypertexte">
    <w:name w:val="Hyperlink"/>
    <w:basedOn w:val="Policepardfaut"/>
    <w:uiPriority w:val="99"/>
    <w:unhideWhenUsed w:val="1"/>
    <w:rsid w:val="00FF4C99"/>
    <w:rPr>
      <w:color w:val="0000ff" w:themeColor="hyperlink"/>
      <w:u w:val="single"/>
    </w:rPr>
  </w:style>
  <w:style w:type="paragraph" w:styleId="En-tte">
    <w:name w:val="header"/>
    <w:basedOn w:val="Normal"/>
    <w:link w:val="En-tteCar"/>
    <w:uiPriority w:val="99"/>
    <w:unhideWhenUsed w:val="1"/>
    <w:rsid w:val="007140CF"/>
    <w:pPr>
      <w:tabs>
        <w:tab w:val="center" w:pos="4536"/>
        <w:tab w:val="right" w:pos="9072"/>
      </w:tabs>
      <w:spacing w:after="0" w:line="240" w:lineRule="auto"/>
    </w:pPr>
  </w:style>
  <w:style w:type="character" w:styleId="En-tteCar" w:customStyle="1">
    <w:name w:val="En-tête Car"/>
    <w:basedOn w:val="Policepardfaut"/>
    <w:link w:val="En-tte"/>
    <w:uiPriority w:val="99"/>
    <w:rsid w:val="007140CF"/>
    <w:rPr>
      <w:rFonts w:ascii="Work Sans" w:hAnsi="Work Sans"/>
    </w:rPr>
  </w:style>
  <w:style w:type="paragraph" w:styleId="Pieddepage">
    <w:name w:val="footer"/>
    <w:basedOn w:val="Normal"/>
    <w:link w:val="PieddepageCar"/>
    <w:uiPriority w:val="99"/>
    <w:unhideWhenUsed w:val="1"/>
    <w:rsid w:val="007140C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140CF"/>
    <w:rPr>
      <w:rFonts w:ascii="Work Sans" w:hAnsi="Work Sans"/>
    </w:rPr>
  </w:style>
  <w:style w:type="character" w:styleId="Marquedecommentaire">
    <w:name w:val="annotation reference"/>
    <w:basedOn w:val="Policepardfaut"/>
    <w:uiPriority w:val="99"/>
    <w:semiHidden w:val="1"/>
    <w:unhideWhenUsed w:val="1"/>
    <w:rsid w:val="00575AC7"/>
    <w:rPr>
      <w:sz w:val="16"/>
      <w:szCs w:val="16"/>
    </w:rPr>
  </w:style>
  <w:style w:type="paragraph" w:styleId="Commentaire">
    <w:name w:val="annotation text"/>
    <w:basedOn w:val="Normal"/>
    <w:link w:val="CommentaireCar"/>
    <w:uiPriority w:val="99"/>
    <w:unhideWhenUsed w:val="1"/>
    <w:rsid w:val="00575AC7"/>
    <w:pPr>
      <w:spacing w:line="240" w:lineRule="auto"/>
    </w:pPr>
    <w:rPr>
      <w:sz w:val="20"/>
      <w:szCs w:val="20"/>
    </w:rPr>
  </w:style>
  <w:style w:type="character" w:styleId="CommentaireCar" w:customStyle="1">
    <w:name w:val="Commentaire Car"/>
    <w:basedOn w:val="Policepardfaut"/>
    <w:link w:val="Commentaire"/>
    <w:uiPriority w:val="99"/>
    <w:rsid w:val="00575AC7"/>
    <w:rPr>
      <w:rFonts w:ascii="Work Sans" w:hAnsi="Work Sans"/>
      <w:sz w:val="20"/>
      <w:szCs w:val="20"/>
    </w:rPr>
  </w:style>
  <w:style w:type="paragraph" w:styleId="Objetducommentaire">
    <w:name w:val="annotation subject"/>
    <w:basedOn w:val="Commentaire"/>
    <w:next w:val="Commentaire"/>
    <w:link w:val="ObjetducommentaireCar"/>
    <w:uiPriority w:val="99"/>
    <w:semiHidden w:val="1"/>
    <w:unhideWhenUsed w:val="1"/>
    <w:rsid w:val="00575AC7"/>
    <w:rPr>
      <w:b w:val="1"/>
      <w:bCs w:val="1"/>
    </w:rPr>
  </w:style>
  <w:style w:type="character" w:styleId="ObjetducommentaireCar" w:customStyle="1">
    <w:name w:val="Objet du commentaire Car"/>
    <w:basedOn w:val="CommentaireCar"/>
    <w:link w:val="Objetducommentaire"/>
    <w:uiPriority w:val="99"/>
    <w:semiHidden w:val="1"/>
    <w:rsid w:val="00575AC7"/>
    <w:rPr>
      <w:rFonts w:ascii="Work Sans" w:hAnsi="Work Sans"/>
      <w:b w:val="1"/>
      <w:bCs w:val="1"/>
      <w:sz w:val="20"/>
      <w:szCs w:val="20"/>
    </w:rPr>
  </w:style>
  <w:style w:type="paragraph" w:styleId="Subtitle">
    <w:name w:val="Subtitle"/>
    <w:basedOn w:val="Normal"/>
    <w:next w:val="Normal"/>
    <w:pPr/>
    <w:rPr>
      <w:rFonts w:ascii="Calibri" w:cs="Calibri" w:eastAsia="Calibri" w:hAnsi="Calibri"/>
      <w:smallCaps w:val="1"/>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AtkinsonHyperlegibleNext-regular.ttf"/><Relationship Id="rId6" Type="http://schemas.openxmlformats.org/officeDocument/2006/relationships/font" Target="fonts/AtkinsonHyperlegibleNext-bold.ttf"/><Relationship Id="rId7" Type="http://schemas.openxmlformats.org/officeDocument/2006/relationships/font" Target="fonts/AtkinsonHyperlegibleNext-italic.ttf"/><Relationship Id="rId8" Type="http://schemas.openxmlformats.org/officeDocument/2006/relationships/font" Target="fonts/AtkinsonHyperlegibleNex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YPRAi6z3w9VCO1xZR3Dc1N4WA==">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2026-01-12T13:20:00Z</dcterms:created>
  <dc:creator>Wafa Dhaouadi</dc:creator>
</cp:coreProperties>
</file>