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638"/>
        </w:tabs>
        <w:spacing w:after="400"/>
      </w:pPr>
      <w:r>
        <w:rPr>
          <w:rFonts w:ascii="Open Sans" w:cs="Open Sans" w:eastAsia="Open Sans" w:hAnsi="Open Sans"/>
          <w:b/>
          <w:bCs/>
          <w:color w:val="21324E"/>
          <w:spacing w:val="80"/>
          <w:sz w:val="20"/>
          <w:szCs w:val="20"/>
        </w:rPr>
        <w:t xml:space="preserve">HT PORTAGE</w:t>
      </w:r>
      <w:r>
        <w:rPr>
          <w:rFonts w:ascii="Open Sans" w:cs="Open Sans" w:eastAsia="Open Sans" w:hAnsi="Open Sans"/>
        </w:rPr>
        <w:tab/>
      </w:r>
      <w:r>
        <w:rPr>
          <w:rFonts w:ascii="Open Sans" w:cs="Open Sans" w:eastAsia="Open Sans" w:hAnsi="Open Sans"/>
          <w:color w:val="4A5468"/>
          <w:sz w:val="16"/>
          <w:szCs w:val="16"/>
        </w:rPr>
        <w:t xml:space="preserve">Document confidentiel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9200" w:hRule="atLeast"/>
        </w:trPr>
        <w:tc>
          <w:tcPr>
            <w:tcW w:type="dxa" w:w="9638"/>
            <w:tcBorders>
              <w:top w:val="none" w:color="FFFFFF" w:sz="0"/>
              <w:left w:val="none" w:color="FFFFFF" w:sz="0"/>
              <w:bottom w:val="none" w:color="FFFFFF" w:sz="0"/>
              <w:right w:val="none" w:color="FFFFFF" w:sz="0"/>
            </w:tcBorders>
            <w:shd w:fill="21324E" w:color="auto" w:val="clear"/>
            <w:tcMar>
              <w:top w:type="dxa" w:w="700"/>
              <w:left w:type="dxa" w:w="700"/>
              <w:bottom w:type="dxa" w:w="700"/>
              <w:right w:type="dxa" w:w="700"/>
            </w:tcMar>
            <w:vAlign w:val="bottom"/>
          </w:tcPr>
          <w:p>
            <w:pPr>
              <w:spacing w:after="2200"/>
            </w:pPr>
            <w:r>
              <w:drawing>
                <wp:inline distT="0" distB="0" distL="0" distR="0">
                  <wp:extent cx="1428750" cy="723900"/>
                  <wp:effectExtent t="0" r="0" b="0" l="0"/>
                  <wp:docPr id="1" name="monogramme-garde" descr="Monogramme HT Portage" title="HT Por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723900"/>
                          </a:xfrm>
                          <a:prstGeom prst="rect">
                            <a:avLst/>
                          </a:prstGeom>
                        </pic:spPr>
                      </pic:pic>
                    </a:graphicData>
                  </a:graphic>
                </wp:inline>
              </w:drawing>
            </w:r>
          </w:p>
          <w:p>
            <w:pPr>
              <w:spacing w:after="160"/>
            </w:pPr>
            <w:r>
              <w:rPr>
                <w:rFonts w:ascii="Open Sans" w:cs="Open Sans" w:eastAsia="Open Sans" w:hAnsi="Open Sans"/>
                <w:b/>
                <w:bCs/>
                <w:color w:val="C187A1"/>
                <w:spacing w:val="60"/>
                <w:sz w:val="18"/>
                <w:szCs w:val="18"/>
              </w:rPr>
              <w:t xml:space="preserve">CONTRAT DE TRAVAIL</w:t>
            </w:r>
          </w:p>
          <w:p>
            <w:pPr>
              <w:spacing w:after="0"/>
            </w:pPr>
            <w:r>
              <w:rPr>
                <w:rFonts w:ascii="Open Sans" w:cs="Open Sans" w:eastAsia="Open Sans" w:hAnsi="Open Sans"/>
                <w:b/>
                <w:bCs/>
                <w:color w:val="FFFFFF"/>
                <w:sz w:val="52"/>
                <w:szCs w:val="52"/>
              </w:rPr>
              <w:t xml:space="preserve">Contrat de travail</w:t>
            </w:r>
          </w:p>
          <w:p>
            <w:pPr>
              <w:spacing w:after="0"/>
            </w:pPr>
            <w:r>
              <w:rPr>
                <w:rFonts w:ascii="Open Sans" w:cs="Open Sans" w:eastAsia="Open Sans" w:hAnsi="Open Sans"/>
                <w:b/>
                <w:bCs/>
                <w:color w:val="FFFFFF"/>
                <w:sz w:val="52"/>
                <w:szCs w:val="52"/>
              </w:rPr>
              <w:t xml:space="preserve">en portage salarial</w:t>
            </w:r>
          </w:p>
          <w:p>
            <w:pPr>
              <w:spacing w:after="360"/>
            </w:pPr>
            <w:r>
              <w:rPr>
                <w:rFonts w:ascii="Open Sans" w:cs="Open Sans" w:eastAsia="Open Sans" w:hAnsi="Open Sans"/>
                <w:b/>
                <w:bCs/>
                <w:color w:val="C187A1"/>
                <w:sz w:val="52"/>
                <w:szCs w:val="52"/>
              </w:rPr>
              <w:t xml:space="preserve">à durée indéterminée</w:t>
            </w:r>
          </w:p>
          <w:p>
            <w:pPr>
              <w:pBdr>
                <w:top w:val="single" w:color="C187A1" w:sz="6" w:space="12"/>
              </w:pBdr>
              <w:spacing w:after="0"/>
            </w:pPr>
            <w:r>
              <w:rPr>
                <w:rFonts w:ascii="Open Sans" w:cs="Open Sans" w:eastAsia="Open Sans" w:hAnsi="Open Sans"/>
                <w:color w:val="D9E0EA"/>
                <w:sz w:val="18"/>
                <w:szCs w:val="18"/>
              </w:rPr>
              <w:t xml:space="preserve">Convention collective de branche des salariés en portage salarial · IDCC 3219</w:t>
            </w:r>
          </w:p>
        </w:tc>
      </w:tr>
    </w:tbl>
    <w:p>
      <w:pPr>
        <w:spacing w:after="3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9"/>
        <w:gridCol w:w="100"/>
        <w:gridCol w:w="4769"/>
      </w:tblGrid>
      <w:tr>
        <w:tc>
          <w:tcPr>
            <w:tcW w:type="dxa" w:w="4769"/>
            <w:tcBorders>
              <w:top w:val="none" w:color="FFFFFF" w:sz="0"/>
              <w:left w:val="none" w:color="FFFFFF" w:sz="0"/>
              <w:bottom w:val="none" w:color="FFFFFF" w:sz="0"/>
              <w:right w:val="none" w:color="FFFFFF" w:sz="0"/>
            </w:tcBorders>
            <w:shd w:fill="F1F4F7" w:color="auto" w:val="clear"/>
            <w:tcMar>
              <w:top w:type="dxa" w:w="220"/>
              <w:left w:type="dxa" w:w="180"/>
              <w:bottom w:type="dxa" w:w="220"/>
              <w:right w:type="dxa" w:w="180"/>
            </w:tcMar>
            <w:vAlign w:val="top"/>
          </w:tcPr>
          <w:p>
            <w:pPr>
              <w:spacing w:after="80"/>
            </w:pPr>
            <w:r>
              <w:rPr>
                <w:rFonts w:ascii="Open Sans" w:cs="Open Sans" w:eastAsia="Open Sans" w:hAnsi="Open Sans"/>
                <w:b/>
                <w:bCs/>
                <w:color w:val="784E61"/>
                <w:spacing w:val="30"/>
                <w:sz w:val="16"/>
                <w:szCs w:val="16"/>
              </w:rPr>
              <w:t xml:space="preserve">ENTRE</w:t>
            </w:r>
          </w:p>
          <w:p>
            <w:pPr>
              <w:spacing w:after="40" w:before="0" w:line="276"/>
              <w:jc w:val="left"/>
            </w:pPr>
            <w:r>
              <w:rPr>
                <w:rFonts w:ascii="Open Sans" w:cs="Open Sans" w:eastAsia="Open Sans" w:hAnsi="Open Sans"/>
                <w:b/>
                <w:bCs/>
                <w:color w:val="21324E"/>
                <w:sz w:val="22"/>
                <w:szCs w:val="22"/>
              </w:rPr>
              <w:t xml:space="preserve">HT Portage</w:t>
            </w:r>
          </w:p>
          <w:p>
            <w:pPr>
              <w:spacing w:after="0" w:before="0" w:line="276"/>
              <w:jc w:val="left"/>
            </w:pPr>
            <w:r>
              <w:rPr>
                <w:rFonts w:ascii="Open Sans" w:cs="Open Sans" w:eastAsia="Open Sans" w:hAnsi="Open Sans"/>
                <w:color w:val="4A5468"/>
              </w:rPr>
              <w:t xml:space="preserve">Entreprise de portage salarial · Bois-Colombes</w:t>
            </w:r>
          </w:p>
        </w:tc>
        <w:tc>
          <w:tcPr>
            <w:tcW w:type="dxa" w:w="1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tc>
        <w:tc>
          <w:tcPr>
            <w:tcW w:type="dxa" w:w="4769"/>
            <w:tcBorders>
              <w:top w:val="none" w:color="FFFFFF" w:sz="0"/>
              <w:left w:val="none" w:color="FFFFFF" w:sz="0"/>
              <w:bottom w:val="none" w:color="FFFFFF" w:sz="0"/>
              <w:right w:val="none" w:color="FFFFFF" w:sz="0"/>
            </w:tcBorders>
            <w:shd w:fill="F1F4F7" w:color="auto" w:val="clear"/>
            <w:tcMar>
              <w:top w:type="dxa" w:w="220"/>
              <w:left w:type="dxa" w:w="180"/>
              <w:bottom w:type="dxa" w:w="220"/>
              <w:right w:type="dxa" w:w="180"/>
            </w:tcMar>
            <w:vAlign w:val="top"/>
          </w:tcPr>
          <w:p>
            <w:pPr>
              <w:spacing w:after="80"/>
            </w:pPr>
            <w:r>
              <w:rPr>
                <w:rFonts w:ascii="Open Sans" w:cs="Open Sans" w:eastAsia="Open Sans" w:hAnsi="Open Sans"/>
                <w:b/>
                <w:bCs/>
                <w:color w:val="784E61"/>
                <w:spacing w:val="30"/>
                <w:sz w:val="16"/>
                <w:szCs w:val="16"/>
              </w:rPr>
              <w:t xml:space="preserve">ET LE SALARIÉ PORTÉ</w:t>
            </w:r>
          </w:p>
          <w:p>
            <w:pPr>
              <w:spacing w:after="40" w:line="276"/>
            </w:pPr>
            <w:r>
              <w:rPr>
                <w:rFonts w:ascii="Open Sans" w:cs="Open Sans" w:eastAsia="Open Sans" w:hAnsi="Open Sans"/>
                <w:b w:val="false"/>
                <w:bCs w:val="false"/>
                <w:color w:val="1B1C1C"/>
              </w:rPr>
              <w:t xml:space="preserve">Nom et prénom : </w:t>
            </w:r>
            <w:r>
              <w:rPr>
                <w:rFonts w:ascii="Open Sans" w:cs="Open Sans" w:eastAsia="Open Sans" w:hAnsi="Open Sans"/>
                <w:color w:val="1B1C1C"/>
              </w:rPr>
              <w:t xml:space="preserve">[[salarie_nom]]</w:t>
            </w:r>
          </w:p>
          <w:p>
            <w:pPr>
              <w:spacing w:after="0" w:before="0" w:line="276"/>
              <w:jc w:val="left"/>
            </w:pPr>
            <w:r>
              <w:rPr>
                <w:rFonts w:ascii="Open Sans" w:cs="Open Sans" w:eastAsia="Open Sans" w:hAnsi="Open Sans"/>
                <w:color w:val="4A5468"/>
              </w:rPr>
              <w:t xml:space="preserve">Consultant · statut cadre</w:t>
            </w:r>
          </w:p>
        </w:tc>
      </w:tr>
    </w:tbl>
    <w:p>
      <w:pPr>
        <w:spacing w:after="200"/>
      </w:pPr>
    </w:p>
    <w:p>
      <w:pPr>
        <w:spacing w:after="160" w:line="276"/>
      </w:pPr>
      <w:r>
        <w:rPr>
          <w:rFonts w:ascii="Open Sans" w:cs="Open Sans" w:eastAsia="Open Sans" w:hAnsi="Open Sans"/>
          <w:b/>
          <w:bCs/>
          <w:color w:val="1B1C1C"/>
        </w:rPr>
        <w:t xml:space="preserve">Date d’effet du contrat : </w:t>
      </w:r>
      <w:r>
        <w:rPr>
          <w:rFonts w:ascii="Open Sans" w:cs="Open Sans" w:eastAsia="Open Sans" w:hAnsi="Open Sans"/>
          <w:color w:val="1B1C1C"/>
        </w:rPr>
        <w:t xml:space="preserve">[[date_effet]]</w:t>
      </w:r>
    </w:p>
    <w:p>
      <w:pPr>
        <w:spacing w:after="160" w:line="276"/>
      </w:pPr>
      <w:r>
        <w:rPr>
          <w:rFonts w:ascii="Open Sans" w:cs="Open Sans" w:eastAsia="Open Sans" w:hAnsi="Open Sans"/>
          <w:b/>
          <w:bCs/>
          <w:color w:val="1B1C1C"/>
        </w:rPr>
        <w:t xml:space="preserve">Référence du contrat : </w:t>
      </w:r>
      <w:r>
        <w:rPr>
          <w:rFonts w:ascii="Open Sans" w:cs="Open Sans" w:eastAsia="Open Sans" w:hAnsi="Open Sans"/>
          <w:color w:val="1B1C1C"/>
        </w:rPr>
        <w:t xml:space="preserve">[[reference_cdi]]</w:t>
      </w:r>
    </w:p>
    <w:p>
      <w:pPr>
        <w:spacing w:after="160" w:line="276"/>
      </w:pPr>
      <w:r>
        <w:rPr>
          <w:rFonts w:ascii="Open Sans" w:cs="Open Sans" w:eastAsia="Open Sans" w:hAnsi="Open Sans"/>
          <w:b/>
          <w:bCs/>
          <w:color w:val="1B1C1C"/>
        </w:rPr>
        <w:t xml:space="preserve">Signé à Bois-Colombes, le : </w:t>
      </w:r>
      <w:r>
        <w:rPr>
          <w:rFonts w:ascii="Open Sans" w:cs="Open Sans" w:eastAsia="Open Sans" w:hAnsi="Open Sans"/>
          <w:color w:val="1B1C1C"/>
        </w:rPr>
        <w:t xml:space="preserve">[[date_signature]]</w:t>
      </w:r>
    </w:p>
    <w:p>
      <w:pPr>
        <w:pBdr>
          <w:top w:val="single" w:color="D7D7D7" w:sz="4" w:space="8"/>
        </w:pBdr>
        <w:spacing w:before="500"/>
      </w:pPr>
      <w:r>
        <w:rPr>
          <w:rFonts w:ascii="Open Sans" w:cs="Open Sans" w:eastAsia="Open Sans" w:hAnsi="Open Sans"/>
          <w:color w:val="4A5468"/>
          <w:sz w:val="14"/>
          <w:szCs w:val="14"/>
        </w:rPr>
        <w:t xml:space="preserve">HT Portage · capital de 100 000 € · RCS Nanterre 993 218 007 · 34 rue Pasteur, 92270 Bois-Colombes · htportage.fr · contact@htportage.fr</w:t>
      </w:r>
    </w:p>
    <w:p>
      <w:pPr>
        <w:sectPr>
          <w:headerReference w:type="default" r:id="rId6"/>
          <w:footerReference w:type="default" r:id="rId7"/>
          <w:pgSz w:w="11906" w:h="16838" w:orient="portrait"/>
          <w:pgMar w:top="1134" w:right="1134" w:bottom="1000" w:left="1134" w:header="400" w:footer="400" w:gutter="0"/>
          <w:pgNumType/>
          <w:docGrid w:linePitch="360"/>
        </w:sectPr>
      </w:pPr>
    </w:p>
    <w:p>
      <w:pPr>
        <w:pBdr>
          <w:bottom w:val="single" w:color="C187A1" w:sz="6" w:space="6"/>
        </w:pBdr>
        <w:spacing w:after="200"/>
      </w:pPr>
      <w:r>
        <w:rPr>
          <w:rFonts w:ascii="Open Sans" w:cs="Open Sans" w:eastAsia="Open Sans" w:hAnsi="Open Sans"/>
          <w:b/>
          <w:bCs/>
          <w:color w:val="21324E"/>
          <w:spacing w:val="40"/>
          <w:sz w:val="26"/>
          <w:szCs w:val="26"/>
        </w:rPr>
        <w:t xml:space="preserve">SOMMAIRE</w:t>
      </w:r>
    </w:p>
    <w:p>
      <w:pPr>
        <w:tabs>
          <w:tab w:val="right" w:pos="9638" w:leader="dot"/>
        </w:tabs>
        <w:spacing w:after="110"/>
      </w:pPr>
      <w:hyperlink w:history="1" w:anchor="cdi_pre">
        <w:r>
          <w:rPr>
            <w:rFonts w:ascii="Open Sans" w:cs="Open Sans" w:eastAsia="Open Sans" w:hAnsi="Open Sans"/>
            <w:b/>
            <w:bCs/>
            <w:color w:val="784E61"/>
            <w:sz w:val="19"/>
            <w:szCs w:val="19"/>
          </w:rPr>
          <w:t xml:space="preserve"/>
        </w:r>
        <w:r>
          <w:rPr>
            <w:rFonts w:ascii="Open Sans" w:cs="Open Sans" w:eastAsia="Open Sans" w:hAnsi="Open Sans"/>
            <w:color w:val="1B1C1C"/>
            <w:sz w:val="19"/>
            <w:szCs w:val="19"/>
          </w:rPr>
          <w:t xml:space="preserve">Préambule</w:t>
        </w:r>
        <w:r>
          <w:rPr>
            <w:rFonts w:ascii="Open Sans" w:cs="Open Sans" w:eastAsia="Open Sans" w:hAnsi="Open Sans"/>
            <w:color w:val="A7B3C6"/>
          </w:rPr>
          <w:tab/>
        </w:r>
        <w:r>
          <w:rPr>
            <w:rFonts w:ascii="Open Sans" w:cs="Open Sans" w:eastAsia="Open Sans" w:hAnsi="Open Sans"/>
            <w:b/>
            <w:bCs/>
            <w:color w:val="21324E"/>
            <w:sz w:val="19"/>
            <w:szCs w:val="19"/>
          </w:rPr>
          <w:t xml:space="preserve">3</w:t>
        </w:r>
      </w:hyperlink>
    </w:p>
    <w:p>
      <w:pPr>
        <w:tabs>
          <w:tab w:val="right" w:pos="9638" w:leader="dot"/>
        </w:tabs>
        <w:spacing w:after="110"/>
      </w:pPr>
      <w:hyperlink w:history="1" w:anchor="cdi_1">
        <w:r>
          <w:rPr>
            <w:rFonts w:ascii="Open Sans" w:cs="Open Sans" w:eastAsia="Open Sans" w:hAnsi="Open Sans"/>
            <w:b/>
            <w:bCs/>
            <w:color w:val="784E61"/>
            <w:sz w:val="19"/>
            <w:szCs w:val="19"/>
          </w:rPr>
          <w:t xml:space="preserve">Article 1</w:t>
        </w:r>
        <w:r>
          <w:rPr>
            <w:rFonts w:ascii="Open Sans" w:cs="Open Sans" w:eastAsia="Open Sans" w:hAnsi="Open Sans"/>
            <w:color w:val="1B1C1C"/>
            <w:sz w:val="19"/>
            <w:szCs w:val="19"/>
          </w:rPr>
          <w:t xml:space="preserve">   Engagement</w:t>
        </w:r>
        <w:r>
          <w:rPr>
            <w:rFonts w:ascii="Open Sans" w:cs="Open Sans" w:eastAsia="Open Sans" w:hAnsi="Open Sans"/>
            <w:color w:val="A7B3C6"/>
          </w:rPr>
          <w:tab/>
        </w:r>
        <w:r>
          <w:rPr>
            <w:rFonts w:ascii="Open Sans" w:cs="Open Sans" w:eastAsia="Open Sans" w:hAnsi="Open Sans"/>
            <w:b/>
            <w:bCs/>
            <w:color w:val="21324E"/>
            <w:sz w:val="19"/>
            <w:szCs w:val="19"/>
          </w:rPr>
          <w:t xml:space="preserve">3</w:t>
        </w:r>
      </w:hyperlink>
    </w:p>
    <w:p>
      <w:pPr>
        <w:tabs>
          <w:tab w:val="right" w:pos="9638" w:leader="dot"/>
        </w:tabs>
        <w:spacing w:after="110"/>
      </w:pPr>
      <w:hyperlink w:history="1" w:anchor="cdi_2">
        <w:r>
          <w:rPr>
            <w:rFonts w:ascii="Open Sans" w:cs="Open Sans" w:eastAsia="Open Sans" w:hAnsi="Open Sans"/>
            <w:b/>
            <w:bCs/>
            <w:color w:val="784E61"/>
            <w:sz w:val="19"/>
            <w:szCs w:val="19"/>
          </w:rPr>
          <w:t xml:space="preserve">Article 2</w:t>
        </w:r>
        <w:r>
          <w:rPr>
            <w:rFonts w:ascii="Open Sans" w:cs="Open Sans" w:eastAsia="Open Sans" w:hAnsi="Open Sans"/>
            <w:color w:val="1B1C1C"/>
            <w:sz w:val="19"/>
            <w:szCs w:val="19"/>
          </w:rPr>
          <w:t xml:space="preserve">   Droits et obligations</w:t>
        </w:r>
        <w:r>
          <w:rPr>
            <w:rFonts w:ascii="Open Sans" w:cs="Open Sans" w:eastAsia="Open Sans" w:hAnsi="Open Sans"/>
            <w:color w:val="A7B3C6"/>
          </w:rPr>
          <w:tab/>
        </w:r>
        <w:r>
          <w:rPr>
            <w:rFonts w:ascii="Open Sans" w:cs="Open Sans" w:eastAsia="Open Sans" w:hAnsi="Open Sans"/>
            <w:b/>
            <w:bCs/>
            <w:color w:val="21324E"/>
            <w:sz w:val="19"/>
            <w:szCs w:val="19"/>
          </w:rPr>
          <w:t xml:space="preserve">3</w:t>
        </w:r>
      </w:hyperlink>
    </w:p>
    <w:p>
      <w:pPr>
        <w:tabs>
          <w:tab w:val="right" w:pos="9638" w:leader="dot"/>
        </w:tabs>
        <w:spacing w:after="110"/>
      </w:pPr>
      <w:hyperlink w:history="1" w:anchor="cdi_3">
        <w:r>
          <w:rPr>
            <w:rFonts w:ascii="Open Sans" w:cs="Open Sans" w:eastAsia="Open Sans" w:hAnsi="Open Sans"/>
            <w:b/>
            <w:bCs/>
            <w:color w:val="784E61"/>
            <w:sz w:val="19"/>
            <w:szCs w:val="19"/>
          </w:rPr>
          <w:t xml:space="preserve">Article 3</w:t>
        </w:r>
        <w:r>
          <w:rPr>
            <w:rFonts w:ascii="Open Sans" w:cs="Open Sans" w:eastAsia="Open Sans" w:hAnsi="Open Sans"/>
            <w:color w:val="1B1C1C"/>
            <w:sz w:val="19"/>
            <w:szCs w:val="19"/>
          </w:rPr>
          <w:t xml:space="preserve">   Compétences</w:t>
        </w:r>
        <w:r>
          <w:rPr>
            <w:rFonts w:ascii="Open Sans" w:cs="Open Sans" w:eastAsia="Open Sans" w:hAnsi="Open Sans"/>
            <w:color w:val="A7B3C6"/>
          </w:rPr>
          <w:tab/>
        </w:r>
        <w:r>
          <w:rPr>
            <w:rFonts w:ascii="Open Sans" w:cs="Open Sans" w:eastAsia="Open Sans" w:hAnsi="Open Sans"/>
            <w:b/>
            <w:bCs/>
            <w:color w:val="21324E"/>
            <w:sz w:val="19"/>
            <w:szCs w:val="19"/>
          </w:rPr>
          <w:t xml:space="preserve">4</w:t>
        </w:r>
      </w:hyperlink>
    </w:p>
    <w:p>
      <w:pPr>
        <w:tabs>
          <w:tab w:val="right" w:pos="9638" w:leader="dot"/>
        </w:tabs>
        <w:spacing w:after="110"/>
      </w:pPr>
      <w:hyperlink w:history="1" w:anchor="cdi_4">
        <w:r>
          <w:rPr>
            <w:rFonts w:ascii="Open Sans" w:cs="Open Sans" w:eastAsia="Open Sans" w:hAnsi="Open Sans"/>
            <w:b/>
            <w:bCs/>
            <w:color w:val="784E61"/>
            <w:sz w:val="19"/>
            <w:szCs w:val="19"/>
          </w:rPr>
          <w:t xml:space="preserve">Article 4</w:t>
        </w:r>
        <w:r>
          <w:rPr>
            <w:rFonts w:ascii="Open Sans" w:cs="Open Sans" w:eastAsia="Open Sans" w:hAnsi="Open Sans"/>
            <w:color w:val="1B1C1C"/>
            <w:sz w:val="19"/>
            <w:szCs w:val="19"/>
          </w:rPr>
          <w:t xml:space="preserve">   Compte-rendu d’activité</w:t>
        </w:r>
        <w:r>
          <w:rPr>
            <w:rFonts w:ascii="Open Sans" w:cs="Open Sans" w:eastAsia="Open Sans" w:hAnsi="Open Sans"/>
            <w:color w:val="A7B3C6"/>
          </w:rPr>
          <w:tab/>
        </w:r>
        <w:r>
          <w:rPr>
            <w:rFonts w:ascii="Open Sans" w:cs="Open Sans" w:eastAsia="Open Sans" w:hAnsi="Open Sans"/>
            <w:b/>
            <w:bCs/>
            <w:color w:val="21324E"/>
            <w:sz w:val="19"/>
            <w:szCs w:val="19"/>
          </w:rPr>
          <w:t xml:space="preserve">4</w:t>
        </w:r>
      </w:hyperlink>
    </w:p>
    <w:p>
      <w:pPr>
        <w:tabs>
          <w:tab w:val="right" w:pos="9638" w:leader="dot"/>
        </w:tabs>
        <w:spacing w:after="110"/>
      </w:pPr>
      <w:hyperlink w:history="1" w:anchor="cdi_5">
        <w:r>
          <w:rPr>
            <w:rFonts w:ascii="Open Sans" w:cs="Open Sans" w:eastAsia="Open Sans" w:hAnsi="Open Sans"/>
            <w:b/>
            <w:bCs/>
            <w:color w:val="784E61"/>
            <w:sz w:val="19"/>
            <w:szCs w:val="19"/>
          </w:rPr>
          <w:t xml:space="preserve">Article 5</w:t>
        </w:r>
        <w:r>
          <w:rPr>
            <w:rFonts w:ascii="Open Sans" w:cs="Open Sans" w:eastAsia="Open Sans" w:hAnsi="Open Sans"/>
            <w:color w:val="1B1C1C"/>
            <w:sz w:val="19"/>
            <w:szCs w:val="19"/>
          </w:rPr>
          <w:t xml:space="preserve">   Durée du travail</w:t>
        </w:r>
        <w:r>
          <w:rPr>
            <w:rFonts w:ascii="Open Sans" w:cs="Open Sans" w:eastAsia="Open Sans" w:hAnsi="Open Sans"/>
            <w:color w:val="A7B3C6"/>
          </w:rPr>
          <w:tab/>
        </w:r>
        <w:r>
          <w:rPr>
            <w:rFonts w:ascii="Open Sans" w:cs="Open Sans" w:eastAsia="Open Sans" w:hAnsi="Open Sans"/>
            <w:b/>
            <w:bCs/>
            <w:color w:val="21324E"/>
            <w:sz w:val="19"/>
            <w:szCs w:val="19"/>
          </w:rPr>
          <w:t xml:space="preserve">5</w:t>
        </w:r>
      </w:hyperlink>
    </w:p>
    <w:p>
      <w:pPr>
        <w:tabs>
          <w:tab w:val="right" w:pos="9638" w:leader="dot"/>
        </w:tabs>
        <w:spacing w:after="110"/>
      </w:pPr>
      <w:hyperlink w:history="1" w:anchor="cdi_6">
        <w:r>
          <w:rPr>
            <w:rFonts w:ascii="Open Sans" w:cs="Open Sans" w:eastAsia="Open Sans" w:hAnsi="Open Sans"/>
            <w:b/>
            <w:bCs/>
            <w:color w:val="784E61"/>
            <w:sz w:val="19"/>
            <w:szCs w:val="19"/>
          </w:rPr>
          <w:t xml:space="preserve">Article 6</w:t>
        </w:r>
        <w:r>
          <w:rPr>
            <w:rFonts w:ascii="Open Sans" w:cs="Open Sans" w:eastAsia="Open Sans" w:hAnsi="Open Sans"/>
            <w:color w:val="1B1C1C"/>
            <w:sz w:val="19"/>
            <w:szCs w:val="19"/>
          </w:rPr>
          <w:t xml:space="preserve">   Rémunération</w:t>
        </w:r>
        <w:r>
          <w:rPr>
            <w:rFonts w:ascii="Open Sans" w:cs="Open Sans" w:eastAsia="Open Sans" w:hAnsi="Open Sans"/>
            <w:color w:val="A7B3C6"/>
          </w:rPr>
          <w:tab/>
        </w:r>
        <w:r>
          <w:rPr>
            <w:rFonts w:ascii="Open Sans" w:cs="Open Sans" w:eastAsia="Open Sans" w:hAnsi="Open Sans"/>
            <w:b/>
            <w:bCs/>
            <w:color w:val="21324E"/>
            <w:sz w:val="19"/>
            <w:szCs w:val="19"/>
          </w:rPr>
          <w:t xml:space="preserve">5</w:t>
        </w:r>
      </w:hyperlink>
    </w:p>
    <w:p>
      <w:pPr>
        <w:tabs>
          <w:tab w:val="right" w:pos="9638" w:leader="dot"/>
        </w:tabs>
        <w:spacing w:after="110"/>
      </w:pPr>
      <w:hyperlink w:history="1" w:anchor="cdi_7">
        <w:r>
          <w:rPr>
            <w:rFonts w:ascii="Open Sans" w:cs="Open Sans" w:eastAsia="Open Sans" w:hAnsi="Open Sans"/>
            <w:b/>
            <w:bCs/>
            <w:color w:val="784E61"/>
            <w:sz w:val="19"/>
            <w:szCs w:val="19"/>
          </w:rPr>
          <w:t xml:space="preserve">Article 7</w:t>
        </w:r>
        <w:r>
          <w:rPr>
            <w:rFonts w:ascii="Open Sans" w:cs="Open Sans" w:eastAsia="Open Sans" w:hAnsi="Open Sans"/>
            <w:color w:val="1B1C1C"/>
            <w:sz w:val="19"/>
            <w:szCs w:val="19"/>
          </w:rPr>
          <w:t xml:space="preserve">   Sécurisation financière</w:t>
        </w:r>
        <w:r>
          <w:rPr>
            <w:rFonts w:ascii="Open Sans" w:cs="Open Sans" w:eastAsia="Open Sans" w:hAnsi="Open Sans"/>
            <w:color w:val="A7B3C6"/>
          </w:rPr>
          <w:tab/>
        </w:r>
        <w:r>
          <w:rPr>
            <w:rFonts w:ascii="Open Sans" w:cs="Open Sans" w:eastAsia="Open Sans" w:hAnsi="Open Sans"/>
            <w:b/>
            <w:bCs/>
            <w:color w:val="21324E"/>
            <w:sz w:val="19"/>
            <w:szCs w:val="19"/>
          </w:rPr>
          <w:t xml:space="preserve">6</w:t>
        </w:r>
      </w:hyperlink>
    </w:p>
    <w:p>
      <w:pPr>
        <w:tabs>
          <w:tab w:val="right" w:pos="9638" w:leader="dot"/>
        </w:tabs>
        <w:spacing w:after="110"/>
      </w:pPr>
      <w:hyperlink w:history="1" w:anchor="cdi_8">
        <w:r>
          <w:rPr>
            <w:rFonts w:ascii="Open Sans" w:cs="Open Sans" w:eastAsia="Open Sans" w:hAnsi="Open Sans"/>
            <w:b/>
            <w:bCs/>
            <w:color w:val="784E61"/>
            <w:sz w:val="19"/>
            <w:szCs w:val="19"/>
          </w:rPr>
          <w:t xml:space="preserve">Article 8</w:t>
        </w:r>
        <w:r>
          <w:rPr>
            <w:rFonts w:ascii="Open Sans" w:cs="Open Sans" w:eastAsia="Open Sans" w:hAnsi="Open Sans"/>
            <w:color w:val="1B1C1C"/>
            <w:sz w:val="19"/>
            <w:szCs w:val="19"/>
          </w:rPr>
          <w:t xml:space="preserve">   Compte d’activité</w:t>
        </w:r>
        <w:r>
          <w:rPr>
            <w:rFonts w:ascii="Open Sans" w:cs="Open Sans" w:eastAsia="Open Sans" w:hAnsi="Open Sans"/>
            <w:color w:val="A7B3C6"/>
          </w:rPr>
          <w:tab/>
        </w:r>
        <w:r>
          <w:rPr>
            <w:rFonts w:ascii="Open Sans" w:cs="Open Sans" w:eastAsia="Open Sans" w:hAnsi="Open Sans"/>
            <w:b/>
            <w:bCs/>
            <w:color w:val="21324E"/>
            <w:sz w:val="19"/>
            <w:szCs w:val="19"/>
          </w:rPr>
          <w:t xml:space="preserve">6</w:t>
        </w:r>
      </w:hyperlink>
    </w:p>
    <w:p>
      <w:pPr>
        <w:tabs>
          <w:tab w:val="right" w:pos="9638" w:leader="dot"/>
        </w:tabs>
        <w:spacing w:after="110"/>
      </w:pPr>
      <w:hyperlink w:history="1" w:anchor="cdi_9">
        <w:r>
          <w:rPr>
            <w:rFonts w:ascii="Open Sans" w:cs="Open Sans" w:eastAsia="Open Sans" w:hAnsi="Open Sans"/>
            <w:b/>
            <w:bCs/>
            <w:color w:val="784E61"/>
            <w:sz w:val="19"/>
            <w:szCs w:val="19"/>
          </w:rPr>
          <w:t xml:space="preserve">Article 9</w:t>
        </w:r>
        <w:r>
          <w:rPr>
            <w:rFonts w:ascii="Open Sans" w:cs="Open Sans" w:eastAsia="Open Sans" w:hAnsi="Open Sans"/>
            <w:color w:val="1B1C1C"/>
            <w:sz w:val="19"/>
            <w:szCs w:val="19"/>
          </w:rPr>
          <w:t xml:space="preserve">   Suspension</w:t>
        </w:r>
        <w:r>
          <w:rPr>
            <w:rFonts w:ascii="Open Sans" w:cs="Open Sans" w:eastAsia="Open Sans" w:hAnsi="Open Sans"/>
            <w:color w:val="A7B3C6"/>
          </w:rPr>
          <w:tab/>
        </w:r>
        <w:r>
          <w:rPr>
            <w:rFonts w:ascii="Open Sans" w:cs="Open Sans" w:eastAsia="Open Sans" w:hAnsi="Open Sans"/>
            <w:b/>
            <w:bCs/>
            <w:color w:val="21324E"/>
            <w:sz w:val="19"/>
            <w:szCs w:val="19"/>
          </w:rPr>
          <w:t xml:space="preserve">6</w:t>
        </w:r>
      </w:hyperlink>
    </w:p>
    <w:p>
      <w:pPr>
        <w:tabs>
          <w:tab w:val="right" w:pos="9638" w:leader="dot"/>
        </w:tabs>
        <w:spacing w:after="110"/>
      </w:pPr>
      <w:hyperlink w:history="1" w:anchor="cdi_10">
        <w:r>
          <w:rPr>
            <w:rFonts w:ascii="Open Sans" w:cs="Open Sans" w:eastAsia="Open Sans" w:hAnsi="Open Sans"/>
            <w:b/>
            <w:bCs/>
            <w:color w:val="784E61"/>
            <w:sz w:val="19"/>
            <w:szCs w:val="19"/>
          </w:rPr>
          <w:t xml:space="preserve">Article 10</w:t>
        </w:r>
        <w:r>
          <w:rPr>
            <w:rFonts w:ascii="Open Sans" w:cs="Open Sans" w:eastAsia="Open Sans" w:hAnsi="Open Sans"/>
            <w:color w:val="1B1C1C"/>
            <w:sz w:val="19"/>
            <w:szCs w:val="19"/>
          </w:rPr>
          <w:t xml:space="preserve">   Lieu de travail</w:t>
        </w:r>
        <w:r>
          <w:rPr>
            <w:rFonts w:ascii="Open Sans" w:cs="Open Sans" w:eastAsia="Open Sans" w:hAnsi="Open Sans"/>
            <w:color w:val="A7B3C6"/>
          </w:rPr>
          <w:tab/>
        </w:r>
        <w:r>
          <w:rPr>
            <w:rFonts w:ascii="Open Sans" w:cs="Open Sans" w:eastAsia="Open Sans" w:hAnsi="Open Sans"/>
            <w:b/>
            <w:bCs/>
            <w:color w:val="21324E"/>
            <w:sz w:val="19"/>
            <w:szCs w:val="19"/>
          </w:rPr>
          <w:t xml:space="preserve">6</w:t>
        </w:r>
      </w:hyperlink>
    </w:p>
    <w:p>
      <w:pPr>
        <w:tabs>
          <w:tab w:val="right" w:pos="9638" w:leader="dot"/>
        </w:tabs>
        <w:spacing w:after="110"/>
      </w:pPr>
      <w:hyperlink w:history="1" w:anchor="cdi_11">
        <w:r>
          <w:rPr>
            <w:rFonts w:ascii="Open Sans" w:cs="Open Sans" w:eastAsia="Open Sans" w:hAnsi="Open Sans"/>
            <w:b/>
            <w:bCs/>
            <w:color w:val="784E61"/>
            <w:sz w:val="19"/>
            <w:szCs w:val="19"/>
          </w:rPr>
          <w:t xml:space="preserve">Article 11</w:t>
        </w:r>
        <w:r>
          <w:rPr>
            <w:rFonts w:ascii="Open Sans" w:cs="Open Sans" w:eastAsia="Open Sans" w:hAnsi="Open Sans"/>
            <w:color w:val="1B1C1C"/>
            <w:sz w:val="19"/>
            <w:szCs w:val="19"/>
          </w:rPr>
          <w:t xml:space="preserve">   Frais</w:t>
        </w:r>
        <w:r>
          <w:rPr>
            <w:rFonts w:ascii="Open Sans" w:cs="Open Sans" w:eastAsia="Open Sans" w:hAnsi="Open Sans"/>
            <w:color w:val="A7B3C6"/>
          </w:rPr>
          <w:tab/>
        </w:r>
        <w:r>
          <w:rPr>
            <w:rFonts w:ascii="Open Sans" w:cs="Open Sans" w:eastAsia="Open Sans" w:hAnsi="Open Sans"/>
            <w:b/>
            <w:bCs/>
            <w:color w:val="21324E"/>
            <w:sz w:val="19"/>
            <w:szCs w:val="19"/>
          </w:rPr>
          <w:t xml:space="preserve">6</w:t>
        </w:r>
      </w:hyperlink>
    </w:p>
    <w:p>
      <w:pPr>
        <w:tabs>
          <w:tab w:val="right" w:pos="9638" w:leader="dot"/>
        </w:tabs>
        <w:spacing w:after="110"/>
      </w:pPr>
      <w:hyperlink w:history="1" w:anchor="cdi_12">
        <w:r>
          <w:rPr>
            <w:rFonts w:ascii="Open Sans" w:cs="Open Sans" w:eastAsia="Open Sans" w:hAnsi="Open Sans"/>
            <w:b/>
            <w:bCs/>
            <w:color w:val="784E61"/>
            <w:sz w:val="19"/>
            <w:szCs w:val="19"/>
          </w:rPr>
          <w:t xml:space="preserve">Article 12</w:t>
        </w:r>
        <w:r>
          <w:rPr>
            <w:rFonts w:ascii="Open Sans" w:cs="Open Sans" w:eastAsia="Open Sans" w:hAnsi="Open Sans"/>
            <w:color w:val="1B1C1C"/>
            <w:sz w:val="19"/>
            <w:szCs w:val="19"/>
          </w:rPr>
          <w:t xml:space="preserve">   Exécution</w:t>
        </w:r>
        <w:r>
          <w:rPr>
            <w:rFonts w:ascii="Open Sans" w:cs="Open Sans" w:eastAsia="Open Sans" w:hAnsi="Open Sans"/>
            <w:color w:val="A7B3C6"/>
          </w:rPr>
          <w:tab/>
        </w:r>
        <w:r>
          <w:rPr>
            <w:rFonts w:ascii="Open Sans" w:cs="Open Sans" w:eastAsia="Open Sans" w:hAnsi="Open Sans"/>
            <w:b/>
            <w:bCs/>
            <w:color w:val="21324E"/>
            <w:sz w:val="19"/>
            <w:szCs w:val="19"/>
          </w:rPr>
          <w:t xml:space="preserve">6</w:t>
        </w:r>
      </w:hyperlink>
    </w:p>
    <w:p>
      <w:pPr>
        <w:tabs>
          <w:tab w:val="right" w:pos="9638" w:leader="dot"/>
        </w:tabs>
        <w:spacing w:after="110"/>
      </w:pPr>
      <w:hyperlink w:history="1" w:anchor="cdi_13">
        <w:r>
          <w:rPr>
            <w:rFonts w:ascii="Open Sans" w:cs="Open Sans" w:eastAsia="Open Sans" w:hAnsi="Open Sans"/>
            <w:b/>
            <w:bCs/>
            <w:color w:val="784E61"/>
            <w:sz w:val="19"/>
            <w:szCs w:val="19"/>
          </w:rPr>
          <w:t xml:space="preserve">Article 13</w:t>
        </w:r>
        <w:r>
          <w:rPr>
            <w:rFonts w:ascii="Open Sans" w:cs="Open Sans" w:eastAsia="Open Sans" w:hAnsi="Open Sans"/>
            <w:color w:val="1B1C1C"/>
            <w:sz w:val="19"/>
            <w:szCs w:val="19"/>
          </w:rPr>
          <w:t xml:space="preserve">   Confidentialité</w:t>
        </w:r>
        <w:r>
          <w:rPr>
            <w:rFonts w:ascii="Open Sans" w:cs="Open Sans" w:eastAsia="Open Sans" w:hAnsi="Open Sans"/>
            <w:color w:val="A7B3C6"/>
          </w:rPr>
          <w:tab/>
        </w:r>
        <w:r>
          <w:rPr>
            <w:rFonts w:ascii="Open Sans" w:cs="Open Sans" w:eastAsia="Open Sans" w:hAnsi="Open Sans"/>
            <w:b/>
            <w:bCs/>
            <w:color w:val="21324E"/>
            <w:sz w:val="19"/>
            <w:szCs w:val="19"/>
          </w:rPr>
          <w:t xml:space="preserve">7</w:t>
        </w:r>
      </w:hyperlink>
    </w:p>
    <w:p>
      <w:pPr>
        <w:tabs>
          <w:tab w:val="right" w:pos="9638" w:leader="dot"/>
        </w:tabs>
        <w:spacing w:after="110"/>
      </w:pPr>
      <w:hyperlink w:history="1" w:anchor="cdi_14">
        <w:r>
          <w:rPr>
            <w:rFonts w:ascii="Open Sans" w:cs="Open Sans" w:eastAsia="Open Sans" w:hAnsi="Open Sans"/>
            <w:b/>
            <w:bCs/>
            <w:color w:val="784E61"/>
            <w:sz w:val="19"/>
            <w:szCs w:val="19"/>
          </w:rPr>
          <w:t xml:space="preserve">Article 14</w:t>
        </w:r>
        <w:r>
          <w:rPr>
            <w:rFonts w:ascii="Open Sans" w:cs="Open Sans" w:eastAsia="Open Sans" w:hAnsi="Open Sans"/>
            <w:color w:val="1B1C1C"/>
            <w:sz w:val="19"/>
            <w:szCs w:val="19"/>
          </w:rPr>
          <w:t xml:space="preserve">   Congés payés</w:t>
        </w:r>
        <w:r>
          <w:rPr>
            <w:rFonts w:ascii="Open Sans" w:cs="Open Sans" w:eastAsia="Open Sans" w:hAnsi="Open Sans"/>
            <w:color w:val="A7B3C6"/>
          </w:rPr>
          <w:tab/>
        </w:r>
        <w:r>
          <w:rPr>
            <w:rFonts w:ascii="Open Sans" w:cs="Open Sans" w:eastAsia="Open Sans" w:hAnsi="Open Sans"/>
            <w:b/>
            <w:bCs/>
            <w:color w:val="21324E"/>
            <w:sz w:val="19"/>
            <w:szCs w:val="19"/>
          </w:rPr>
          <w:t xml:space="preserve">7</w:t>
        </w:r>
      </w:hyperlink>
    </w:p>
    <w:p>
      <w:pPr>
        <w:tabs>
          <w:tab w:val="right" w:pos="9638" w:leader="dot"/>
        </w:tabs>
        <w:spacing w:after="110"/>
      </w:pPr>
      <w:hyperlink w:history="1" w:anchor="cdi_15">
        <w:r>
          <w:rPr>
            <w:rFonts w:ascii="Open Sans" w:cs="Open Sans" w:eastAsia="Open Sans" w:hAnsi="Open Sans"/>
            <w:b/>
            <w:bCs/>
            <w:color w:val="784E61"/>
            <w:sz w:val="19"/>
            <w:szCs w:val="19"/>
          </w:rPr>
          <w:t xml:space="preserve">Article 15</w:t>
        </w:r>
        <w:r>
          <w:rPr>
            <w:rFonts w:ascii="Open Sans" w:cs="Open Sans" w:eastAsia="Open Sans" w:hAnsi="Open Sans"/>
            <w:color w:val="1B1C1C"/>
            <w:sz w:val="19"/>
            <w:szCs w:val="19"/>
          </w:rPr>
          <w:t xml:space="preserve">   Ancienneté</w:t>
        </w:r>
        <w:r>
          <w:rPr>
            <w:rFonts w:ascii="Open Sans" w:cs="Open Sans" w:eastAsia="Open Sans" w:hAnsi="Open Sans"/>
            <w:color w:val="A7B3C6"/>
          </w:rPr>
          <w:tab/>
        </w:r>
        <w:r>
          <w:rPr>
            <w:rFonts w:ascii="Open Sans" w:cs="Open Sans" w:eastAsia="Open Sans" w:hAnsi="Open Sans"/>
            <w:b/>
            <w:bCs/>
            <w:color w:val="21324E"/>
            <w:sz w:val="19"/>
            <w:szCs w:val="19"/>
          </w:rPr>
          <w:t xml:space="preserve">7</w:t>
        </w:r>
      </w:hyperlink>
    </w:p>
    <w:p>
      <w:pPr>
        <w:tabs>
          <w:tab w:val="right" w:pos="9638" w:leader="dot"/>
        </w:tabs>
        <w:spacing w:after="110"/>
      </w:pPr>
      <w:hyperlink w:history="1" w:anchor="cdi_16">
        <w:r>
          <w:rPr>
            <w:rFonts w:ascii="Open Sans" w:cs="Open Sans" w:eastAsia="Open Sans" w:hAnsi="Open Sans"/>
            <w:b/>
            <w:bCs/>
            <w:color w:val="784E61"/>
            <w:sz w:val="19"/>
            <w:szCs w:val="19"/>
          </w:rPr>
          <w:t xml:space="preserve">Article 16</w:t>
        </w:r>
        <w:r>
          <w:rPr>
            <w:rFonts w:ascii="Open Sans" w:cs="Open Sans" w:eastAsia="Open Sans" w:hAnsi="Open Sans"/>
            <w:color w:val="1B1C1C"/>
            <w:sz w:val="19"/>
            <w:szCs w:val="19"/>
          </w:rPr>
          <w:t xml:space="preserve">   Protection sociale</w:t>
        </w:r>
        <w:r>
          <w:rPr>
            <w:rFonts w:ascii="Open Sans" w:cs="Open Sans" w:eastAsia="Open Sans" w:hAnsi="Open Sans"/>
            <w:color w:val="A7B3C6"/>
          </w:rPr>
          <w:tab/>
        </w:r>
        <w:r>
          <w:rPr>
            <w:rFonts w:ascii="Open Sans" w:cs="Open Sans" w:eastAsia="Open Sans" w:hAnsi="Open Sans"/>
            <w:b/>
            <w:bCs/>
            <w:color w:val="21324E"/>
            <w:sz w:val="19"/>
            <w:szCs w:val="19"/>
          </w:rPr>
          <w:t xml:space="preserve">7</w:t>
        </w:r>
      </w:hyperlink>
    </w:p>
    <w:p>
      <w:pPr>
        <w:tabs>
          <w:tab w:val="right" w:pos="9638" w:leader="dot"/>
        </w:tabs>
        <w:spacing w:after="110"/>
      </w:pPr>
      <w:hyperlink w:history="1" w:anchor="cdi_17">
        <w:r>
          <w:rPr>
            <w:rFonts w:ascii="Open Sans" w:cs="Open Sans" w:eastAsia="Open Sans" w:hAnsi="Open Sans"/>
            <w:b/>
            <w:bCs/>
            <w:color w:val="784E61"/>
            <w:sz w:val="19"/>
            <w:szCs w:val="19"/>
          </w:rPr>
          <w:t xml:space="preserve">Article 17</w:t>
        </w:r>
        <w:r>
          <w:rPr>
            <w:rFonts w:ascii="Open Sans" w:cs="Open Sans" w:eastAsia="Open Sans" w:hAnsi="Open Sans"/>
            <w:color w:val="1B1C1C"/>
            <w:sz w:val="19"/>
            <w:szCs w:val="19"/>
          </w:rPr>
          <w:t xml:space="preserve">   Garantie financière</w:t>
        </w:r>
        <w:r>
          <w:rPr>
            <w:rFonts w:ascii="Open Sans" w:cs="Open Sans" w:eastAsia="Open Sans" w:hAnsi="Open Sans"/>
            <w:color w:val="A7B3C6"/>
          </w:rPr>
          <w:tab/>
        </w:r>
        <w:r>
          <w:rPr>
            <w:rFonts w:ascii="Open Sans" w:cs="Open Sans" w:eastAsia="Open Sans" w:hAnsi="Open Sans"/>
            <w:b/>
            <w:bCs/>
            <w:color w:val="21324E"/>
            <w:sz w:val="19"/>
            <w:szCs w:val="19"/>
          </w:rPr>
          <w:t xml:space="preserve">7</w:t>
        </w:r>
      </w:hyperlink>
    </w:p>
    <w:p>
      <w:pPr>
        <w:tabs>
          <w:tab w:val="right" w:pos="9638" w:leader="dot"/>
        </w:tabs>
        <w:spacing w:after="110"/>
      </w:pPr>
      <w:hyperlink w:history="1" w:anchor="cdi_18">
        <w:r>
          <w:rPr>
            <w:rFonts w:ascii="Open Sans" w:cs="Open Sans" w:eastAsia="Open Sans" w:hAnsi="Open Sans"/>
            <w:b/>
            <w:bCs/>
            <w:color w:val="784E61"/>
            <w:sz w:val="19"/>
            <w:szCs w:val="19"/>
          </w:rPr>
          <w:t xml:space="preserve">Article 18</w:t>
        </w:r>
        <w:r>
          <w:rPr>
            <w:rFonts w:ascii="Open Sans" w:cs="Open Sans" w:eastAsia="Open Sans" w:hAnsi="Open Sans"/>
            <w:color w:val="1B1C1C"/>
            <w:sz w:val="19"/>
            <w:szCs w:val="19"/>
          </w:rPr>
          <w:t xml:space="preserve">   Assurance</w:t>
        </w:r>
        <w:r>
          <w:rPr>
            <w:rFonts w:ascii="Open Sans" w:cs="Open Sans" w:eastAsia="Open Sans" w:hAnsi="Open Sans"/>
            <w:color w:val="A7B3C6"/>
          </w:rPr>
          <w:tab/>
        </w:r>
        <w:r>
          <w:rPr>
            <w:rFonts w:ascii="Open Sans" w:cs="Open Sans" w:eastAsia="Open Sans" w:hAnsi="Open Sans"/>
            <w:b/>
            <w:bCs/>
            <w:color w:val="21324E"/>
            <w:sz w:val="19"/>
            <w:szCs w:val="19"/>
          </w:rPr>
          <w:t xml:space="preserve">7</w:t>
        </w:r>
      </w:hyperlink>
    </w:p>
    <w:p>
      <w:pPr>
        <w:tabs>
          <w:tab w:val="right" w:pos="9638" w:leader="dot"/>
        </w:tabs>
        <w:spacing w:after="110"/>
      </w:pPr>
      <w:hyperlink w:history="1" w:anchor="cdi_19">
        <w:r>
          <w:rPr>
            <w:rFonts w:ascii="Open Sans" w:cs="Open Sans" w:eastAsia="Open Sans" w:hAnsi="Open Sans"/>
            <w:b/>
            <w:bCs/>
            <w:color w:val="784E61"/>
            <w:sz w:val="19"/>
            <w:szCs w:val="19"/>
          </w:rPr>
          <w:t xml:space="preserve">Article 19</w:t>
        </w:r>
        <w:r>
          <w:rPr>
            <w:rFonts w:ascii="Open Sans" w:cs="Open Sans" w:eastAsia="Open Sans" w:hAnsi="Open Sans"/>
            <w:color w:val="1B1C1C"/>
            <w:sz w:val="19"/>
            <w:szCs w:val="19"/>
          </w:rPr>
          <w:t xml:space="preserve">   Rupture</w:t>
        </w:r>
        <w:r>
          <w:rPr>
            <w:rFonts w:ascii="Open Sans" w:cs="Open Sans" w:eastAsia="Open Sans" w:hAnsi="Open Sans"/>
            <w:color w:val="A7B3C6"/>
          </w:rPr>
          <w:tab/>
        </w:r>
        <w:r>
          <w:rPr>
            <w:rFonts w:ascii="Open Sans" w:cs="Open Sans" w:eastAsia="Open Sans" w:hAnsi="Open Sans"/>
            <w:b/>
            <w:bCs/>
            <w:color w:val="21324E"/>
            <w:sz w:val="19"/>
            <w:szCs w:val="19"/>
          </w:rPr>
          <w:t xml:space="preserve">7</w:t>
        </w:r>
      </w:hyperlink>
    </w:p>
    <w:p>
      <w:pPr>
        <w:tabs>
          <w:tab w:val="right" w:pos="9638" w:leader="dot"/>
        </w:tabs>
        <w:spacing w:after="110"/>
      </w:pPr>
      <w:hyperlink w:history="1" w:anchor="cdi_20">
        <w:r>
          <w:rPr>
            <w:rFonts w:ascii="Open Sans" w:cs="Open Sans" w:eastAsia="Open Sans" w:hAnsi="Open Sans"/>
            <w:b/>
            <w:bCs/>
            <w:color w:val="784E61"/>
            <w:sz w:val="19"/>
            <w:szCs w:val="19"/>
          </w:rPr>
          <w:t xml:space="preserve">Article 20</w:t>
        </w:r>
        <w:r>
          <w:rPr>
            <w:rFonts w:ascii="Open Sans" w:cs="Open Sans" w:eastAsia="Open Sans" w:hAnsi="Open Sans"/>
            <w:color w:val="1B1C1C"/>
            <w:sz w:val="19"/>
            <w:szCs w:val="19"/>
          </w:rPr>
          <w:t xml:space="preserve">   Restitution du matériel</w:t>
        </w:r>
        <w:r>
          <w:rPr>
            <w:rFonts w:ascii="Open Sans" w:cs="Open Sans" w:eastAsia="Open Sans" w:hAnsi="Open Sans"/>
            <w:color w:val="A7B3C6"/>
          </w:rPr>
          <w:tab/>
        </w:r>
        <w:r>
          <w:rPr>
            <w:rFonts w:ascii="Open Sans" w:cs="Open Sans" w:eastAsia="Open Sans" w:hAnsi="Open Sans"/>
            <w:b/>
            <w:bCs/>
            <w:color w:val="21324E"/>
            <w:sz w:val="19"/>
            <w:szCs w:val="19"/>
          </w:rPr>
          <w:t xml:space="preserve">8</w:t>
        </w:r>
      </w:hyperlink>
    </w:p>
    <w:p>
      <w:pPr>
        <w:tabs>
          <w:tab w:val="right" w:pos="9638" w:leader="dot"/>
        </w:tabs>
        <w:spacing w:after="110"/>
      </w:pPr>
      <w:hyperlink w:history="1" w:anchor="cdi_21">
        <w:r>
          <w:rPr>
            <w:rFonts w:ascii="Open Sans" w:cs="Open Sans" w:eastAsia="Open Sans" w:hAnsi="Open Sans"/>
            <w:b/>
            <w:bCs/>
            <w:color w:val="784E61"/>
            <w:sz w:val="19"/>
            <w:szCs w:val="19"/>
          </w:rPr>
          <w:t xml:space="preserve">Article 21</w:t>
        </w:r>
        <w:r>
          <w:rPr>
            <w:rFonts w:ascii="Open Sans" w:cs="Open Sans" w:eastAsia="Open Sans" w:hAnsi="Open Sans"/>
            <w:color w:val="1B1C1C"/>
            <w:sz w:val="19"/>
            <w:szCs w:val="19"/>
          </w:rPr>
          <w:t xml:space="preserve">   Litiges</w:t>
        </w:r>
        <w:r>
          <w:rPr>
            <w:rFonts w:ascii="Open Sans" w:cs="Open Sans" w:eastAsia="Open Sans" w:hAnsi="Open Sans"/>
            <w:color w:val="A7B3C6"/>
          </w:rPr>
          <w:tab/>
        </w:r>
        <w:r>
          <w:rPr>
            <w:rFonts w:ascii="Open Sans" w:cs="Open Sans" w:eastAsia="Open Sans" w:hAnsi="Open Sans"/>
            <w:b/>
            <w:bCs/>
            <w:color w:val="21324E"/>
            <w:sz w:val="19"/>
            <w:szCs w:val="19"/>
          </w:rPr>
          <w:t xml:space="preserve">8</w:t>
        </w:r>
      </w:hyperlink>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21324E" w:color="auto" w:val="clear"/>
            <w:tcMar>
              <w:top w:type="dxa" w:w="320"/>
              <w:left w:type="dxa" w:w="180"/>
              <w:bottom w:type="dxa" w:w="320"/>
              <w:right w:type="dxa" w:w="180"/>
            </w:tcMar>
            <w:vAlign w:val="top"/>
          </w:tcPr>
          <w:p>
            <w:pPr>
              <w:spacing w:after="60"/>
            </w:pPr>
            <w:r>
              <w:rPr>
                <w:rFonts w:ascii="Open Sans" w:cs="Open Sans" w:eastAsia="Open Sans" w:hAnsi="Open Sans"/>
                <w:b/>
                <w:bCs/>
                <w:color w:val="C187A1"/>
                <w:spacing w:val="40"/>
                <w:sz w:val="16"/>
                <w:szCs w:val="16"/>
              </w:rPr>
              <w:t xml:space="preserve">CONTRAT DE TRAVAIL · PORTAGE SALARIAL</w:t>
            </w:r>
          </w:p>
          <w:p>
            <w:pPr>
              <w:spacing w:after="0"/>
            </w:pPr>
            <w:r>
              <w:rPr>
                <w:rFonts w:ascii="Open Sans" w:cs="Open Sans" w:eastAsia="Open Sans" w:hAnsi="Open Sans"/>
                <w:b/>
                <w:bCs/>
                <w:color w:val="FFFFFF"/>
                <w:sz w:val="34"/>
                <w:szCs w:val="34"/>
              </w:rPr>
              <w:t xml:space="preserve">Contrat de travail en portage salarial</w:t>
            </w:r>
          </w:p>
          <w:p>
            <w:pPr>
              <w:spacing w:after="40"/>
            </w:pPr>
            <w:r>
              <w:rPr>
                <w:rFonts w:ascii="Open Sans" w:cs="Open Sans" w:eastAsia="Open Sans" w:hAnsi="Open Sans"/>
                <w:b/>
                <w:bCs/>
                <w:color w:val="C187A1"/>
                <w:sz w:val="34"/>
                <w:szCs w:val="34"/>
              </w:rPr>
              <w:t xml:space="preserve">à durée indéterminée</w:t>
            </w:r>
          </w:p>
        </w:tc>
      </w:tr>
    </w:tbl>
    <w:p>
      <w:pPr>
        <w:spacing w:after="120" w:before="0" w:line="276"/>
        <w:jc w:val="both"/>
      </w:pPr>
    </w:p>
    <w:p>
      <w:pPr>
        <w:spacing w:after="160"/>
      </w:pPr>
      <w:r>
        <w:rPr>
          <w:rFonts w:ascii="Open Sans" w:cs="Open Sans" w:eastAsia="Open Sans" w:hAnsi="Open Sans"/>
          <w:b/>
          <w:bCs/>
          <w:color w:val="21324E"/>
          <w:spacing w:val="20"/>
          <w:sz w:val="20"/>
          <w:szCs w:val="20"/>
        </w:rPr>
        <w:t xml:space="preserve">ENTRE LES SOUSSIGNÉS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9"/>
        <w:gridCol w:w="100"/>
        <w:gridCol w:w="4769"/>
      </w:tblGrid>
      <w:tr>
        <w:tc>
          <w:tcPr>
            <w:tcW w:type="dxa" w:w="4769"/>
            <w:tcBorders>
              <w:top w:val="none" w:color="FFFFFF" w:sz="0"/>
              <w:left w:val="none" w:color="FFFFFF" w:sz="0"/>
              <w:bottom w:val="none" w:color="FFFFFF" w:sz="0"/>
              <w:right w:val="none" w:color="FFFFFF" w:sz="0"/>
            </w:tcBorders>
            <w:shd w:fill="F1F4F7" w:color="auto" w:val="clear"/>
            <w:tcMar>
              <w:top w:type="dxa" w:w="140"/>
              <w:left w:type="dxa" w:w="180"/>
              <w:bottom w:type="dxa" w:w="140"/>
              <w:right w:type="dxa" w:w="180"/>
            </w:tcMar>
            <w:vAlign w:val="top"/>
          </w:tcPr>
          <w:p>
            <w:pPr>
              <w:spacing w:after="80"/>
            </w:pPr>
            <w:r>
              <w:rPr>
                <w:rFonts w:ascii="Open Sans" w:cs="Open Sans" w:eastAsia="Open Sans" w:hAnsi="Open Sans"/>
                <w:b/>
                <w:bCs/>
                <w:color w:val="784E61"/>
                <w:spacing w:val="30"/>
                <w:sz w:val="16"/>
                <w:szCs w:val="16"/>
              </w:rPr>
              <w:t xml:space="preserve">L'ENTREPRISE DE PORTAGE SALARIAL</w:t>
            </w:r>
          </w:p>
          <w:p>
            <w:pPr>
              <w:spacing w:after="120" w:before="0" w:line="276"/>
              <w:jc w:val="left"/>
            </w:pPr>
            <w:r>
              <w:rPr>
                <w:rFonts w:ascii="Open Sans" w:cs="Open Sans" w:eastAsia="Open Sans" w:hAnsi="Open Sans"/>
              </w:rPr>
              <w:t xml:space="preserve">La société </w:t>
            </w:r>
            <w:r>
              <w:rPr>
                <w:rFonts w:ascii="Open Sans" w:cs="Open Sans" w:eastAsia="Open Sans" w:hAnsi="Open Sans"/>
                <w:b/>
                <w:bCs/>
              </w:rPr>
              <w:t xml:space="preserve">HT Portage</w:t>
            </w:r>
            <w:r>
              <w:rPr>
                <w:rFonts w:ascii="Open Sans" w:cs="Open Sans" w:eastAsia="Open Sans" w:hAnsi="Open Sans"/>
              </w:rPr>
              <w:t xml:space="preserve">, au capital de 100 000,00 euros, immatriculée au Registre du Commerce et des Sociétés de Nanterre sous le numéro 993 218 007, dont le siège social est situé 34 rue Pasteur, 92270 Bois-Colombes,</w:t>
            </w:r>
          </w:p>
          <w:p>
            <w:pPr>
              <w:spacing w:after="120" w:before="0" w:line="276"/>
              <w:jc w:val="left"/>
            </w:pPr>
            <w:r>
              <w:rPr>
                <w:rFonts w:ascii="Open Sans" w:cs="Open Sans" w:eastAsia="Open Sans" w:hAnsi="Open Sans"/>
              </w:rPr>
              <w:t xml:space="preserve">représentée par SARL Wadi ESSAFI, en sa qualité de Président,</w:t>
            </w:r>
          </w:p>
          <w:p>
            <w:pPr>
              <w:spacing w:after="0" w:before="0" w:line="276"/>
              <w:jc w:val="left"/>
            </w:pPr>
            <w:r>
              <w:rPr>
                <w:rFonts w:ascii="Open Sans" w:cs="Open Sans" w:eastAsia="Open Sans" w:hAnsi="Open Sans"/>
              </w:rPr>
              <w:t xml:space="preserve">ci-après dénommée « l’Entreprise de Portage Salarial » ou « l’EPS »,</w:t>
            </w:r>
          </w:p>
        </w:tc>
        <w:tc>
          <w:tcPr>
            <w:tcW w:type="dxa" w:w="100"/>
            <w:tcBorders>
              <w:top w:val="none" w:color="FFFFFF" w:sz="0"/>
              <w:left w:val="none" w:color="FFFFFF" w:sz="0"/>
              <w:bottom w:val="none" w:color="FFFFFF" w:sz="0"/>
              <w:right w:val="none" w:color="FFFFFF" w:sz="0"/>
            </w:tcBorders>
            <w:tcMar>
              <w:top w:type="dxa" w:w="140"/>
              <w:left w:type="dxa" w:w="180"/>
              <w:bottom w:type="dxa" w:w="140"/>
              <w:right w:type="dxa" w:w="180"/>
            </w:tcMar>
            <w:vAlign w:val="top"/>
          </w:tcPr>
          <w:p/>
        </w:tc>
        <w:tc>
          <w:tcPr>
            <w:tcW w:type="dxa" w:w="4769"/>
            <w:tcBorders>
              <w:top w:val="none" w:color="FFFFFF" w:sz="0"/>
              <w:left w:val="none" w:color="FFFFFF" w:sz="0"/>
              <w:bottom w:val="none" w:color="FFFFFF" w:sz="0"/>
              <w:right w:val="none" w:color="FFFFFF" w:sz="0"/>
            </w:tcBorders>
            <w:shd w:fill="F1F4F7" w:color="auto" w:val="clear"/>
            <w:tcMar>
              <w:top w:type="dxa" w:w="140"/>
              <w:left w:type="dxa" w:w="180"/>
              <w:bottom w:type="dxa" w:w="140"/>
              <w:right w:type="dxa" w:w="180"/>
            </w:tcMar>
            <w:vAlign w:val="top"/>
          </w:tcPr>
          <w:p>
            <w:pPr>
              <w:spacing w:after="80"/>
            </w:pPr>
            <w:r>
              <w:rPr>
                <w:rFonts w:ascii="Open Sans" w:cs="Open Sans" w:eastAsia="Open Sans" w:hAnsi="Open Sans"/>
                <w:b/>
                <w:bCs/>
                <w:color w:val="784E61"/>
                <w:spacing w:val="30"/>
                <w:sz w:val="16"/>
                <w:szCs w:val="16"/>
              </w:rPr>
              <w:t xml:space="preserve">LE SALARIÉ PORTÉ</w:t>
            </w:r>
          </w:p>
          <w:p>
            <w:pPr>
              <w:spacing w:after="100" w:before="0" w:line="276"/>
              <w:jc w:val="left"/>
            </w:pPr>
            <w:r>
              <w:rPr>
                <w:rFonts w:ascii="Open Sans" w:cs="Open Sans" w:eastAsia="Open Sans" w:hAnsi="Open Sans"/>
              </w:rPr>
              <w:t xml:space="preserve">[[case_m]] Monsieur    [[case_mme]] Madame</w:t>
            </w:r>
          </w:p>
          <w:p>
            <w:pPr>
              <w:spacing w:after="100" w:line="276"/>
            </w:pPr>
            <w:r>
              <w:rPr>
                <w:rFonts w:ascii="Open Sans" w:cs="Open Sans" w:eastAsia="Open Sans" w:hAnsi="Open Sans"/>
                <w:b w:val="false"/>
                <w:bCs w:val="false"/>
                <w:color w:val="1B1C1C"/>
              </w:rPr>
              <w:t xml:space="preserve">Nom et prénom : </w:t>
            </w:r>
            <w:r>
              <w:rPr>
                <w:rFonts w:ascii="Open Sans" w:cs="Open Sans" w:eastAsia="Open Sans" w:hAnsi="Open Sans"/>
                <w:color w:val="1B1C1C"/>
              </w:rPr>
              <w:t xml:space="preserve">[[salarie_nom]]</w:t>
            </w:r>
          </w:p>
          <w:p>
            <w:pPr>
              <w:spacing w:after="100" w:line="276"/>
            </w:pPr>
            <w:r>
              <w:rPr>
                <w:rFonts w:ascii="Open Sans" w:cs="Open Sans" w:eastAsia="Open Sans" w:hAnsi="Open Sans"/>
                <w:b w:val="false"/>
                <w:bCs w:val="false"/>
                <w:color w:val="1B1C1C"/>
              </w:rPr>
              <w:t xml:space="preserve">Né(e) le : </w:t>
            </w:r>
            <w:r>
              <w:rPr>
                <w:rFonts w:ascii="Open Sans" w:cs="Open Sans" w:eastAsia="Open Sans" w:hAnsi="Open Sans"/>
                <w:color w:val="1B1C1C"/>
              </w:rPr>
              <w:t xml:space="preserve">[[date_naissance]]</w:t>
            </w:r>
          </w:p>
          <w:p>
            <w:pPr>
              <w:spacing w:after="100" w:line="276"/>
            </w:pPr>
            <w:r>
              <w:rPr>
                <w:rFonts w:ascii="Open Sans" w:cs="Open Sans" w:eastAsia="Open Sans" w:hAnsi="Open Sans"/>
                <w:b w:val="false"/>
                <w:bCs w:val="false"/>
                <w:color w:val="1B1C1C"/>
              </w:rPr>
              <w:t xml:space="preserve">à : </w:t>
            </w:r>
            <w:r>
              <w:rPr>
                <w:rFonts w:ascii="Open Sans" w:cs="Open Sans" w:eastAsia="Open Sans" w:hAnsi="Open Sans"/>
                <w:color w:val="1B1C1C"/>
              </w:rPr>
              <w:t xml:space="preserve">[[lieu_naissance]]</w:t>
            </w:r>
          </w:p>
          <w:p>
            <w:pPr>
              <w:spacing w:after="100" w:line="276"/>
            </w:pPr>
            <w:r>
              <w:rPr>
                <w:rFonts w:ascii="Open Sans" w:cs="Open Sans" w:eastAsia="Open Sans" w:hAnsi="Open Sans"/>
                <w:b w:val="false"/>
                <w:bCs w:val="false"/>
                <w:color w:val="1B1C1C"/>
              </w:rPr>
              <w:t xml:space="preserve">Nationalité : </w:t>
            </w:r>
            <w:r>
              <w:rPr>
                <w:rFonts w:ascii="Open Sans" w:cs="Open Sans" w:eastAsia="Open Sans" w:hAnsi="Open Sans"/>
                <w:color w:val="1B1C1C"/>
              </w:rPr>
              <w:t xml:space="preserve">[[nationalite]]</w:t>
            </w:r>
          </w:p>
          <w:p>
            <w:pPr>
              <w:spacing w:after="100" w:line="276"/>
            </w:pPr>
            <w:r>
              <w:rPr>
                <w:rFonts w:ascii="Open Sans" w:cs="Open Sans" w:eastAsia="Open Sans" w:hAnsi="Open Sans"/>
                <w:b w:val="false"/>
                <w:bCs w:val="false"/>
                <w:color w:val="1B1C1C"/>
              </w:rPr>
              <w:t xml:space="preserve">Demeurant : </w:t>
            </w:r>
            <w:r>
              <w:rPr>
                <w:rFonts w:ascii="Open Sans" w:cs="Open Sans" w:eastAsia="Open Sans" w:hAnsi="Open Sans"/>
                <w:color w:val="1B1C1C"/>
              </w:rPr>
              <w:t xml:space="preserve">[[adresse]]</w:t>
            </w:r>
          </w:p>
          <w:p>
            <w:pPr>
              <w:spacing w:after="100" w:line="276"/>
            </w:pPr>
            <w:r>
              <w:rPr>
                <w:rFonts w:ascii="Open Sans" w:cs="Open Sans" w:eastAsia="Open Sans" w:hAnsi="Open Sans"/>
                <w:b w:val="false"/>
                <w:bCs w:val="false"/>
                <w:color w:val="1B1C1C"/>
              </w:rPr>
              <w:t xml:space="preserve"/>
            </w:r>
            <w:r>
              <w:rPr>
                <w:rFonts w:ascii="Open Sans" w:cs="Open Sans" w:eastAsia="Open Sans" w:hAnsi="Open Sans"/>
                <w:color w:val="1B1C1C"/>
              </w:rPr>
              <w:t xml:space="preserve">[[adresse_ville]]</w:t>
            </w:r>
          </w:p>
          <w:p>
            <w:pPr>
              <w:spacing w:after="100" w:line="276"/>
            </w:pPr>
            <w:r>
              <w:rPr>
                <w:rFonts w:ascii="Open Sans" w:cs="Open Sans" w:eastAsia="Open Sans" w:hAnsi="Open Sans"/>
                <w:b w:val="false"/>
                <w:bCs w:val="false"/>
                <w:color w:val="1B1C1C"/>
              </w:rPr>
              <w:t xml:space="preserve">N° de sécurité sociale : </w:t>
            </w:r>
            <w:r>
              <w:rPr>
                <w:rFonts w:ascii="Open Sans" w:cs="Open Sans" w:eastAsia="Open Sans" w:hAnsi="Open Sans"/>
                <w:color w:val="1B1C1C"/>
              </w:rPr>
              <w:t xml:space="preserve">[[num_secu]]</w:t>
            </w:r>
          </w:p>
          <w:p>
            <w:pPr>
              <w:spacing w:after="0" w:before="0" w:line="276"/>
              <w:jc w:val="left"/>
            </w:pPr>
            <w:r>
              <w:rPr>
                <w:rFonts w:ascii="Open Sans" w:cs="Open Sans" w:eastAsia="Open Sans" w:hAnsi="Open Sans"/>
              </w:rPr>
              <w:t xml:space="preserve">ci-après dénommé(e) « le Salarié porté ».</w:t>
            </w:r>
          </w:p>
        </w:tc>
      </w:tr>
    </w:tbl>
    <w:p>
      <w:pPr>
        <w:spacing w:after="120" w:before="160" w:line="276"/>
        <w:jc w:val="both"/>
      </w:pPr>
      <w:r>
        <w:rPr>
          <w:rFonts w:ascii="Open Sans" w:cs="Open Sans" w:eastAsia="Open Sans" w:hAnsi="Open Sans"/>
        </w:rPr>
        <w:t xml:space="preserve">L’EPS et le Salarié porté sont ci-après dénommés ensemble les « Parties ».</w:t>
      </w:r>
    </w:p>
    <w:p>
      <w:pPr>
        <w:keepNext/>
        <w:keepLines/>
        <w:pBdr>
          <w:bottom w:val="single" w:color="C187A1" w:sz="6" w:space="4"/>
        </w:pBdr>
        <w:spacing w:after="120" w:before="300"/>
      </w:pPr>
      <w:bookmarkStart w:name="cdi_pre" w:id="1"/>
      <w:r>
        <w:rPr>
          <w:rFonts w:ascii="Open Sans" w:cs="Open Sans" w:eastAsia="Open Sans" w:hAnsi="Open Sans"/>
          <w:b/>
          <w:bCs/>
          <w:color w:val="784E61"/>
          <w:spacing w:val="20"/>
          <w:sz w:val="18"/>
          <w:szCs w:val="18"/>
        </w:rPr>
        <w:t xml:space="preserve"/>
      </w:r>
      <w:r>
        <w:rPr>
          <w:rFonts w:ascii="Open Sans" w:cs="Open Sans" w:eastAsia="Open Sans" w:hAnsi="Open Sans"/>
          <w:b/>
          <w:bCs/>
          <w:color w:val="21324E"/>
          <w:spacing w:val="10"/>
          <w:sz w:val="21"/>
          <w:szCs w:val="21"/>
        </w:rPr>
        <w:t xml:space="preserve">PRÉAMBULE</w:t>
      </w:r>
      <w:bookmarkEnd w:id="1"/>
    </w:p>
    <w:p>
      <w:pPr>
        <w:spacing w:after="120" w:before="0" w:line="276"/>
        <w:jc w:val="both"/>
      </w:pPr>
      <w:r>
        <w:rPr>
          <w:rFonts w:ascii="Open Sans" w:cs="Open Sans" w:eastAsia="Open Sans" w:hAnsi="Open Sans"/>
        </w:rPr>
        <w:t xml:space="preserve">L’EPS est une entreprise exerçant l’activité de portage salarial au sens des articles L.1254-1 et suivants du Code du travail. Elle relève de la Convention collective de branche des salariés en portage salarial (IDCC 3219).</w:t>
      </w:r>
    </w:p>
    <w:p>
      <w:pPr>
        <w:spacing w:after="120" w:before="0" w:line="276"/>
        <w:jc w:val="both"/>
      </w:pPr>
      <w:r>
        <w:rPr>
          <w:rFonts w:ascii="Open Sans" w:cs="Open Sans" w:eastAsia="Open Sans" w:hAnsi="Open Sans"/>
        </w:rPr>
        <w:t xml:space="preserve">Le Salarié porté est un professionnel autonome exerçant son activité dans le cadre du portage salarial. Il justifie d’une expertise lui permettant de rechercher ses clients et de négocier ses prestations.</w:t>
      </w:r>
    </w:p>
    <w:p>
      <w:pPr>
        <w:keepNext/>
        <w:keepLines/>
        <w:pBdr>
          <w:bottom w:val="single" w:color="C187A1" w:sz="6" w:space="4"/>
        </w:pBdr>
        <w:spacing w:after="120" w:before="300"/>
      </w:pPr>
      <w:bookmarkStart w:name="cdi_1" w:id="2"/>
      <w:r>
        <w:rPr>
          <w:rFonts w:ascii="Open Sans" w:cs="Open Sans" w:eastAsia="Open Sans" w:hAnsi="Open Sans"/>
          <w:b/>
          <w:bCs/>
          <w:color w:val="784E61"/>
          <w:spacing w:val="20"/>
          <w:sz w:val="18"/>
          <w:szCs w:val="18"/>
        </w:rPr>
        <w:t xml:space="preserve">ARTICLE 1  </w:t>
      </w:r>
      <w:r>
        <w:rPr>
          <w:rFonts w:ascii="Open Sans" w:cs="Open Sans" w:eastAsia="Open Sans" w:hAnsi="Open Sans"/>
          <w:b/>
          <w:bCs/>
          <w:color w:val="21324E"/>
          <w:spacing w:val="10"/>
          <w:sz w:val="21"/>
          <w:szCs w:val="21"/>
        </w:rPr>
        <w:t xml:space="preserve">ENGAGEMENT</w:t>
      </w:r>
      <w:bookmarkEnd w:id="2"/>
    </w:p>
    <w:p>
      <w:pPr>
        <w:spacing w:after="120" w:before="0" w:line="276"/>
        <w:jc w:val="both"/>
      </w:pPr>
      <w:r>
        <w:rPr>
          <w:rFonts w:ascii="Open Sans" w:cs="Open Sans" w:eastAsia="Open Sans" w:hAnsi="Open Sans"/>
        </w:rPr>
        <w:t xml:space="preserve">Le Salarié porté est engagé en qualité de </w:t>
      </w:r>
      <w:r>
        <w:rPr>
          <w:rFonts w:ascii="Open Sans" w:cs="Open Sans" w:eastAsia="Open Sans" w:hAnsi="Open Sans"/>
          <w:b/>
          <w:bCs/>
        </w:rPr>
        <w:t xml:space="preserve">Consultant</w:t>
      </w:r>
      <w:r>
        <w:rPr>
          <w:rFonts w:ascii="Open Sans" w:cs="Open Sans" w:eastAsia="Open Sans" w:hAnsi="Open Sans"/>
        </w:rPr>
        <w:t xml:space="preserve">, statut cadre, à compter du </w:t>
      </w:r>
      <w:r>
        <w:rPr>
          <w:rFonts w:ascii="Open Sans" w:cs="Open Sans" w:eastAsia="Open Sans" w:hAnsi="Open Sans"/>
        </w:rPr>
        <w:t xml:space="preserve">[[date_effet]]</w:t>
      </w:r>
      <w:r>
        <w:rPr>
          <w:rFonts w:ascii="Open Sans" w:cs="Open Sans" w:eastAsia="Open Sans" w:hAnsi="Open Sans"/>
        </w:rPr>
        <w:t xml:space="preserve">.</w:t>
      </w:r>
    </w:p>
    <w:p>
      <w:pPr>
        <w:keepNext/>
        <w:keepLines/>
        <w:pBdr>
          <w:bottom w:val="single" w:color="C187A1" w:sz="6" w:space="4"/>
        </w:pBdr>
        <w:spacing w:after="120" w:before="300"/>
      </w:pPr>
      <w:bookmarkStart w:name="cdi_2" w:id="3"/>
      <w:r>
        <w:rPr>
          <w:rFonts w:ascii="Open Sans" w:cs="Open Sans" w:eastAsia="Open Sans" w:hAnsi="Open Sans"/>
          <w:b/>
          <w:bCs/>
          <w:color w:val="784E61"/>
          <w:spacing w:val="20"/>
          <w:sz w:val="18"/>
          <w:szCs w:val="18"/>
        </w:rPr>
        <w:t xml:space="preserve">ARTICLE 2  </w:t>
      </w:r>
      <w:r>
        <w:rPr>
          <w:rFonts w:ascii="Open Sans" w:cs="Open Sans" w:eastAsia="Open Sans" w:hAnsi="Open Sans"/>
          <w:b/>
          <w:bCs/>
          <w:color w:val="21324E"/>
          <w:spacing w:val="10"/>
          <w:sz w:val="21"/>
          <w:szCs w:val="21"/>
        </w:rPr>
        <w:t xml:space="preserve">DROITS ET OBLIGATIONS</w:t>
      </w:r>
      <w:bookmarkEnd w:id="3"/>
    </w:p>
    <w:p>
      <w:pPr>
        <w:spacing w:after="120" w:before="0" w:line="276"/>
        <w:jc w:val="both"/>
      </w:pPr>
      <w:r>
        <w:rPr>
          <w:rFonts w:ascii="Open Sans" w:cs="Open Sans" w:eastAsia="Open Sans" w:hAnsi="Open Sans"/>
        </w:rPr>
        <w:t xml:space="preserve">Conformément à l’article L.1254-2, III du Code du travail, l’EPS n’est pas tenue de fournir du travail au Salarié porté. En conséquence, le Salarié porté s’engage à rechercher activement de nouvelles prestations, sans attendre la fin de la mission en cours.</w:t>
      </w:r>
    </w:p>
    <w:p>
      <w:pPr>
        <w:spacing w:after="120" w:before="0" w:line="276"/>
        <w:jc w:val="both"/>
      </w:pPr>
      <w:r>
        <w:rPr>
          <w:rFonts w:ascii="Open Sans" w:cs="Open Sans" w:eastAsia="Open Sans" w:hAnsi="Open Sans"/>
        </w:rPr>
        <w:t xml:space="preserve">En cas d’absence de prestation, le contrat de travail est maintenu dans les conditions prévues par la législation et la convention collective applicable, sans garantie de rémunération en l’absence d’activité.</w:t>
      </w:r>
    </w:p>
    <w:p>
      <w:pPr>
        <w:spacing w:after="120" w:before="0" w:line="276"/>
        <w:jc w:val="both"/>
      </w:pPr>
      <w:r>
        <w:rPr>
          <w:rFonts w:ascii="Open Sans" w:cs="Open Sans" w:eastAsia="Open Sans" w:hAnsi="Open Sans"/>
        </w:rPr>
        <w:t xml:space="preserve">Si, à l’issue d’une période continue de trois (3) mois sans prestation, aucune nouvelle mission n’a été conclue, cette situation caractérise une absence durable d’activité. L’EPS pourra alors engager une procédure de rupture du contrat de travail conformément aux dispositions légales et conventionnelles en vigueur, cette absence prolongée d’activité constituant un motif réel et sérieux. Le Salarié porté conserve la faculté de solliciter toute autre modalité de rupture du contrat de travail.</w:t>
      </w:r>
    </w:p>
    <w:p>
      <w:pPr>
        <w:keepNext/>
        <w:spacing w:after="120" w:before="0" w:line="276"/>
        <w:jc w:val="both"/>
      </w:pPr>
      <w:r>
        <w:rPr>
          <w:rFonts w:ascii="Open Sans" w:cs="Open Sans" w:eastAsia="Open Sans" w:hAnsi="Open Sans"/>
        </w:rPr>
        <w:t xml:space="preserve">Le Salarié porté est informé que chaque prestation :</w:t>
      </w:r>
    </w:p>
    <w:p>
      <w:pPr>
        <w:pStyle w:val="ListParagraph"/>
        <w:numPr>
          <w:ilvl w:val="0"/>
          <w:numId w:val="2"/>
        </w:numPr>
        <w:spacing w:after="80" w:line="276"/>
        <w:jc w:val="both"/>
      </w:pPr>
      <w:r>
        <w:rPr>
          <w:rFonts w:ascii="Open Sans" w:cs="Open Sans" w:eastAsia="Open Sans" w:hAnsi="Open Sans"/>
        </w:rPr>
        <w:t xml:space="preserve">ne peut avoir pour objet que l’exécution d’une tâche occasionnelle ne relevant pas de l’activité normale et permanente de l’entreprise cliente, ou une prestation ponctuelle nécessitant une expertise dont elle ne dispose pas ;</w:t>
      </w:r>
    </w:p>
    <w:p>
      <w:pPr>
        <w:pStyle w:val="ListParagraph"/>
        <w:numPr>
          <w:ilvl w:val="0"/>
          <w:numId w:val="2"/>
        </w:numPr>
        <w:spacing w:after="80" w:line="276"/>
        <w:jc w:val="both"/>
      </w:pPr>
      <w:r>
        <w:rPr>
          <w:rFonts w:ascii="Open Sans" w:cs="Open Sans" w:eastAsia="Open Sans" w:hAnsi="Open Sans"/>
        </w:rPr>
        <w:t xml:space="preserve">ne peut avoir pour objet ni de remplacer un salarié dont le contrat de travail est suspendu à la suite d’un conflit collectif de travail, ni d’effectuer certains travaux particulièrement dangereux figurant sur la liste prévue à l’article L.4154-1 du Code du travail, sauf dérogation prévue au même article ;</w:t>
      </w:r>
    </w:p>
    <w:p>
      <w:pPr>
        <w:pStyle w:val="ListParagraph"/>
        <w:numPr>
          <w:ilvl w:val="0"/>
          <w:numId w:val="2"/>
        </w:numPr>
        <w:spacing w:after="80" w:line="276"/>
        <w:jc w:val="both"/>
      </w:pPr>
      <w:r>
        <w:rPr>
          <w:rFonts w:ascii="Open Sans" w:cs="Open Sans" w:eastAsia="Open Sans" w:hAnsi="Open Sans"/>
        </w:rPr>
        <w:t xml:space="preserve">ne peut excéder une durée de trente-six (36) mois ;</w:t>
      </w:r>
    </w:p>
    <w:p>
      <w:pPr>
        <w:pStyle w:val="ListParagraph"/>
        <w:numPr>
          <w:ilvl w:val="0"/>
          <w:numId w:val="2"/>
        </w:numPr>
        <w:spacing w:after="80" w:line="276"/>
        <w:jc w:val="both"/>
      </w:pPr>
      <w:r>
        <w:rPr>
          <w:rFonts w:ascii="Open Sans" w:cs="Open Sans" w:eastAsia="Open Sans" w:hAnsi="Open Sans"/>
        </w:rPr>
        <w:t xml:space="preserve">ne peut avoir pour objet les activités de services à la personne mentionnées à l’article L.7231-1 du Code du travail.</w:t>
      </w:r>
    </w:p>
    <w:p>
      <w:pPr>
        <w:spacing w:after="120" w:before="80" w:line="276"/>
        <w:jc w:val="both"/>
      </w:pPr>
      <w:r>
        <w:rPr>
          <w:rFonts w:ascii="Open Sans" w:cs="Open Sans" w:eastAsia="Open Sans" w:hAnsi="Open Sans"/>
        </w:rPr>
        <w:t xml:space="preserve">Le Salarié porté convient avec chaque entreprise cliente des conditions d’exécution de la prestation, de son prix et de ses modalités de paiement. Le prix doit lui permettre de percevoir la rémunération minimale définie à l’article 21.3 de la convention collective applicable, pour le nombre d’heures de travail nécessaires à l’accomplissement de la prestation. Cette rémunération minimale intègre le salaire de base, l’indemnité mensuelle de congés payés et la prime d’apport d’affaires ; s’y ajoute la réserve financière définie au même article.</w:t>
      </w:r>
    </w:p>
    <w:p>
      <w:pPr>
        <w:spacing w:after="120" w:before="0" w:line="276"/>
        <w:jc w:val="both"/>
      </w:pPr>
      <w:r>
        <w:rPr>
          <w:rFonts w:ascii="Open Sans" w:cs="Open Sans" w:eastAsia="Open Sans" w:hAnsi="Open Sans"/>
        </w:rPr>
        <w:t xml:space="preserve">Le Salarié porté s’engage à fournir à l’EPS tous les éléments permettant d’établir chaque contrat commercial de prestation de portage salarial. L’EPS peut refuser un contrat commercial si un ou plusieurs éléments transmis ou omis ne permettent pas sa mise en place conformément aux dispositions légales ou conventionnelles, ou si les conditions négociées lui font prendre un risque qu’elle ne peut assumer.</w:t>
      </w:r>
    </w:p>
    <w:p>
      <w:pPr>
        <w:spacing w:after="120" w:before="0" w:line="276"/>
        <w:jc w:val="both"/>
      </w:pPr>
      <w:r>
        <w:rPr>
          <w:rFonts w:ascii="Open Sans" w:cs="Open Sans" w:eastAsia="Open Sans" w:hAnsi="Open Sans"/>
        </w:rPr>
        <w:t xml:space="preserve">Le Salarié porté s’engage à fournir un compte-rendu d’activité écrit au moins une fois par mois, comme indiqué à l’article 4, et à mener à son terme chaque prestation selon les termes et conditions du contrat commercial qu’il a négocié.</w:t>
      </w:r>
    </w:p>
    <w:p>
      <w:pPr>
        <w:spacing w:after="120" w:before="0" w:line="276"/>
        <w:jc w:val="both"/>
      </w:pPr>
      <w:r>
        <w:rPr>
          <w:rFonts w:ascii="Open Sans" w:cs="Open Sans" w:eastAsia="Open Sans" w:hAnsi="Open Sans"/>
        </w:rPr>
        <w:t xml:space="preserve">Il s’engage à informer l’EPS de toute difficulté rencontrée dans la réalisation d’une prestation, notamment de tout événement susceptible d’en compromettre l’exécution ou la facturation. En cas de renégociation du prix avec l’entreprise cliente, il en informe l’EPS dans les 48 heures afin de lui permettre d’établir, le cas échéant, un avenant au contrat commercial.</w:t>
      </w:r>
    </w:p>
    <w:p>
      <w:pPr>
        <w:spacing w:after="120" w:before="0" w:line="276"/>
        <w:jc w:val="both"/>
      </w:pPr>
      <w:r>
        <w:rPr>
          <w:rFonts w:ascii="Open Sans" w:cs="Open Sans" w:eastAsia="Open Sans" w:hAnsi="Open Sans"/>
        </w:rPr>
        <w:t xml:space="preserve">L’EPS est assurée pour les dommages provoqués par le Salarié porté dans l’entreprise cliente pendant l’exécution de la prestation.</w:t>
      </w:r>
    </w:p>
    <w:p>
      <w:pPr>
        <w:keepNext/>
        <w:keepLines/>
        <w:pBdr>
          <w:bottom w:val="single" w:color="C187A1" w:sz="6" w:space="4"/>
        </w:pBdr>
        <w:spacing w:after="120" w:before="300"/>
      </w:pPr>
      <w:bookmarkStart w:name="cdi_3" w:id="4"/>
      <w:r>
        <w:rPr>
          <w:rFonts w:ascii="Open Sans" w:cs="Open Sans" w:eastAsia="Open Sans" w:hAnsi="Open Sans"/>
          <w:b/>
          <w:bCs/>
          <w:color w:val="784E61"/>
          <w:spacing w:val="20"/>
          <w:sz w:val="18"/>
          <w:szCs w:val="18"/>
        </w:rPr>
        <w:t xml:space="preserve">ARTICLE 3  </w:t>
      </w:r>
      <w:r>
        <w:rPr>
          <w:rFonts w:ascii="Open Sans" w:cs="Open Sans" w:eastAsia="Open Sans" w:hAnsi="Open Sans"/>
          <w:b/>
          <w:bCs/>
          <w:color w:val="21324E"/>
          <w:spacing w:val="10"/>
          <w:sz w:val="21"/>
          <w:szCs w:val="21"/>
        </w:rPr>
        <w:t xml:space="preserve">COMPÉTENCES</w:t>
      </w:r>
      <w:bookmarkEnd w:id="4"/>
    </w:p>
    <w:p>
      <w:pPr>
        <w:keepNext/>
        <w:spacing w:after="120" w:before="0" w:line="276"/>
        <w:jc w:val="both"/>
      </w:pPr>
      <w:r>
        <w:rPr>
          <w:rFonts w:ascii="Open Sans" w:cs="Open Sans" w:eastAsia="Open Sans" w:hAnsi="Open Sans"/>
        </w:rPr>
        <w:t xml:space="preserve">Le Salarié porté dispose des compétences et domaines d’expertise suivants, tels que définis par la convention collective, en adéquation avec les prestations :</w:t>
      </w:r>
    </w:p>
    <w:p>
      <w:pPr>
        <w:spacing w:after="120" w:before="0" w:line="276"/>
        <w:jc w:val="both"/>
      </w:pPr>
      <w:r>
        <w:rPr>
          <w:rFonts w:ascii="Open Sans" w:cs="Open Sans" w:eastAsia="Open Sans" w:hAnsi="Open Sans"/>
        </w:rPr>
        <w:t xml:space="preserve">[[competences]]</w:t>
      </w:r>
    </w:p>
    <w:p>
      <w:pPr>
        <w:spacing w:after="120" w:before="80" w:line="276"/>
        <w:jc w:val="both"/>
      </w:pPr>
      <w:r>
        <w:rPr>
          <w:rFonts w:ascii="Open Sans" w:cs="Open Sans" w:eastAsia="Open Sans" w:hAnsi="Open Sans"/>
        </w:rPr>
        <w:t xml:space="preserve">Ces compétences s’accompagnent nécessairement d’une autonomie dans la négociation des prestations avec la ou les entreprises clientes et dans leur exécution.</w:t>
      </w:r>
    </w:p>
    <w:p>
      <w:pPr>
        <w:keepNext/>
        <w:keepLines/>
        <w:pBdr>
          <w:bottom w:val="single" w:color="C187A1" w:sz="6" w:space="4"/>
        </w:pBdr>
        <w:spacing w:after="120" w:before="300"/>
      </w:pPr>
      <w:bookmarkStart w:name="cdi_4" w:id="5"/>
      <w:r>
        <w:rPr>
          <w:rFonts w:ascii="Open Sans" w:cs="Open Sans" w:eastAsia="Open Sans" w:hAnsi="Open Sans"/>
          <w:b/>
          <w:bCs/>
          <w:color w:val="784E61"/>
          <w:spacing w:val="20"/>
          <w:sz w:val="18"/>
          <w:szCs w:val="18"/>
        </w:rPr>
        <w:t xml:space="preserve">ARTICLE 4  </w:t>
      </w:r>
      <w:r>
        <w:rPr>
          <w:rFonts w:ascii="Open Sans" w:cs="Open Sans" w:eastAsia="Open Sans" w:hAnsi="Open Sans"/>
          <w:b/>
          <w:bCs/>
          <w:color w:val="21324E"/>
          <w:spacing w:val="10"/>
          <w:sz w:val="21"/>
          <w:szCs w:val="21"/>
        </w:rPr>
        <w:t xml:space="preserve">COMPTE-RENDU D’ACTIVITÉ</w:t>
      </w:r>
      <w:bookmarkEnd w:id="5"/>
    </w:p>
    <w:p>
      <w:pPr>
        <w:spacing w:after="120" w:before="0" w:line="276"/>
        <w:jc w:val="both"/>
      </w:pPr>
      <w:r>
        <w:rPr>
          <w:rFonts w:ascii="Open Sans" w:cs="Open Sans" w:eastAsia="Open Sans" w:hAnsi="Open Sans"/>
        </w:rPr>
        <w:t xml:space="preserve">Le Salarié porté rend compte fidèlement de son activité par un compte-rendu d’activité (CRA) écrit, établi au moins une fois par mois pour chaque prestation réalisée. Ce compte-rendu, qui doit être approuvé par l’EPS, comporte notamment les dates et la durée d’exécution de chaque prestation. Il permet à l’EPS d’établir le bulletin de paie et d’exercer un suivi et un contrôle précis de l’activité.</w:t>
      </w:r>
    </w:p>
    <w:p>
      <w:pPr>
        <w:keepNext/>
        <w:keepLines/>
        <w:pBdr>
          <w:bottom w:val="single" w:color="C187A1" w:sz="6" w:space="4"/>
        </w:pBdr>
        <w:spacing w:after="120" w:before="300"/>
      </w:pPr>
      <w:bookmarkStart w:name="cdi_5" w:id="6"/>
      <w:r>
        <w:rPr>
          <w:rFonts w:ascii="Open Sans" w:cs="Open Sans" w:eastAsia="Open Sans" w:hAnsi="Open Sans"/>
          <w:b/>
          <w:bCs/>
          <w:color w:val="784E61"/>
          <w:spacing w:val="20"/>
          <w:sz w:val="18"/>
          <w:szCs w:val="18"/>
        </w:rPr>
        <w:t xml:space="preserve">ARTICLE 5  </w:t>
      </w:r>
      <w:r>
        <w:rPr>
          <w:rFonts w:ascii="Open Sans" w:cs="Open Sans" w:eastAsia="Open Sans" w:hAnsi="Open Sans"/>
          <w:b/>
          <w:bCs/>
          <w:color w:val="21324E"/>
          <w:spacing w:val="10"/>
          <w:sz w:val="21"/>
          <w:szCs w:val="21"/>
        </w:rPr>
        <w:t xml:space="preserve">DURÉE DU TRAVAIL</w:t>
      </w:r>
      <w:bookmarkEnd w:id="6"/>
    </w:p>
    <w:p>
      <w:pPr>
        <w:spacing w:after="120" w:before="0" w:line="276"/>
        <w:jc w:val="both"/>
      </w:pPr>
      <w:r>
        <w:rPr>
          <w:rFonts w:ascii="Open Sans" w:cs="Open Sans" w:eastAsia="Open Sans" w:hAnsi="Open Sans"/>
        </w:rPr>
        <w:t xml:space="preserve">Le Salarié porté organise son activité en fonction des exigences des missions et s’adapte aux contraintes et horaires du client final, dans le respect des dispositions légales relatives à la durée du travail et aux temps de repos.</w:t>
      </w:r>
    </w:p>
    <w:p>
      <w:pPr>
        <w:spacing w:after="120" w:before="0" w:line="276"/>
        <w:jc w:val="both"/>
      </w:pPr>
      <w:r>
        <w:rPr>
          <w:rFonts w:ascii="Open Sans" w:cs="Open Sans" w:eastAsia="Open Sans" w:hAnsi="Open Sans"/>
        </w:rPr>
        <w:t xml:space="preserve">La durée de travail de référence est fixée à 35 heures hebdomadaires. Le volume d’activité est apprécié en nombre de jours travaillés, dans la limite de 218 jours par an, hors périodes d’astreinte. Des périodes d’astreinte peuvent être mises en place selon les besoins des missions.</w:t>
      </w:r>
    </w:p>
    <w:p>
      <w:pPr>
        <w:spacing w:after="120" w:before="0" w:line="276"/>
        <w:jc w:val="both"/>
      </w:pPr>
      <w:r>
        <w:rPr>
          <w:rFonts w:ascii="Open Sans" w:cs="Open Sans" w:eastAsia="Open Sans" w:hAnsi="Open Sans"/>
        </w:rPr>
        <w:t xml:space="preserve">Le CRA mensuel constitue un élément déclaratif servant de base à la facturation et à la paie ; il ne modifie pas le contrat de travail. Il indique la répartition de la durée du travail sur les jours de la semaine, laquelle peut évoluer selon les semaines ou les mois à l’initiative du Salarié porté, sans délai de prévenance.</w:t>
      </w:r>
    </w:p>
    <w:p>
      <w:pPr>
        <w:spacing w:after="120" w:before="0" w:line="276"/>
        <w:jc w:val="both"/>
      </w:pPr>
      <w:r>
        <w:rPr>
          <w:rFonts w:ascii="Open Sans" w:cs="Open Sans" w:eastAsia="Open Sans" w:hAnsi="Open Sans"/>
        </w:rPr>
        <w:t xml:space="preserve">À son initiative, le Salarié porté peut modifier la durée du travail et la répartition de l’horaire pour les besoins d’une prestation, compte tenu de l’autonomie dont il bénéficie, dans le respect des durées maximales de travail journalières et hebdomadaires définies par le Code du travail.</w:t>
      </w:r>
    </w:p>
    <w:p>
      <w:pPr>
        <w:spacing w:after="120" w:before="0" w:line="276"/>
        <w:jc w:val="both"/>
      </w:pPr>
      <w:r>
        <w:rPr>
          <w:rFonts w:ascii="Open Sans" w:cs="Open Sans" w:eastAsia="Open Sans" w:hAnsi="Open Sans"/>
        </w:rPr>
        <w:t xml:space="preserve">Le Salarié porté bénéficie chaque année d’un entretien annuel avec l’EPS, conformément à l’article 26 de la convention collective.</w:t>
      </w:r>
    </w:p>
    <w:p>
      <w:pPr>
        <w:keepNext/>
        <w:keepLines/>
        <w:pBdr>
          <w:bottom w:val="single" w:color="C187A1" w:sz="6" w:space="4"/>
        </w:pBdr>
        <w:spacing w:after="120" w:before="300"/>
      </w:pPr>
      <w:bookmarkStart w:name="cdi_6" w:id="7"/>
      <w:r>
        <w:rPr>
          <w:rFonts w:ascii="Open Sans" w:cs="Open Sans" w:eastAsia="Open Sans" w:hAnsi="Open Sans"/>
          <w:b/>
          <w:bCs/>
          <w:color w:val="784E61"/>
          <w:spacing w:val="20"/>
          <w:sz w:val="18"/>
          <w:szCs w:val="18"/>
        </w:rPr>
        <w:t xml:space="preserve">ARTICLE 6  </w:t>
      </w:r>
      <w:r>
        <w:rPr>
          <w:rFonts w:ascii="Open Sans" w:cs="Open Sans" w:eastAsia="Open Sans" w:hAnsi="Open Sans"/>
          <w:b/>
          <w:bCs/>
          <w:color w:val="21324E"/>
          <w:spacing w:val="10"/>
          <w:sz w:val="21"/>
          <w:szCs w:val="21"/>
        </w:rPr>
        <w:t xml:space="preserve">RÉMUNÉRATION</w:t>
      </w:r>
      <w:bookmarkEnd w:id="7"/>
    </w:p>
    <w:p>
      <w:pPr>
        <w:keepNext/>
        <w:spacing w:after="120" w:before="0" w:line="276"/>
        <w:jc w:val="both"/>
      </w:pPr>
      <w:r>
        <w:rPr>
          <w:rFonts w:ascii="Open Sans" w:cs="Open Sans" w:eastAsia="Open Sans" w:hAnsi="Open Sans"/>
        </w:rPr>
        <w:t xml:space="preserve">En contrepartie de chaque prestation, le Salarié porté perçoit une rémunération calculée comme suit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F3E6EC" w:color="auto" w:val="clear"/>
            <w:tcMar>
              <w:top w:type="dxa" w:w="160"/>
              <w:left w:type="dxa" w:w="180"/>
              <w:bottom w:type="dxa" w:w="160"/>
              <w:right w:type="dxa" w:w="180"/>
            </w:tcMar>
            <w:vAlign w:val="top"/>
          </w:tcPr>
          <w:p>
            <w:pPr>
              <w:jc w:val="center"/>
            </w:pPr>
            <w:r>
              <w:rPr>
                <w:rFonts w:ascii="Open Sans" w:cs="Open Sans" w:eastAsia="Open Sans" w:hAnsi="Open Sans"/>
                <w:b/>
                <w:bCs/>
                <w:color w:val="21324E"/>
              </w:rPr>
              <w:t xml:space="preserve">Prix de la prestation HT encaissé par l’EPS</w:t>
            </w:r>
            <w:r>
              <w:rPr>
                <w:rFonts w:ascii="Open Sans" w:cs="Open Sans" w:eastAsia="Open Sans" w:hAnsi="Open Sans"/>
                <w:b/>
                <w:bCs/>
                <w:color w:val="784E61"/>
              </w:rPr>
              <w:t xml:space="preserve">  −  </w:t>
            </w:r>
            <w:r>
              <w:rPr>
                <w:rFonts w:ascii="Open Sans" w:cs="Open Sans" w:eastAsia="Open Sans" w:hAnsi="Open Sans"/>
                <w:b/>
                <w:bCs/>
                <w:color w:val="21324E"/>
              </w:rPr>
              <w:t xml:space="preserve">Frais de gestion</w:t>
            </w:r>
            <w:r>
              <w:rPr>
                <w:rFonts w:ascii="Open Sans" w:cs="Open Sans" w:eastAsia="Open Sans" w:hAnsi="Open Sans"/>
                <w:b/>
                <w:bCs/>
                <w:color w:val="784E61"/>
              </w:rPr>
              <w:t xml:space="preserve">  =  </w:t>
            </w:r>
            <w:r>
              <w:rPr>
                <w:rFonts w:ascii="Open Sans" w:cs="Open Sans" w:eastAsia="Open Sans" w:hAnsi="Open Sans"/>
                <w:b/>
                <w:bCs/>
                <w:color w:val="21324E"/>
              </w:rPr>
              <w:t xml:space="preserve">Montant disponible</w:t>
            </w:r>
          </w:p>
        </w:tc>
      </w:tr>
    </w:tbl>
    <w:p>
      <w:pPr>
        <w:keepNext/>
        <w:spacing w:after="120" w:before="160" w:line="276"/>
        <w:jc w:val="both"/>
      </w:pPr>
      <w:r>
        <w:rPr>
          <w:rFonts w:ascii="Open Sans" w:cs="Open Sans" w:eastAsia="Open Sans" w:hAnsi="Open Sans"/>
        </w:rPr>
        <w:t xml:space="preserve">HT Portage prélève des frais de gestion sur la facturation mensuelle HT adressée aux clients du Salarié porté, selon le barème suivant :</w:t>
      </w:r>
    </w:p>
    <w:p>
      <w:pPr>
        <w:spacing w:after="100" w:line="276"/>
      </w:pPr>
      <w:r>
        <w:rPr>
          <w:rFonts w:ascii="Open Sans" w:cs="Open Sans" w:eastAsia="Open Sans" w:hAnsi="Open Sans"/>
          <w:b/>
          <w:bCs/>
          <w:color w:val="1B1C1C"/>
        </w:rPr>
        <w:t xml:space="preserve">Frais de gestion (% du chiffre d’affaires HT encaissé) : </w:t>
      </w:r>
      <w:r>
        <w:rPr>
          <w:rFonts w:ascii="Open Sans" w:cs="Open Sans" w:eastAsia="Open Sans" w:hAnsi="Open Sans"/>
          <w:color w:val="1B1C1C"/>
        </w:rPr>
        <w:t xml:space="preserve">[[frais_gestion]]</w:t>
      </w:r>
    </w:p>
    <w:p>
      <w:pPr>
        <w:keepNext/>
        <w:spacing w:after="120" w:before="80" w:line="276"/>
        <w:jc w:val="both"/>
      </w:pPr>
      <w:r>
        <w:rPr>
          <w:rFonts w:ascii="Open Sans" w:cs="Open Sans" w:eastAsia="Open Sans" w:hAnsi="Open Sans"/>
        </w:rPr>
        <w:t xml:space="preserve">Le montant disponible au titre de chaque prestation est ensuite affecté au paiement des éléments suivants :</w:t>
      </w:r>
    </w:p>
    <w:p>
      <w:pPr>
        <w:pStyle w:val="ListParagraph"/>
        <w:numPr>
          <w:ilvl w:val="0"/>
          <w:numId w:val="2"/>
        </w:numPr>
        <w:spacing w:after="80" w:line="276"/>
        <w:jc w:val="both"/>
      </w:pPr>
      <w:r>
        <w:rPr>
          <w:rFonts w:ascii="Open Sans" w:cs="Open Sans" w:eastAsia="Open Sans" w:hAnsi="Open Sans"/>
        </w:rPr>
        <w:t xml:space="preserve">les cotisations patronales et salariales, ainsi que les autres charges, provisions ou prélèvements éventuels (épargne salariale, prélèvements fiscaux) ;</w:t>
      </w:r>
    </w:p>
    <w:p>
      <w:pPr>
        <w:pStyle w:val="ListParagraph"/>
        <w:numPr>
          <w:ilvl w:val="0"/>
          <w:numId w:val="2"/>
        </w:numPr>
        <w:spacing w:after="80" w:line="276"/>
        <w:jc w:val="both"/>
      </w:pPr>
      <w:r>
        <w:rPr>
          <w:rFonts w:ascii="Open Sans" w:cs="Open Sans" w:eastAsia="Open Sans" w:hAnsi="Open Sans"/>
        </w:rPr>
        <w:t xml:space="preserve">le salaire brut de base mensuel, calculé sur la base d’un taux horaire minimal de 13,50 € brut en fonction du nombre d’heures déclarées dans le compte-rendu d’activité mensuel ;</w:t>
      </w:r>
    </w:p>
    <w:p>
      <w:pPr>
        <w:pStyle w:val="ListParagraph"/>
        <w:numPr>
          <w:ilvl w:val="0"/>
          <w:numId w:val="2"/>
        </w:numPr>
        <w:spacing w:after="80" w:line="276"/>
        <w:jc w:val="both"/>
      </w:pPr>
      <w:r>
        <w:rPr>
          <w:rFonts w:ascii="Open Sans" w:cs="Open Sans" w:eastAsia="Open Sans" w:hAnsi="Open Sans"/>
        </w:rPr>
        <w:t xml:space="preserve">la rémunération complémentaire éventuelle ;</w:t>
      </w:r>
    </w:p>
    <w:p>
      <w:pPr>
        <w:pStyle w:val="ListParagraph"/>
        <w:numPr>
          <w:ilvl w:val="0"/>
          <w:numId w:val="2"/>
        </w:numPr>
        <w:spacing w:after="80" w:line="276"/>
        <w:jc w:val="both"/>
      </w:pPr>
      <w:r>
        <w:rPr>
          <w:rFonts w:ascii="Open Sans" w:cs="Open Sans" w:eastAsia="Open Sans" w:hAnsi="Open Sans"/>
        </w:rPr>
        <w:t xml:space="preserve">l’indemnité d’apport d’affaires de 5 % de la rémunération brute mensuelle ;</w:t>
      </w:r>
    </w:p>
    <w:p>
      <w:pPr>
        <w:pStyle w:val="ListParagraph"/>
        <w:numPr>
          <w:ilvl w:val="0"/>
          <w:numId w:val="2"/>
        </w:numPr>
        <w:spacing w:after="80" w:line="276"/>
        <w:jc w:val="both"/>
      </w:pPr>
      <w:r>
        <w:rPr>
          <w:rFonts w:ascii="Open Sans" w:cs="Open Sans" w:eastAsia="Open Sans" w:hAnsi="Open Sans"/>
        </w:rPr>
        <w:t xml:space="preserve">l’indemnité de congés payés ;</w:t>
      </w:r>
    </w:p>
    <w:p>
      <w:pPr>
        <w:pStyle w:val="ListParagraph"/>
        <w:numPr>
          <w:ilvl w:val="0"/>
          <w:numId w:val="2"/>
        </w:numPr>
        <w:spacing w:after="80" w:line="276"/>
        <w:jc w:val="both"/>
      </w:pPr>
      <w:r>
        <w:rPr>
          <w:rFonts w:ascii="Open Sans" w:cs="Open Sans" w:eastAsia="Open Sans" w:hAnsi="Open Sans"/>
        </w:rPr>
        <w:t xml:space="preserve">la réserve financière définie par la convention collective ;</w:t>
      </w:r>
    </w:p>
    <w:p>
      <w:pPr>
        <w:pStyle w:val="ListParagraph"/>
        <w:numPr>
          <w:ilvl w:val="0"/>
          <w:numId w:val="2"/>
        </w:numPr>
        <w:spacing w:after="80" w:line="276"/>
        <w:jc w:val="both"/>
      </w:pPr>
      <w:r>
        <w:rPr>
          <w:rFonts w:ascii="Open Sans" w:cs="Open Sans" w:eastAsia="Open Sans" w:hAnsi="Open Sans"/>
        </w:rPr>
        <w:t xml:space="preserve">les frais professionnels éventuels ;</w:t>
      </w:r>
    </w:p>
    <w:p>
      <w:pPr>
        <w:pStyle w:val="ListParagraph"/>
        <w:numPr>
          <w:ilvl w:val="0"/>
          <w:numId w:val="2"/>
        </w:numPr>
        <w:spacing w:after="80" w:line="276"/>
        <w:jc w:val="both"/>
      </w:pPr>
      <w:r>
        <w:rPr>
          <w:rFonts w:ascii="Open Sans" w:cs="Open Sans" w:eastAsia="Open Sans" w:hAnsi="Open Sans"/>
        </w:rPr>
        <w:t xml:space="preserve">l’indemnité de rupture conventionnelle.</w:t>
      </w:r>
    </w:p>
    <w:p>
      <w:pPr>
        <w:spacing w:after="120" w:before="80" w:line="276"/>
        <w:jc w:val="both"/>
      </w:pPr>
      <w:r>
        <w:rPr>
          <w:rFonts w:ascii="Open Sans" w:cs="Open Sans" w:eastAsia="Open Sans" w:hAnsi="Open Sans"/>
        </w:rPr>
        <w:t xml:space="preserve">L’EPS n’est redevable au Salarié porté que de la rémunération due en contrepartie de chaque prestation, selon les modalités de calcul ci-dessus. Une partie du montant disponible peut être laissée en compte dans l’EPS pour une utilisation future par le Salarié porté.</w:t>
      </w:r>
    </w:p>
    <w:p>
      <w:pPr>
        <w:spacing w:after="120" w:before="0" w:line="276"/>
        <w:jc w:val="both"/>
      </w:pPr>
      <w:r>
        <w:rPr>
          <w:rFonts w:ascii="Open Sans" w:cs="Open Sans" w:eastAsia="Open Sans" w:hAnsi="Open Sans"/>
        </w:rPr>
        <w:t xml:space="preserve">Pendant la durée du présent contrat, les périodes sans prestation fournie à une entreprise cliente ne sont pas rémunérées, conformément à l’article L.1254-21, II du Code du travail et à l’article 21.3 de la convention collective applicable.</w:t>
      </w:r>
    </w:p>
    <w:p>
      <w:pPr>
        <w:spacing w:after="120" w:before="0" w:line="276"/>
        <w:jc w:val="both"/>
      </w:pPr>
      <w:r>
        <w:rPr>
          <w:rFonts w:ascii="Open Sans" w:cs="Open Sans" w:eastAsia="Open Sans" w:hAnsi="Open Sans"/>
        </w:rPr>
        <w:t xml:space="preserve">Conformément à la convention collective, une réserve financière est constituée sur le compte du Salarié porté. Elle est versée en concertation avec lui, notamment pour pallier une baisse ou une absence de rémunération pendant les périodes sans activité ou de prospection.</w:t>
      </w:r>
    </w:p>
    <w:p>
      <w:pPr>
        <w:keepNext/>
        <w:keepLines/>
        <w:pBdr>
          <w:bottom w:val="single" w:color="C187A1" w:sz="6" w:space="4"/>
        </w:pBdr>
        <w:spacing w:after="120" w:before="300"/>
      </w:pPr>
      <w:bookmarkStart w:name="cdi_7" w:id="8"/>
      <w:r>
        <w:rPr>
          <w:rFonts w:ascii="Open Sans" w:cs="Open Sans" w:eastAsia="Open Sans" w:hAnsi="Open Sans"/>
          <w:b/>
          <w:bCs/>
          <w:color w:val="784E61"/>
          <w:spacing w:val="20"/>
          <w:sz w:val="18"/>
          <w:szCs w:val="18"/>
        </w:rPr>
        <w:t xml:space="preserve">ARTICLE 7  </w:t>
      </w:r>
      <w:r>
        <w:rPr>
          <w:rFonts w:ascii="Open Sans" w:cs="Open Sans" w:eastAsia="Open Sans" w:hAnsi="Open Sans"/>
          <w:b/>
          <w:bCs/>
          <w:color w:val="21324E"/>
          <w:spacing w:val="10"/>
          <w:sz w:val="21"/>
          <w:szCs w:val="21"/>
        </w:rPr>
        <w:t xml:space="preserve">SÉCURISATION FINANCIÈRE</w:t>
      </w:r>
      <w:bookmarkEnd w:id="8"/>
    </w:p>
    <w:p>
      <w:pPr>
        <w:spacing w:after="120" w:before="0" w:line="276"/>
        <w:jc w:val="both"/>
      </w:pPr>
      <w:r>
        <w:rPr>
          <w:rFonts w:ascii="Open Sans" w:cs="Open Sans" w:eastAsia="Open Sans" w:hAnsi="Open Sans"/>
        </w:rPr>
        <w:t xml:space="preserve">La rémunération du Salarié porté dépend directement des sommes encaissées par l’EPS au titre des prestations réalisées. En cas de retard de paiement du client, l’EPS pourra verser une rémunération minimale conforme aux obligations légales et conventionnelles ; le solde sera versé après encaissement effectif.</w:t>
      </w:r>
    </w:p>
    <w:p>
      <w:pPr>
        <w:keepNext/>
        <w:keepLines/>
        <w:pBdr>
          <w:bottom w:val="single" w:color="C187A1" w:sz="6" w:space="4"/>
        </w:pBdr>
        <w:spacing w:after="120" w:before="300"/>
      </w:pPr>
      <w:bookmarkStart w:name="cdi_8" w:id="9"/>
      <w:r>
        <w:rPr>
          <w:rFonts w:ascii="Open Sans" w:cs="Open Sans" w:eastAsia="Open Sans" w:hAnsi="Open Sans"/>
          <w:b/>
          <w:bCs/>
          <w:color w:val="784E61"/>
          <w:spacing w:val="20"/>
          <w:sz w:val="18"/>
          <w:szCs w:val="18"/>
        </w:rPr>
        <w:t xml:space="preserve">ARTICLE 8  </w:t>
      </w:r>
      <w:r>
        <w:rPr>
          <w:rFonts w:ascii="Open Sans" w:cs="Open Sans" w:eastAsia="Open Sans" w:hAnsi="Open Sans"/>
          <w:b/>
          <w:bCs/>
          <w:color w:val="21324E"/>
          <w:spacing w:val="10"/>
          <w:sz w:val="21"/>
          <w:szCs w:val="21"/>
        </w:rPr>
        <w:t xml:space="preserve">COMPTE D’ACTIVITÉ</w:t>
      </w:r>
      <w:bookmarkEnd w:id="9"/>
    </w:p>
    <w:p>
      <w:pPr>
        <w:spacing w:after="120" w:before="0" w:line="276"/>
        <w:jc w:val="both"/>
      </w:pPr>
      <w:r>
        <w:rPr>
          <w:rFonts w:ascii="Open Sans" w:cs="Open Sans" w:eastAsia="Open Sans" w:hAnsi="Open Sans"/>
        </w:rPr>
        <w:t xml:space="preserve">Un compte d’activité est établi au moins une fois par mois (sur papier ou en ligne). Il reprend l’ensemble des éléments qui y sont imputés, notamment les versements effectués par l’entreprise cliente au titre de chaque prestation, le détail des frais de gestion, des frais professionnels et des prélèvements sociaux et fiscaux, la rémunération nette, le montant de l’indemnité d’apport d’affaires et la provision constituée.</w:t>
      </w:r>
    </w:p>
    <w:p>
      <w:pPr>
        <w:keepNext/>
        <w:keepLines/>
        <w:pBdr>
          <w:bottom w:val="single" w:color="C187A1" w:sz="6" w:space="4"/>
        </w:pBdr>
        <w:spacing w:after="120" w:before="300"/>
      </w:pPr>
      <w:bookmarkStart w:name="cdi_9" w:id="10"/>
      <w:r>
        <w:rPr>
          <w:rFonts w:ascii="Open Sans" w:cs="Open Sans" w:eastAsia="Open Sans" w:hAnsi="Open Sans"/>
          <w:b/>
          <w:bCs/>
          <w:color w:val="784E61"/>
          <w:spacing w:val="20"/>
          <w:sz w:val="18"/>
          <w:szCs w:val="18"/>
        </w:rPr>
        <w:t xml:space="preserve">ARTICLE 9  </w:t>
      </w:r>
      <w:r>
        <w:rPr>
          <w:rFonts w:ascii="Open Sans" w:cs="Open Sans" w:eastAsia="Open Sans" w:hAnsi="Open Sans"/>
          <w:b/>
          <w:bCs/>
          <w:color w:val="21324E"/>
          <w:spacing w:val="10"/>
          <w:sz w:val="21"/>
          <w:szCs w:val="21"/>
        </w:rPr>
        <w:t xml:space="preserve">SUSPENSION</w:t>
      </w:r>
      <w:bookmarkEnd w:id="10"/>
    </w:p>
    <w:p>
      <w:pPr>
        <w:spacing w:after="120" w:before="0" w:line="276"/>
        <w:jc w:val="both"/>
      </w:pPr>
      <w:r>
        <w:rPr>
          <w:rFonts w:ascii="Open Sans" w:cs="Open Sans" w:eastAsia="Open Sans" w:hAnsi="Open Sans"/>
        </w:rPr>
        <w:t xml:space="preserve">Le contrat peut être suspendu en cas d’absence de mission.</w:t>
      </w:r>
    </w:p>
    <w:p>
      <w:pPr>
        <w:keepNext/>
        <w:keepLines/>
        <w:pBdr>
          <w:bottom w:val="single" w:color="C187A1" w:sz="6" w:space="4"/>
        </w:pBdr>
        <w:spacing w:after="120" w:before="300"/>
      </w:pPr>
      <w:bookmarkStart w:name="cdi_10" w:id="11"/>
      <w:r>
        <w:rPr>
          <w:rFonts w:ascii="Open Sans" w:cs="Open Sans" w:eastAsia="Open Sans" w:hAnsi="Open Sans"/>
          <w:b/>
          <w:bCs/>
          <w:color w:val="784E61"/>
          <w:spacing w:val="20"/>
          <w:sz w:val="18"/>
          <w:szCs w:val="18"/>
        </w:rPr>
        <w:t xml:space="preserve">ARTICLE 10  </w:t>
      </w:r>
      <w:r>
        <w:rPr>
          <w:rFonts w:ascii="Open Sans" w:cs="Open Sans" w:eastAsia="Open Sans" w:hAnsi="Open Sans"/>
          <w:b/>
          <w:bCs/>
          <w:color w:val="21324E"/>
          <w:spacing w:val="10"/>
          <w:sz w:val="21"/>
          <w:szCs w:val="21"/>
        </w:rPr>
        <w:t xml:space="preserve">LIEU DE TRAVAIL</w:t>
      </w:r>
      <w:bookmarkEnd w:id="11"/>
    </w:p>
    <w:p>
      <w:pPr>
        <w:spacing w:after="120" w:before="0" w:line="276"/>
        <w:jc w:val="both"/>
      </w:pPr>
      <w:r>
        <w:rPr>
          <w:rFonts w:ascii="Open Sans" w:cs="Open Sans" w:eastAsia="Open Sans" w:hAnsi="Open Sans"/>
        </w:rPr>
        <w:t xml:space="preserve">Le Salarié porté exerce ses fonctions sur les lieux d’exécution de la mission en portage salarial, ainsi qu’au siège social de l’EPS, à son domicile et dans tous autres locaux qu’il serait amené à utiliser. Il peut également travailler en tout lieu que la réalisation des prestations nécessite, sans que la modification du lieu de travail constitue une modification du contrat de travail.</w:t>
      </w:r>
    </w:p>
    <w:p>
      <w:pPr>
        <w:spacing w:after="120" w:before="0" w:line="276"/>
        <w:jc w:val="both"/>
      </w:pPr>
      <w:r>
        <w:rPr>
          <w:rFonts w:ascii="Open Sans" w:cs="Open Sans" w:eastAsia="Open Sans" w:hAnsi="Open Sans"/>
        </w:rPr>
        <w:t xml:space="preserve">Les déplacements font l’objet d’un accord préalable du responsable de l’EPS avant le début de la mission. En cas d’accord, le Salarié porté souscrit une assurance « déplacements professionnels » couvrant le véhicule, le conducteur et ses passagers lorsqu’un véhicule est utilisé. S’il est amené à travailler à l’étranger, il se munit des attestations de vaccination obligatoires et d’une assurance rapatriement.</w:t>
      </w:r>
    </w:p>
    <w:p>
      <w:pPr>
        <w:keepNext/>
        <w:keepLines/>
        <w:pBdr>
          <w:bottom w:val="single" w:color="C187A1" w:sz="6" w:space="4"/>
        </w:pBdr>
        <w:spacing w:after="120" w:before="300"/>
      </w:pPr>
      <w:bookmarkStart w:name="cdi_11" w:id="12"/>
      <w:r>
        <w:rPr>
          <w:rFonts w:ascii="Open Sans" w:cs="Open Sans" w:eastAsia="Open Sans" w:hAnsi="Open Sans"/>
          <w:b/>
          <w:bCs/>
          <w:color w:val="784E61"/>
          <w:spacing w:val="20"/>
          <w:sz w:val="18"/>
          <w:szCs w:val="18"/>
        </w:rPr>
        <w:t xml:space="preserve">ARTICLE 11  </w:t>
      </w:r>
      <w:r>
        <w:rPr>
          <w:rFonts w:ascii="Open Sans" w:cs="Open Sans" w:eastAsia="Open Sans" w:hAnsi="Open Sans"/>
          <w:b/>
          <w:bCs/>
          <w:color w:val="21324E"/>
          <w:spacing w:val="10"/>
          <w:sz w:val="21"/>
          <w:szCs w:val="21"/>
        </w:rPr>
        <w:t xml:space="preserve">FRAIS</w:t>
      </w:r>
      <w:bookmarkEnd w:id="12"/>
    </w:p>
    <w:p>
      <w:pPr>
        <w:spacing w:after="120" w:before="0" w:line="276"/>
        <w:jc w:val="both"/>
      </w:pPr>
      <w:r>
        <w:rPr>
          <w:rFonts w:ascii="Open Sans" w:cs="Open Sans" w:eastAsia="Open Sans" w:hAnsi="Open Sans"/>
        </w:rPr>
        <w:t xml:space="preserve">Les frais que le Salarié porté engage dans l’exercice de ses fonctions sont soit facturés et payés par le client, soit provisionnés d’un commun accord sur les honoraires payés par le client.</w:t>
      </w:r>
    </w:p>
    <w:p>
      <w:pPr>
        <w:spacing w:after="120" w:before="0" w:line="276"/>
        <w:jc w:val="both"/>
      </w:pPr>
      <w:r>
        <w:rPr>
          <w:rFonts w:ascii="Open Sans" w:cs="Open Sans" w:eastAsia="Open Sans" w:hAnsi="Open Sans"/>
        </w:rPr>
        <w:t xml:space="preserve">Le Salarié porté est remboursé de ses frais professionnels sur justificatifs, au réel ou selon les règles appliquées par l’URSSAF et dans la limite des barèmes sociaux ou fiscaux applicables, sous réserve de leur validation par l’EPS et pour autant que le solde disponible sur le compte d’activité le permette.</w:t>
      </w:r>
    </w:p>
    <w:p>
      <w:pPr>
        <w:keepNext/>
        <w:keepLines/>
        <w:pBdr>
          <w:bottom w:val="single" w:color="C187A1" w:sz="6" w:space="4"/>
        </w:pBdr>
        <w:spacing w:after="120" w:before="300"/>
      </w:pPr>
      <w:bookmarkStart w:name="cdi_12" w:id="13"/>
      <w:r>
        <w:rPr>
          <w:rFonts w:ascii="Open Sans" w:cs="Open Sans" w:eastAsia="Open Sans" w:hAnsi="Open Sans"/>
          <w:b/>
          <w:bCs/>
          <w:color w:val="784E61"/>
          <w:spacing w:val="20"/>
          <w:sz w:val="18"/>
          <w:szCs w:val="18"/>
        </w:rPr>
        <w:t xml:space="preserve">ARTICLE 12  </w:t>
      </w:r>
      <w:r>
        <w:rPr>
          <w:rFonts w:ascii="Open Sans" w:cs="Open Sans" w:eastAsia="Open Sans" w:hAnsi="Open Sans"/>
          <w:b/>
          <w:bCs/>
          <w:color w:val="21324E"/>
          <w:spacing w:val="10"/>
          <w:sz w:val="21"/>
          <w:szCs w:val="21"/>
        </w:rPr>
        <w:t xml:space="preserve">EXÉCUTION</w:t>
      </w:r>
      <w:bookmarkEnd w:id="13"/>
    </w:p>
    <w:p>
      <w:pPr>
        <w:spacing w:after="120" w:before="0" w:line="276"/>
        <w:jc w:val="both"/>
      </w:pPr>
      <w:r>
        <w:rPr>
          <w:rFonts w:ascii="Open Sans" w:cs="Open Sans" w:eastAsia="Open Sans" w:hAnsi="Open Sans"/>
        </w:rPr>
        <w:t xml:space="preserve">Le Salarié porté exerce ses fonctions sous l’autorité du dirigeant de l’EPS. Les prestations réalisées au profit du client sont définies par la convention de portage. Le Salarié porté fournit chaque mois, selon les modalités prévues dans la convention de portage, sa déclaration d’activité au moyen du compte-rendu d’activité (CRA).</w:t>
      </w:r>
    </w:p>
    <w:p>
      <w:pPr>
        <w:spacing w:after="120" w:before="0" w:line="276"/>
        <w:jc w:val="both"/>
      </w:pPr>
      <w:r>
        <w:rPr>
          <w:rFonts w:ascii="Open Sans" w:cs="Open Sans" w:eastAsia="Open Sans" w:hAnsi="Open Sans"/>
        </w:rPr>
        <w:t xml:space="preserve">Le Salarié porté n’a aucun lien hiérarchique avec ses clients et tient l’EPS informée des conditions d’exécution de sa mission. Il met ses connaissances et son savoir-faire au service du client, sollicite auprès de lui toutes les informations techniques nécessaires et prend toutes les dispositions pour que sa mission soit réalisée dans les meilleures conditions. Il s’engage enfin à respecter les normes de qualité des salariés portés de l’EPS ainsi que les règles déontologiques de la profession.</w:t>
      </w:r>
    </w:p>
    <w:p>
      <w:pPr>
        <w:keepNext/>
        <w:keepLines/>
        <w:pBdr>
          <w:bottom w:val="single" w:color="C187A1" w:sz="6" w:space="4"/>
        </w:pBdr>
        <w:spacing w:after="120" w:before="300"/>
      </w:pPr>
      <w:bookmarkStart w:name="cdi_13" w:id="14"/>
      <w:r>
        <w:rPr>
          <w:rFonts w:ascii="Open Sans" w:cs="Open Sans" w:eastAsia="Open Sans" w:hAnsi="Open Sans"/>
          <w:b/>
          <w:bCs/>
          <w:color w:val="784E61"/>
          <w:spacing w:val="20"/>
          <w:sz w:val="18"/>
          <w:szCs w:val="18"/>
        </w:rPr>
        <w:t xml:space="preserve">ARTICLE 13  </w:t>
      </w:r>
      <w:r>
        <w:rPr>
          <w:rFonts w:ascii="Open Sans" w:cs="Open Sans" w:eastAsia="Open Sans" w:hAnsi="Open Sans"/>
          <w:b/>
          <w:bCs/>
          <w:color w:val="21324E"/>
          <w:spacing w:val="10"/>
          <w:sz w:val="21"/>
          <w:szCs w:val="21"/>
        </w:rPr>
        <w:t xml:space="preserve">CONFIDENTIALITÉ</w:t>
      </w:r>
      <w:bookmarkEnd w:id="14"/>
    </w:p>
    <w:p>
      <w:pPr>
        <w:spacing w:after="120" w:before="0" w:line="276"/>
        <w:jc w:val="both"/>
      </w:pPr>
      <w:r>
        <w:rPr>
          <w:rFonts w:ascii="Open Sans" w:cs="Open Sans" w:eastAsia="Open Sans" w:hAnsi="Open Sans"/>
        </w:rPr>
        <w:t xml:space="preserve">Le Salarié porté s’engage à ne divulguer aucune information concernant les activités de l’EPS dont il pourrait avoir connaissance dans l’accomplissement de ses fonctions et qui serait de nature à lui porter préjudice. Cette obligation s’applique tant à l’égard des tiers que des salariés de l’EPS. Elle produit ses effets pendant toute la durée du contrat de travail et se prolonge après sa rupture, quel qu’en soit le motif.</w:t>
      </w:r>
    </w:p>
    <w:p>
      <w:pPr>
        <w:keepNext/>
        <w:keepLines/>
        <w:pBdr>
          <w:bottom w:val="single" w:color="C187A1" w:sz="6" w:space="4"/>
        </w:pBdr>
        <w:spacing w:after="120" w:before="300"/>
      </w:pPr>
      <w:bookmarkStart w:name="cdi_14" w:id="15"/>
      <w:r>
        <w:rPr>
          <w:rFonts w:ascii="Open Sans" w:cs="Open Sans" w:eastAsia="Open Sans" w:hAnsi="Open Sans"/>
          <w:b/>
          <w:bCs/>
          <w:color w:val="784E61"/>
          <w:spacing w:val="20"/>
          <w:sz w:val="18"/>
          <w:szCs w:val="18"/>
        </w:rPr>
        <w:t xml:space="preserve">ARTICLE 14  </w:t>
      </w:r>
      <w:r>
        <w:rPr>
          <w:rFonts w:ascii="Open Sans" w:cs="Open Sans" w:eastAsia="Open Sans" w:hAnsi="Open Sans"/>
          <w:b/>
          <w:bCs/>
          <w:color w:val="21324E"/>
          <w:spacing w:val="10"/>
          <w:sz w:val="21"/>
          <w:szCs w:val="21"/>
        </w:rPr>
        <w:t xml:space="preserve">CONGÉS PAYÉS</w:t>
      </w:r>
      <w:bookmarkEnd w:id="15"/>
    </w:p>
    <w:p>
      <w:pPr>
        <w:spacing w:after="120" w:before="0" w:line="276"/>
        <w:jc w:val="both"/>
      </w:pPr>
      <w:r>
        <w:rPr>
          <w:rFonts w:ascii="Open Sans" w:cs="Open Sans" w:eastAsia="Open Sans" w:hAnsi="Open Sans"/>
        </w:rPr>
        <w:t xml:space="preserve">Les congés payés sont provisionnés et payés chaque mois à hauteur de 10 % du salaire mensuel et de l’indemnité d’apport d’affaires.</w:t>
      </w:r>
    </w:p>
    <w:p>
      <w:pPr>
        <w:keepNext/>
        <w:keepLines/>
        <w:pBdr>
          <w:bottom w:val="single" w:color="C187A1" w:sz="6" w:space="4"/>
        </w:pBdr>
        <w:spacing w:after="120" w:before="300"/>
      </w:pPr>
      <w:bookmarkStart w:name="cdi_15" w:id="16"/>
      <w:r>
        <w:rPr>
          <w:rFonts w:ascii="Open Sans" w:cs="Open Sans" w:eastAsia="Open Sans" w:hAnsi="Open Sans"/>
          <w:b/>
          <w:bCs/>
          <w:color w:val="784E61"/>
          <w:spacing w:val="20"/>
          <w:sz w:val="18"/>
          <w:szCs w:val="18"/>
        </w:rPr>
        <w:t xml:space="preserve">ARTICLE 15  </w:t>
      </w:r>
      <w:r>
        <w:rPr>
          <w:rFonts w:ascii="Open Sans" w:cs="Open Sans" w:eastAsia="Open Sans" w:hAnsi="Open Sans"/>
          <w:b/>
          <w:bCs/>
          <w:color w:val="21324E"/>
          <w:spacing w:val="10"/>
          <w:sz w:val="21"/>
          <w:szCs w:val="21"/>
        </w:rPr>
        <w:t xml:space="preserve">ANCIENNETÉ</w:t>
      </w:r>
      <w:bookmarkEnd w:id="16"/>
    </w:p>
    <w:p>
      <w:pPr>
        <w:spacing w:after="120" w:before="0" w:line="276"/>
        <w:jc w:val="both"/>
      </w:pPr>
      <w:r>
        <w:rPr>
          <w:rFonts w:ascii="Open Sans" w:cs="Open Sans" w:eastAsia="Open Sans" w:hAnsi="Open Sans"/>
        </w:rPr>
        <w:t xml:space="preserve">L’ancienneté du Salarié porté s’apprécie en totalisant les périodes pendant lesquelles il a effectué des prestations de portage salarial dans le cadre du présent contrat. Elle détermine sa classification conformément à la convention collective applicable.</w:t>
      </w:r>
    </w:p>
    <w:p>
      <w:pPr>
        <w:keepNext/>
        <w:keepLines/>
        <w:pBdr>
          <w:bottom w:val="single" w:color="C187A1" w:sz="6" w:space="4"/>
        </w:pBdr>
        <w:spacing w:after="120" w:before="300"/>
      </w:pPr>
      <w:bookmarkStart w:name="cdi_16" w:id="17"/>
      <w:r>
        <w:rPr>
          <w:rFonts w:ascii="Open Sans" w:cs="Open Sans" w:eastAsia="Open Sans" w:hAnsi="Open Sans"/>
          <w:b/>
          <w:bCs/>
          <w:color w:val="784E61"/>
          <w:spacing w:val="20"/>
          <w:sz w:val="18"/>
          <w:szCs w:val="18"/>
        </w:rPr>
        <w:t xml:space="preserve">ARTICLE 16  </w:t>
      </w:r>
      <w:r>
        <w:rPr>
          <w:rFonts w:ascii="Open Sans" w:cs="Open Sans" w:eastAsia="Open Sans" w:hAnsi="Open Sans"/>
          <w:b/>
          <w:bCs/>
          <w:color w:val="21324E"/>
          <w:spacing w:val="10"/>
          <w:sz w:val="21"/>
          <w:szCs w:val="21"/>
        </w:rPr>
        <w:t xml:space="preserve">PROTECTION SOCIALE</w:t>
      </w:r>
      <w:bookmarkEnd w:id="17"/>
    </w:p>
    <w:p>
      <w:pPr>
        <w:spacing w:after="120" w:before="0" w:line="276"/>
        <w:jc w:val="both"/>
      </w:pPr>
      <w:r>
        <w:rPr>
          <w:rFonts w:ascii="Open Sans" w:cs="Open Sans" w:eastAsia="Open Sans" w:hAnsi="Open Sans"/>
        </w:rPr>
        <w:t xml:space="preserve">La déclaration préalable à l’embauche du Salarié porté est effectuée auprès de l’URSSAF de Nanterre. Le Salarié porté bénéficie de tous les droits et avantages reconnus aux salariés de l’entreprise, résultant du Code du travail, du présent contrat et de la Convention collective de branche des salariés en portage salarial (IDCC 3219).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000"/>
        <w:gridCol w:w="3038"/>
      </w:tblGrid>
      <w:tr>
        <w:tc>
          <w:tcPr>
            <w:tcW w:type="dxa" w:w="3600"/>
            <w:tcBorders>
              <w:top w:val="none" w:color="FFFFFF" w:sz="0"/>
              <w:left w:val="none" w:color="FFFFFF" w:sz="0"/>
              <w:bottom w:val="single" w:color="D7D7D7" w:sz="4"/>
              <w:right w:val="none" w:color="FFFFFF" w:sz="0"/>
            </w:tcBorders>
            <w:shd w:fill="21324E" w:color="auto" w:val="clear"/>
            <w:tcMar>
              <w:top w:type="dxa" w:w="90"/>
              <w:left w:type="dxa" w:w="180"/>
              <w:bottom w:type="dxa" w:w="90"/>
              <w:right w:type="dxa" w:w="180"/>
            </w:tcMar>
            <w:vAlign w:val="top"/>
          </w:tcPr>
          <w:p>
            <w:r>
              <w:rPr>
                <w:rFonts w:ascii="Open Sans" w:cs="Open Sans" w:eastAsia="Open Sans" w:hAnsi="Open Sans"/>
                <w:b/>
                <w:bCs/>
                <w:color w:val="FFFFFF"/>
                <w:sz w:val="17"/>
                <w:szCs w:val="17"/>
              </w:rPr>
              <w:t xml:space="preserve">Garantie</w:t>
            </w:r>
          </w:p>
        </w:tc>
        <w:tc>
          <w:tcPr>
            <w:tcW w:type="dxa" w:w="3000"/>
            <w:tcBorders>
              <w:top w:val="none" w:color="FFFFFF" w:sz="0"/>
              <w:left w:val="none" w:color="FFFFFF" w:sz="0"/>
              <w:bottom w:val="single" w:color="D7D7D7" w:sz="4"/>
              <w:right w:val="none" w:color="FFFFFF" w:sz="0"/>
            </w:tcBorders>
            <w:shd w:fill="21324E" w:color="auto" w:val="clear"/>
            <w:tcMar>
              <w:top w:type="dxa" w:w="90"/>
              <w:left w:type="dxa" w:w="180"/>
              <w:bottom w:type="dxa" w:w="90"/>
              <w:right w:type="dxa" w:w="180"/>
            </w:tcMar>
            <w:vAlign w:val="top"/>
          </w:tcPr>
          <w:p>
            <w:r>
              <w:rPr>
                <w:rFonts w:ascii="Open Sans" w:cs="Open Sans" w:eastAsia="Open Sans" w:hAnsi="Open Sans"/>
                <w:b/>
                <w:bCs/>
                <w:color w:val="FFFFFF"/>
                <w:sz w:val="17"/>
                <w:szCs w:val="17"/>
              </w:rPr>
              <w:t xml:space="preserve">Organisme</w:t>
            </w:r>
          </w:p>
        </w:tc>
        <w:tc>
          <w:tcPr>
            <w:tcW w:type="dxa" w:w="3038"/>
            <w:tcBorders>
              <w:top w:val="none" w:color="FFFFFF" w:sz="0"/>
              <w:left w:val="none" w:color="FFFFFF" w:sz="0"/>
              <w:bottom w:val="single" w:color="D7D7D7" w:sz="4"/>
              <w:right w:val="none" w:color="FFFFFF" w:sz="0"/>
            </w:tcBorders>
            <w:shd w:fill="21324E" w:color="auto" w:val="clear"/>
            <w:tcMar>
              <w:top w:type="dxa" w:w="90"/>
              <w:left w:type="dxa" w:w="180"/>
              <w:bottom w:type="dxa" w:w="90"/>
              <w:right w:type="dxa" w:w="180"/>
            </w:tcMar>
            <w:vAlign w:val="top"/>
          </w:tcPr>
          <w:p>
            <w:r>
              <w:rPr>
                <w:rFonts w:ascii="Open Sans" w:cs="Open Sans" w:eastAsia="Open Sans" w:hAnsi="Open Sans"/>
                <w:b/>
                <w:bCs/>
                <w:color w:val="FFFFFF"/>
                <w:sz w:val="17"/>
                <w:szCs w:val="17"/>
              </w:rPr>
              <w:t xml:space="preserve">N° de contrat</w:t>
            </w:r>
          </w:p>
        </w:tc>
      </w:tr>
      <w:tr>
        <w:tc>
          <w:tcPr>
            <w:tcW w:type="dxa" w:w="3600"/>
            <w:tcBorders>
              <w:top w:val="none" w:color="FFFFFF" w:sz="0"/>
              <w:left w:val="none" w:color="FFFFFF" w:sz="0"/>
              <w:bottom w:val="single" w:color="D7D7D7" w:sz="4"/>
              <w:right w:val="none" w:color="FFFFFF" w:sz="0"/>
            </w:tcBorders>
            <w:shd w:fill="FFFFFF" w:color="auto" w:val="clear"/>
            <w:tcMar>
              <w:top w:type="dxa" w:w="90"/>
              <w:left w:type="dxa" w:w="180"/>
              <w:bottom w:type="dxa" w:w="90"/>
              <w:right w:type="dxa" w:w="180"/>
            </w:tcMar>
            <w:vAlign w:val="top"/>
          </w:tcPr>
          <w:p>
            <w:r>
              <w:rPr>
                <w:rFonts w:ascii="Open Sans" w:cs="Open Sans" w:eastAsia="Open Sans" w:hAnsi="Open Sans"/>
                <w:b w:val="false"/>
                <w:bCs w:val="false"/>
                <w:color w:val="1B1C1C"/>
                <w:sz w:val="19"/>
                <w:szCs w:val="19"/>
              </w:rPr>
              <w:t xml:space="preserve">Retraite complémentaire</w:t>
            </w:r>
          </w:p>
        </w:tc>
        <w:tc>
          <w:tcPr>
            <w:tcW w:type="dxa" w:w="3000"/>
            <w:tcBorders>
              <w:top w:val="none" w:color="FFFFFF" w:sz="0"/>
              <w:left w:val="none" w:color="FFFFFF" w:sz="0"/>
              <w:bottom w:val="single" w:color="D7D7D7" w:sz="4"/>
              <w:right w:val="none" w:color="FFFFFF" w:sz="0"/>
            </w:tcBorders>
            <w:shd w:fill="FFFFFF" w:color="auto" w:val="clear"/>
            <w:tcMar>
              <w:top w:type="dxa" w:w="90"/>
              <w:left w:type="dxa" w:w="180"/>
              <w:bottom w:type="dxa" w:w="90"/>
              <w:right w:type="dxa" w:w="180"/>
            </w:tcMar>
            <w:vAlign w:val="top"/>
          </w:tcPr>
          <w:p>
            <w:r>
              <w:rPr>
                <w:rFonts w:ascii="Open Sans" w:cs="Open Sans" w:eastAsia="Open Sans" w:hAnsi="Open Sans"/>
                <w:b w:val="false"/>
                <w:bCs w:val="false"/>
                <w:color w:val="1B1C1C"/>
                <w:sz w:val="19"/>
                <w:szCs w:val="19"/>
              </w:rPr>
              <w:t xml:space="preserve">Malakoff Humanis</w:t>
            </w:r>
          </w:p>
        </w:tc>
        <w:tc>
          <w:tcPr>
            <w:tcW w:type="dxa" w:w="3038"/>
            <w:tcBorders>
              <w:top w:val="none" w:color="FFFFFF" w:sz="0"/>
              <w:left w:val="none" w:color="FFFFFF" w:sz="0"/>
              <w:bottom w:val="single" w:color="D7D7D7" w:sz="4"/>
              <w:right w:val="none" w:color="FFFFFF" w:sz="0"/>
            </w:tcBorders>
            <w:shd w:fill="FFFFFF" w:color="auto" w:val="clear"/>
            <w:tcMar>
              <w:top w:type="dxa" w:w="90"/>
              <w:left w:type="dxa" w:w="180"/>
              <w:bottom w:type="dxa" w:w="90"/>
              <w:right w:type="dxa" w:w="180"/>
            </w:tcMar>
            <w:vAlign w:val="top"/>
          </w:tcPr>
          <w:p>
            <w:r>
              <w:rPr>
                <w:rFonts w:ascii="Open Sans" w:cs="Open Sans" w:eastAsia="Open Sans" w:hAnsi="Open Sans"/>
                <w:b w:val="false"/>
                <w:bCs w:val="false"/>
                <w:color w:val="1B1C1C"/>
                <w:sz w:val="19"/>
                <w:szCs w:val="19"/>
              </w:rPr>
              <w:t xml:space="preserve">26193578</w:t>
            </w:r>
          </w:p>
        </w:tc>
      </w:tr>
      <w:tr>
        <w:tc>
          <w:tcPr>
            <w:tcW w:type="dxa" w:w="3600"/>
            <w:tcBorders>
              <w:top w:val="none" w:color="FFFFFF" w:sz="0"/>
              <w:left w:val="none" w:color="FFFFFF" w:sz="0"/>
              <w:bottom w:val="single" w:color="D7D7D7" w:sz="4"/>
              <w:right w:val="none" w:color="FFFFFF" w:sz="0"/>
            </w:tcBorders>
            <w:shd w:fill="F1F4F7" w:color="auto" w:val="clear"/>
            <w:tcMar>
              <w:top w:type="dxa" w:w="90"/>
              <w:left w:type="dxa" w:w="180"/>
              <w:bottom w:type="dxa" w:w="90"/>
              <w:right w:type="dxa" w:w="180"/>
            </w:tcMar>
            <w:vAlign w:val="top"/>
          </w:tcPr>
          <w:p>
            <w:r>
              <w:rPr>
                <w:rFonts w:ascii="Open Sans" w:cs="Open Sans" w:eastAsia="Open Sans" w:hAnsi="Open Sans"/>
                <w:b w:val="false"/>
                <w:bCs w:val="false"/>
                <w:color w:val="1B1C1C"/>
                <w:sz w:val="19"/>
                <w:szCs w:val="19"/>
              </w:rPr>
              <w:t xml:space="preserve">Prévoyance</w:t>
            </w:r>
          </w:p>
        </w:tc>
        <w:tc>
          <w:tcPr>
            <w:tcW w:type="dxa" w:w="3000"/>
            <w:tcBorders>
              <w:top w:val="none" w:color="FFFFFF" w:sz="0"/>
              <w:left w:val="none" w:color="FFFFFF" w:sz="0"/>
              <w:bottom w:val="single" w:color="D7D7D7" w:sz="4"/>
              <w:right w:val="none" w:color="FFFFFF" w:sz="0"/>
            </w:tcBorders>
            <w:shd w:fill="F1F4F7" w:color="auto" w:val="clear"/>
            <w:tcMar>
              <w:top w:type="dxa" w:w="90"/>
              <w:left w:type="dxa" w:w="180"/>
              <w:bottom w:type="dxa" w:w="90"/>
              <w:right w:type="dxa" w:w="180"/>
            </w:tcMar>
            <w:vAlign w:val="top"/>
          </w:tcPr>
          <w:p>
            <w:r>
              <w:rPr>
                <w:rFonts w:ascii="Open Sans" w:cs="Open Sans" w:eastAsia="Open Sans" w:hAnsi="Open Sans"/>
                <w:b w:val="false"/>
                <w:bCs w:val="false"/>
                <w:color w:val="1B1C1C"/>
                <w:sz w:val="19"/>
                <w:szCs w:val="19"/>
              </w:rPr>
              <w:t xml:space="preserve">Benefiz</w:t>
            </w:r>
          </w:p>
        </w:tc>
        <w:tc>
          <w:tcPr>
            <w:tcW w:type="dxa" w:w="3038"/>
            <w:tcBorders>
              <w:top w:val="none" w:color="FFFFFF" w:sz="0"/>
              <w:left w:val="none" w:color="FFFFFF" w:sz="0"/>
              <w:bottom w:val="single" w:color="D7D7D7" w:sz="4"/>
              <w:right w:val="none" w:color="FFFFFF" w:sz="0"/>
            </w:tcBorders>
            <w:shd w:fill="F1F4F7" w:color="auto" w:val="clear"/>
            <w:tcMar>
              <w:top w:type="dxa" w:w="90"/>
              <w:left w:type="dxa" w:w="180"/>
              <w:bottom w:type="dxa" w:w="90"/>
              <w:right w:type="dxa" w:w="180"/>
            </w:tcMar>
            <w:vAlign w:val="top"/>
          </w:tcPr>
          <w:p>
            <w:r>
              <w:rPr>
                <w:rFonts w:ascii="Open Sans" w:cs="Open Sans" w:eastAsia="Open Sans" w:hAnsi="Open Sans"/>
                <w:b w:val="false"/>
                <w:bCs w:val="false"/>
                <w:color w:val="1B1C1C"/>
                <w:sz w:val="19"/>
                <w:szCs w:val="19"/>
              </w:rPr>
              <w:t xml:space="preserve">A 7181 - 07/2022</w:t>
            </w:r>
          </w:p>
        </w:tc>
      </w:tr>
      <w:tr>
        <w:tc>
          <w:tcPr>
            <w:tcW w:type="dxa" w:w="3600"/>
            <w:tcBorders>
              <w:top w:val="none" w:color="FFFFFF" w:sz="0"/>
              <w:left w:val="none" w:color="FFFFFF" w:sz="0"/>
              <w:bottom w:val="single" w:color="D7D7D7" w:sz="4"/>
              <w:right w:val="none" w:color="FFFFFF" w:sz="0"/>
            </w:tcBorders>
            <w:shd w:fill="FFFFFF" w:color="auto" w:val="clear"/>
            <w:tcMar>
              <w:top w:type="dxa" w:w="90"/>
              <w:left w:type="dxa" w:w="180"/>
              <w:bottom w:type="dxa" w:w="90"/>
              <w:right w:type="dxa" w:w="180"/>
            </w:tcMar>
            <w:vAlign w:val="top"/>
          </w:tcPr>
          <w:p>
            <w:r>
              <w:rPr>
                <w:rFonts w:ascii="Open Sans" w:cs="Open Sans" w:eastAsia="Open Sans" w:hAnsi="Open Sans"/>
                <w:b w:val="false"/>
                <w:bCs w:val="false"/>
                <w:color w:val="1B1C1C"/>
                <w:sz w:val="19"/>
                <w:szCs w:val="19"/>
              </w:rPr>
              <w:t xml:space="preserve">Mutuelle santé</w:t>
            </w:r>
          </w:p>
        </w:tc>
        <w:tc>
          <w:tcPr>
            <w:tcW w:type="dxa" w:w="3000"/>
            <w:tcBorders>
              <w:top w:val="none" w:color="FFFFFF" w:sz="0"/>
              <w:left w:val="none" w:color="FFFFFF" w:sz="0"/>
              <w:bottom w:val="single" w:color="D7D7D7" w:sz="4"/>
              <w:right w:val="none" w:color="FFFFFF" w:sz="0"/>
            </w:tcBorders>
            <w:shd w:fill="FFFFFF" w:color="auto" w:val="clear"/>
            <w:tcMar>
              <w:top w:type="dxa" w:w="90"/>
              <w:left w:type="dxa" w:w="180"/>
              <w:bottom w:type="dxa" w:w="90"/>
              <w:right w:type="dxa" w:w="180"/>
            </w:tcMar>
            <w:vAlign w:val="top"/>
          </w:tcPr>
          <w:p>
            <w:r>
              <w:rPr>
                <w:rFonts w:ascii="Open Sans" w:cs="Open Sans" w:eastAsia="Open Sans" w:hAnsi="Open Sans"/>
                <w:b w:val="false"/>
                <w:bCs w:val="false"/>
                <w:color w:val="1B1C1C"/>
                <w:sz w:val="19"/>
                <w:szCs w:val="19"/>
              </w:rPr>
              <w:t xml:space="preserve">Benefiz</w:t>
            </w:r>
          </w:p>
        </w:tc>
        <w:tc>
          <w:tcPr>
            <w:tcW w:type="dxa" w:w="3038"/>
            <w:tcBorders>
              <w:top w:val="none" w:color="FFFFFF" w:sz="0"/>
              <w:left w:val="none" w:color="FFFFFF" w:sz="0"/>
              <w:bottom w:val="single" w:color="D7D7D7" w:sz="4"/>
              <w:right w:val="none" w:color="FFFFFF" w:sz="0"/>
            </w:tcBorders>
            <w:shd w:fill="FFFFFF" w:color="auto" w:val="clear"/>
            <w:tcMar>
              <w:top w:type="dxa" w:w="90"/>
              <w:left w:type="dxa" w:w="180"/>
              <w:bottom w:type="dxa" w:w="90"/>
              <w:right w:type="dxa" w:w="180"/>
            </w:tcMar>
            <w:vAlign w:val="top"/>
          </w:tcPr>
          <w:p>
            <w:r>
              <w:rPr>
                <w:rFonts w:ascii="Open Sans" w:cs="Open Sans" w:eastAsia="Open Sans" w:hAnsi="Open Sans"/>
                <w:b w:val="false"/>
                <w:bCs w:val="false"/>
                <w:color w:val="1B1C1C"/>
                <w:sz w:val="19"/>
                <w:szCs w:val="19"/>
              </w:rPr>
              <w:t xml:space="preserve">CTMC520R800</w:t>
            </w:r>
          </w:p>
        </w:tc>
      </w:tr>
    </w:tbl>
    <w:p>
      <w:pPr>
        <w:keepNext/>
        <w:keepLines/>
        <w:pBdr>
          <w:bottom w:val="single" w:color="C187A1" w:sz="6" w:space="4"/>
        </w:pBdr>
        <w:spacing w:after="120" w:before="300"/>
      </w:pPr>
      <w:bookmarkStart w:name="cdi_17" w:id="18"/>
      <w:r>
        <w:rPr>
          <w:rFonts w:ascii="Open Sans" w:cs="Open Sans" w:eastAsia="Open Sans" w:hAnsi="Open Sans"/>
          <w:b/>
          <w:bCs/>
          <w:color w:val="784E61"/>
          <w:spacing w:val="20"/>
          <w:sz w:val="18"/>
          <w:szCs w:val="18"/>
        </w:rPr>
        <w:t xml:space="preserve">ARTICLE 17  </w:t>
      </w:r>
      <w:r>
        <w:rPr>
          <w:rFonts w:ascii="Open Sans" w:cs="Open Sans" w:eastAsia="Open Sans" w:hAnsi="Open Sans"/>
          <w:b/>
          <w:bCs/>
          <w:color w:val="21324E"/>
          <w:spacing w:val="10"/>
          <w:sz w:val="21"/>
          <w:szCs w:val="21"/>
        </w:rPr>
        <w:t xml:space="preserve">GARANTIE FINANCIÈRE</w:t>
      </w:r>
      <w:bookmarkEnd w:id="18"/>
    </w:p>
    <w:p>
      <w:pPr>
        <w:spacing w:after="120" w:before="0" w:line="276"/>
        <w:jc w:val="both"/>
      </w:pPr>
      <w:r>
        <w:rPr>
          <w:rFonts w:ascii="Open Sans" w:cs="Open Sans" w:eastAsia="Open Sans" w:hAnsi="Open Sans"/>
        </w:rPr>
        <w:t xml:space="preserve">Le garant financier de l’EPS est </w:t>
      </w:r>
      <w:r>
        <w:rPr>
          <w:rFonts w:ascii="Open Sans" w:cs="Open Sans" w:eastAsia="Open Sans" w:hAnsi="Open Sans"/>
          <w:b/>
          <w:bCs/>
        </w:rPr>
        <w:t xml:space="preserve">AXA France IARD</w:t>
      </w:r>
      <w:r>
        <w:rPr>
          <w:rFonts w:ascii="Open Sans" w:cs="Open Sans" w:eastAsia="Open Sans" w:hAnsi="Open Sans"/>
        </w:rPr>
        <w:t xml:space="preserve">, sis 313 Terrasses de l’Arche, 92727 Nanterre Cedex, immatriculé au Registre du Commerce et des Sociétés de Nanterre sous le numéro 722 057 460.</w:t>
      </w:r>
    </w:p>
    <w:p>
      <w:pPr>
        <w:keepNext/>
        <w:keepLines/>
        <w:pBdr>
          <w:bottom w:val="single" w:color="C187A1" w:sz="6" w:space="4"/>
        </w:pBdr>
        <w:spacing w:after="120" w:before="300"/>
      </w:pPr>
      <w:bookmarkStart w:name="cdi_18" w:id="19"/>
      <w:r>
        <w:rPr>
          <w:rFonts w:ascii="Open Sans" w:cs="Open Sans" w:eastAsia="Open Sans" w:hAnsi="Open Sans"/>
          <w:b/>
          <w:bCs/>
          <w:color w:val="784E61"/>
          <w:spacing w:val="20"/>
          <w:sz w:val="18"/>
          <w:szCs w:val="18"/>
        </w:rPr>
        <w:t xml:space="preserve">ARTICLE 18  </w:t>
      </w:r>
      <w:r>
        <w:rPr>
          <w:rFonts w:ascii="Open Sans" w:cs="Open Sans" w:eastAsia="Open Sans" w:hAnsi="Open Sans"/>
          <w:b/>
          <w:bCs/>
          <w:color w:val="21324E"/>
          <w:spacing w:val="10"/>
          <w:sz w:val="21"/>
          <w:szCs w:val="21"/>
        </w:rPr>
        <w:t xml:space="preserve">ASSURANCE</w:t>
      </w:r>
      <w:bookmarkEnd w:id="19"/>
    </w:p>
    <w:p>
      <w:pPr>
        <w:spacing w:after="120" w:before="0" w:line="276"/>
        <w:jc w:val="both"/>
      </w:pPr>
      <w:r>
        <w:rPr>
          <w:rFonts w:ascii="Open Sans" w:cs="Open Sans" w:eastAsia="Open Sans" w:hAnsi="Open Sans"/>
        </w:rPr>
        <w:t xml:space="preserve">L’EPS est assurée pour les dommages provoqués par le Salarié porté dans la ou les entreprises clientes pendant l’exécution des prestations : responsabilité civile professionnelle souscrite auprès d’AXA France IARD SA, contrat n° 0000022531127904.</w:t>
      </w:r>
    </w:p>
    <w:p>
      <w:pPr>
        <w:keepNext/>
        <w:keepLines/>
        <w:pBdr>
          <w:bottom w:val="single" w:color="C187A1" w:sz="6" w:space="4"/>
        </w:pBdr>
        <w:spacing w:after="120" w:before="300"/>
      </w:pPr>
      <w:bookmarkStart w:name="cdi_19" w:id="20"/>
      <w:r>
        <w:rPr>
          <w:rFonts w:ascii="Open Sans" w:cs="Open Sans" w:eastAsia="Open Sans" w:hAnsi="Open Sans"/>
          <w:b/>
          <w:bCs/>
          <w:color w:val="784E61"/>
          <w:spacing w:val="20"/>
          <w:sz w:val="18"/>
          <w:szCs w:val="18"/>
        </w:rPr>
        <w:t xml:space="preserve">ARTICLE 19  </w:t>
      </w:r>
      <w:r>
        <w:rPr>
          <w:rFonts w:ascii="Open Sans" w:cs="Open Sans" w:eastAsia="Open Sans" w:hAnsi="Open Sans"/>
          <w:b/>
          <w:bCs/>
          <w:color w:val="21324E"/>
          <w:spacing w:val="10"/>
          <w:sz w:val="21"/>
          <w:szCs w:val="21"/>
        </w:rPr>
        <w:t xml:space="preserve">RUPTURE</w:t>
      </w:r>
      <w:bookmarkEnd w:id="20"/>
    </w:p>
    <w:p>
      <w:pPr>
        <w:spacing w:after="120" w:before="0" w:line="276"/>
        <w:jc w:val="both"/>
      </w:pPr>
      <w:r>
        <w:rPr>
          <w:rFonts w:ascii="Open Sans" w:cs="Open Sans" w:eastAsia="Open Sans" w:hAnsi="Open Sans"/>
        </w:rPr>
        <w:t xml:space="preserve">La rupture du présent contrat de travail ne peut intervenir que pour les causes et selon les formes prévues par le Code du travail et la convention collective applicable.</w:t>
      </w:r>
    </w:p>
    <w:p>
      <w:pPr>
        <w:keepNext/>
        <w:keepLines/>
        <w:pBdr>
          <w:bottom w:val="single" w:color="C187A1" w:sz="6" w:space="4"/>
        </w:pBdr>
        <w:spacing w:after="120" w:before="300"/>
      </w:pPr>
      <w:bookmarkStart w:name="cdi_20" w:id="21"/>
      <w:r>
        <w:rPr>
          <w:rFonts w:ascii="Open Sans" w:cs="Open Sans" w:eastAsia="Open Sans" w:hAnsi="Open Sans"/>
          <w:b/>
          <w:bCs/>
          <w:color w:val="784E61"/>
          <w:spacing w:val="20"/>
          <w:sz w:val="18"/>
          <w:szCs w:val="18"/>
        </w:rPr>
        <w:t xml:space="preserve">ARTICLE 20  </w:t>
      </w:r>
      <w:r>
        <w:rPr>
          <w:rFonts w:ascii="Open Sans" w:cs="Open Sans" w:eastAsia="Open Sans" w:hAnsi="Open Sans"/>
          <w:b/>
          <w:bCs/>
          <w:color w:val="21324E"/>
          <w:spacing w:val="10"/>
          <w:sz w:val="21"/>
          <w:szCs w:val="21"/>
        </w:rPr>
        <w:t xml:space="preserve">RESTITUTION DU MATÉRIEL</w:t>
      </w:r>
      <w:bookmarkEnd w:id="21"/>
    </w:p>
    <w:p>
      <w:pPr>
        <w:spacing w:after="120" w:before="0" w:line="276"/>
        <w:jc w:val="both"/>
      </w:pPr>
      <w:r>
        <w:rPr>
          <w:rFonts w:ascii="Open Sans" w:cs="Open Sans" w:eastAsia="Open Sans" w:hAnsi="Open Sans"/>
        </w:rPr>
        <w:t xml:space="preserve">Le matériel, les équipements, badges, cartes d’accès, identifiants, documents et données mis à disposition du Salarié porté par l’entreprise cliente ou le client final pour les besoins d’une prestation (ci-après « le Matériel ») restent leur propriété exclusive. Le Salarié porté en assure la garde et s’interdit tout usage étranger à la mission.</w:t>
      </w:r>
    </w:p>
    <w:p>
      <w:pPr>
        <w:spacing w:after="120" w:before="0" w:line="276"/>
        <w:jc w:val="both"/>
      </w:pPr>
      <w:r>
        <w:rPr>
          <w:rFonts w:ascii="Open Sans" w:cs="Open Sans" w:eastAsia="Open Sans" w:hAnsi="Open Sans"/>
        </w:rPr>
        <w:t xml:space="preserve">Le Salarié porté restitue l’intégralité du Matériel, en bon état d’usage, </w:t>
      </w:r>
      <w:r>
        <w:rPr>
          <w:rFonts w:ascii="Open Sans" w:cs="Open Sans" w:eastAsia="Open Sans" w:hAnsi="Open Sans"/>
          <w:b/>
          <w:bCs/>
        </w:rPr>
        <w:t xml:space="preserve">au plus tard le dernier jour de la prestation</w:t>
      </w:r>
      <w:r>
        <w:rPr>
          <w:rFonts w:ascii="Open Sans" w:cs="Open Sans" w:eastAsia="Open Sans" w:hAnsi="Open Sans"/>
        </w:rPr>
        <w:t xml:space="preserve">, quelle que soit la cause de la fin de la mission ou du contrat. La restitution est constatée par un procès-verbal de restitution signé par l’entreprise cliente, ou par un courrier électronique de celle-ci confirmant la restitution complète, que le Salarié porté transmet sans délai à l’EPS. À défaut de ce justificatif, le Matériel est réputé non restitué. Le Salarié porté efface en outre toute donnée du client conservée sur ses propres outils et en atteste par écrit.</w:t>
      </w:r>
    </w:p>
    <w:p>
      <w:pPr>
        <w:keepNext/>
        <w:spacing w:after="120" w:before="0" w:line="276"/>
        <w:jc w:val="both"/>
      </w:pPr>
      <w:r>
        <w:rPr>
          <w:rFonts w:ascii="Open Sans" w:cs="Open Sans" w:eastAsia="Open Sans" w:hAnsi="Open Sans"/>
        </w:rPr>
        <w:t xml:space="preserve">À défaut de restitution complète à cette date :</w:t>
      </w:r>
    </w:p>
    <w:p>
      <w:pPr>
        <w:pStyle w:val="ListParagraph"/>
        <w:numPr>
          <w:ilvl w:val="0"/>
          <w:numId w:val="2"/>
        </w:numPr>
        <w:spacing w:after="80" w:line="276"/>
        <w:jc w:val="both"/>
      </w:pPr>
      <w:r>
        <w:rPr>
          <w:rFonts w:ascii="Open Sans" w:cs="Open Sans" w:eastAsia="Open Sans" w:hAnsi="Open Sans"/>
        </w:rPr>
        <w:t xml:space="preserve">l’EPS met en demeure le Salarié porté, par tout moyen écrit, de restituer le Matériel dans un délai de quarante-huit (48) heures ;</w:t>
      </w:r>
    </w:p>
    <w:p>
      <w:pPr>
        <w:pStyle w:val="ListParagraph"/>
        <w:numPr>
          <w:ilvl w:val="0"/>
          <w:numId w:val="2"/>
        </w:numPr>
        <w:spacing w:after="80" w:line="276"/>
        <w:jc w:val="both"/>
      </w:pPr>
      <w:r>
        <w:rPr>
          <w:rFonts w:ascii="Open Sans" w:cs="Open Sans" w:eastAsia="Open Sans" w:hAnsi="Open Sans"/>
        </w:rPr>
        <w:t xml:space="preserve">la non-restitution constitue un manquement grave du Salarié porté à ses obligations, susceptible de justifier une sanction disciplinaire pouvant aller jusqu’au licenciement ;</w:t>
      </w:r>
    </w:p>
    <w:p>
      <w:pPr>
        <w:pStyle w:val="ListParagraph"/>
        <w:numPr>
          <w:ilvl w:val="0"/>
          <w:numId w:val="2"/>
        </w:numPr>
        <w:spacing w:after="80" w:line="276"/>
        <w:jc w:val="both"/>
      </w:pPr>
      <w:r>
        <w:rPr>
          <w:rFonts w:ascii="Open Sans" w:cs="Open Sans" w:eastAsia="Open Sans" w:hAnsi="Open Sans"/>
        </w:rPr>
        <w:t xml:space="preserve">tant que la restitution n’est pas justifiée, l’EPS ne donne pas son accord à une rupture conventionnelle et ne signe aucune convention de rupture ;</w:t>
      </w:r>
    </w:p>
    <w:p>
      <w:pPr>
        <w:pStyle w:val="ListParagraph"/>
        <w:numPr>
          <w:ilvl w:val="0"/>
          <w:numId w:val="2"/>
        </w:numPr>
        <w:spacing w:after="80" w:line="276"/>
        <w:jc w:val="both"/>
      </w:pPr>
      <w:r>
        <w:rPr>
          <w:rFonts w:ascii="Open Sans" w:cs="Open Sans" w:eastAsia="Open Sans" w:hAnsi="Open Sans"/>
        </w:rPr>
        <w:t xml:space="preserve">le Salarié porté répond seul, à l’égard de l’EPS, des conséquences de la non-restitution. L’EPS se réserve le droit d’engager toute action pour obtenir la restitution du Matériel et la réparation du préjudice subi, notamment le remboursement de la valeur du Matériel non restitué qui lui aurait été facturée par le client.</w:t>
      </w:r>
    </w:p>
    <w:p>
      <w:pPr>
        <w:spacing w:after="120" w:before="80" w:line="276"/>
        <w:jc w:val="both"/>
      </w:pPr>
      <w:r>
        <w:rPr>
          <w:rFonts w:ascii="Open Sans" w:cs="Open Sans" w:eastAsia="Open Sans" w:hAnsi="Open Sans"/>
        </w:rPr>
        <w:t xml:space="preserve">Lors de l’établissement du solde de tout compte, l’EPS peut opérer une compensation au titre du Matériel non restitué dont le Salarié porté avait la charge et l’usage, dans les conditions et limites prévues par les articles L.3251-1 et suivants du Code du travail.</w:t>
      </w:r>
    </w:p>
    <w:p>
      <w:pPr>
        <w:keepNext/>
        <w:keepLines/>
        <w:pBdr>
          <w:bottom w:val="single" w:color="C187A1" w:sz="6" w:space="4"/>
        </w:pBdr>
        <w:spacing w:after="120" w:before="300"/>
      </w:pPr>
      <w:bookmarkStart w:name="cdi_21" w:id="22"/>
      <w:r>
        <w:rPr>
          <w:rFonts w:ascii="Open Sans" w:cs="Open Sans" w:eastAsia="Open Sans" w:hAnsi="Open Sans"/>
          <w:b/>
          <w:bCs/>
          <w:color w:val="784E61"/>
          <w:spacing w:val="20"/>
          <w:sz w:val="18"/>
          <w:szCs w:val="18"/>
        </w:rPr>
        <w:t xml:space="preserve">ARTICLE 21  </w:t>
      </w:r>
      <w:r>
        <w:rPr>
          <w:rFonts w:ascii="Open Sans" w:cs="Open Sans" w:eastAsia="Open Sans" w:hAnsi="Open Sans"/>
          <w:b/>
          <w:bCs/>
          <w:color w:val="21324E"/>
          <w:spacing w:val="10"/>
          <w:sz w:val="21"/>
          <w:szCs w:val="21"/>
        </w:rPr>
        <w:t xml:space="preserve">LITIGES</w:t>
      </w:r>
      <w:bookmarkEnd w:id="22"/>
    </w:p>
    <w:p>
      <w:pPr>
        <w:spacing w:after="120" w:before="0" w:line="276"/>
        <w:jc w:val="both"/>
      </w:pPr>
      <w:r>
        <w:rPr>
          <w:rFonts w:ascii="Open Sans" w:cs="Open Sans" w:eastAsia="Open Sans" w:hAnsi="Open Sans"/>
        </w:rPr>
        <w:t xml:space="preserve">Les litiges relatifs à l’exécution du présent contrat de droit privé relèvent de la compétence du Conseil de prud’hommes de Nanterre.</w:t>
      </w:r>
    </w:p>
    <w:p>
      <w:pPr>
        <w:keepNext/>
        <w:spacing w:after="240" w:before="300" w:line="276"/>
        <w:jc w:val="both"/>
      </w:pPr>
      <w:r>
        <w:rPr>
          <w:rFonts w:ascii="Open Sans" w:cs="Open Sans" w:eastAsia="Open Sans" w:hAnsi="Open Sans"/>
        </w:rPr>
        <w:t xml:space="preserve">Fait à Bois-Colombes, en deux exemplaires originaux, le </w:t>
      </w:r>
      <w:r>
        <w:rPr>
          <w:rFonts w:ascii="Open Sans" w:cs="Open Sans" w:eastAsia="Open Sans" w:hAnsi="Open Sans"/>
        </w:rPr>
        <w:t xml:space="preserve">[[date_signature]]</w:t>
      </w:r>
      <w:r>
        <w:rPr>
          <w:rFonts w:ascii="Open Sans" w:cs="Open Sans" w:eastAsia="Open Sans" w:hAnsi="Open Sans"/>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single" w:color="D7D7D7" w:sz="6"/>
              <w:left w:val="single" w:color="D7D7D7" w:sz="6"/>
              <w:bottom w:val="single" w:color="D7D7D7" w:sz="6"/>
              <w:right w:val="single" w:color="D7D7D7" w:sz="6"/>
            </w:tcBorders>
            <w:tcMar>
              <w:top w:type="dxa" w:w="200"/>
              <w:left w:type="dxa" w:w="180"/>
              <w:bottom w:type="dxa" w:w="200"/>
              <w:right w:type="dxa" w:w="180"/>
            </w:tcMar>
            <w:vAlign w:val="top"/>
          </w:tcPr>
          <w:p>
            <w:pPr>
              <w:spacing w:after="80"/>
            </w:pPr>
            <w:r>
              <w:rPr>
                <w:rFonts w:ascii="Open Sans" w:cs="Open Sans" w:eastAsia="Open Sans" w:hAnsi="Open Sans"/>
                <w:b/>
                <w:bCs/>
                <w:color w:val="784E61"/>
                <w:spacing w:val="30"/>
                <w:sz w:val="16"/>
                <w:szCs w:val="16"/>
              </w:rPr>
              <w:t xml:space="preserve">POUR L’EPS · HT PORTAGE</w:t>
            </w:r>
          </w:p>
          <w:p>
            <w:pPr>
              <w:spacing w:after="40"/>
            </w:pPr>
            <w:r>
              <w:rPr>
                <w:rFonts w:ascii="Open Sans" w:cs="Open Sans" w:eastAsia="Open Sans" w:hAnsi="Open Sans"/>
                <w:color w:val="4A5468"/>
                <w:sz w:val="18"/>
                <w:szCs w:val="18"/>
              </w:rPr>
              <w:t xml:space="preserve">SARL Wadi ESSAFI, Président</w:t>
            </w:r>
          </w:p>
          <w:p>
            <w:pPr>
              <w:spacing w:after="40"/>
            </w:pPr>
            <w:r>
              <w:rPr>
                <w:rFonts w:ascii="Open Sans" w:cs="Open Sans" w:eastAsia="Open Sans" w:hAnsi="Open Sans"/>
                <w:sz w:val="18"/>
                <w:szCs w:val="18"/>
              </w:rPr>
              <w:t xml:space="preserve"> </w:t>
            </w:r>
          </w:p>
          <w:p>
            <w:pPr>
              <w:spacing w:after="40"/>
            </w:pPr>
            <w:r>
              <w:rPr>
                <w:rFonts w:ascii="Open Sans" w:cs="Open Sans" w:eastAsia="Open Sans" w:hAnsi="Open Sans"/>
                <w:sz w:val="18"/>
                <w:szCs w:val="18"/>
              </w:rPr>
              <w:t xml:space="preserve"> </w:t>
            </w:r>
          </w:p>
          <w:p>
            <w:pPr>
              <w:spacing w:before="300"/>
            </w:pPr>
            <w:r>
              <w:rPr>
                <w:rFonts w:ascii="Arial" w:cs="Arial" w:eastAsia="Arial" w:hAnsi="Arial"/>
                <w:color w:val="FFFFFF"/>
                <w:sz w:val="20"/>
                <w:szCs w:val="20"/>
              </w:rPr>
              <w:t xml:space="preserve">{{s2|signature|180|70}}</w:t>
            </w:r>
          </w:p>
        </w:tc>
        <w:tc>
          <w:tcPr>
            <w:tcW w:type="dxa" w:w="4819"/>
            <w:tcBorders>
              <w:top w:val="single" w:color="D7D7D7" w:sz="6"/>
              <w:left w:val="single" w:color="D7D7D7" w:sz="6"/>
              <w:bottom w:val="single" w:color="D7D7D7" w:sz="6"/>
              <w:right w:val="single" w:color="D7D7D7" w:sz="6"/>
            </w:tcBorders>
            <w:tcMar>
              <w:top w:type="dxa" w:w="200"/>
              <w:left w:type="dxa" w:w="180"/>
              <w:bottom w:type="dxa" w:w="200"/>
              <w:right w:type="dxa" w:w="180"/>
            </w:tcMar>
            <w:vAlign w:val="top"/>
          </w:tcPr>
          <w:p>
            <w:pPr>
              <w:spacing w:after="80"/>
            </w:pPr>
            <w:r>
              <w:rPr>
                <w:rFonts w:ascii="Open Sans" w:cs="Open Sans" w:eastAsia="Open Sans" w:hAnsi="Open Sans"/>
                <w:b/>
                <w:bCs/>
                <w:color w:val="784E61"/>
                <w:spacing w:val="30"/>
                <w:sz w:val="16"/>
                <w:szCs w:val="16"/>
              </w:rPr>
              <w:t xml:space="preserve">LE SALARIÉ PORTÉ</w:t>
            </w:r>
          </w:p>
          <w:p>
            <w:pPr>
              <w:spacing w:after="40"/>
            </w:pPr>
            <w:r>
              <w:rPr>
                <w:rFonts w:ascii="Open Sans" w:cs="Open Sans" w:eastAsia="Open Sans" w:hAnsi="Open Sans"/>
                <w:color w:val="4A5468"/>
                <w:sz w:val="18"/>
                <w:szCs w:val="18"/>
              </w:rPr>
              <w:t xml:space="preserve">Nom : </w:t>
            </w:r>
            <w:r>
              <w:rPr>
                <w:rFonts w:ascii="Open Sans" w:cs="Open Sans" w:eastAsia="Open Sans" w:hAnsi="Open Sans"/>
                <w:color w:val="4A5468"/>
                <w:sz w:val="18"/>
                <w:szCs w:val="18"/>
              </w:rPr>
              <w:t xml:space="preserve">[[salarie_nom]]</w:t>
            </w:r>
          </w:p>
          <w:p>
            <w:pPr>
              <w:spacing w:after="40"/>
            </w:pPr>
            <w:r>
              <w:rPr>
                <w:rFonts w:ascii="Open Sans" w:cs="Open Sans" w:eastAsia="Open Sans" w:hAnsi="Open Sans"/>
                <w:color w:val="4A5468"/>
                <w:sz w:val="18"/>
                <w:szCs w:val="18"/>
              </w:rPr>
              <w:t xml:space="preserve">Signature électronique</w:t>
            </w:r>
          </w:p>
          <w:p>
            <w:pPr>
              <w:spacing w:after="40"/>
            </w:pPr>
            <w:r>
              <w:rPr>
                <w:rFonts w:ascii="Open Sans" w:cs="Open Sans" w:eastAsia="Open Sans" w:hAnsi="Open Sans"/>
                <w:sz w:val="18"/>
                <w:szCs w:val="18"/>
              </w:rPr>
              <w:t xml:space="preserve"> </w:t>
            </w:r>
          </w:p>
          <w:p>
            <w:pPr>
              <w:spacing w:before="300"/>
            </w:pPr>
            <w:r>
              <w:rPr>
                <w:rFonts w:ascii="Arial" w:cs="Arial" w:eastAsia="Arial" w:hAnsi="Arial"/>
                <w:color w:val="FFFFFF"/>
                <w:sz w:val="20"/>
                <w:szCs w:val="20"/>
              </w:rPr>
              <w:t xml:space="preserve">{{s1|signature|180|70}}</w:t>
            </w:r>
          </w:p>
        </w:tc>
      </w:tr>
    </w:tbl>
    <w:sectPr>
      <w:headerReference w:type="default" r:id="rId8"/>
      <w:footerReference w:type="default" r:id="rId9"/>
      <w:pgSz w:w="11906" w:h="16838" w:orient="portrait"/>
      <w:pgMar w:top="1500" w:right="1134" w:bottom="1300" w:left="1134" w:header="560" w:footer="4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7D7" w:sz="4" w:space="6"/>
      </w:pBdr>
      <w:tabs>
        <w:tab w:val="right" w:pos="9638"/>
      </w:tabs>
      <w:spacing w:after="0"/>
    </w:pPr>
    <w:r>
      <w:rPr>
        <w:rFonts w:ascii="Open Sans" w:cs="Open Sans" w:eastAsia="Open Sans" w:hAnsi="Open Sans"/>
        <w:color w:val="4A5468"/>
        <w:sz w:val="13"/>
        <w:szCs w:val="13"/>
      </w:rPr>
      <w:t xml:space="preserve">HT Portage · capital de 100 000 € · RCS Nanterre 993 218 007 · 34 rue Pasteur, 92270 Bois-Colombes · htportage.fr</w:t>
    </w:r>
    <w:r>
      <w:rPr>
        <w:rFonts w:ascii="Open Sans" w:cs="Open Sans" w:eastAsia="Open Sans" w:hAnsi="Open Sans"/>
      </w:rPr>
      <w:tab/>
    </w:r>
    <w:r>
      <w:rPr>
        <w:rFonts w:ascii="Open Sans" w:cs="Open Sans" w:eastAsia="Open Sans" w:hAnsi="Open Sans"/>
        <w:b/>
        <w:bCs/>
        <w:color w:val="21324E"/>
        <w:sz w:val="14"/>
        <w:szCs w:val="14"/>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p>
    <w:pPr>
      <w:spacing w:before="40"/>
      <w:jc w:val="right"/>
    </w:pPr>
    <w:r>
      <w:rPr>
        <w:rFonts w:ascii="Open Sans" w:cs="Open Sans" w:eastAsia="Open Sans" w:hAnsi="Open Sans"/>
        <w:color w:val="4A5468"/>
        <w:sz w:val="14"/>
        <w:szCs w:val="14"/>
      </w:rPr>
      <w:t xml:space="preserve">Paraphes :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7D7" w:sz="4" w:space="8"/>
      </w:pBdr>
      <w:tabs>
        <w:tab w:val="right" w:pos="9638"/>
      </w:tabs>
      <w:spacing w:after="0"/>
    </w:pPr>
    <w:r>
      <w:rPr>
        <w:rFonts w:ascii="Open Sans" w:cs="Open Sans" w:eastAsia="Open Sans" w:hAnsi="Open Sans"/>
        <w:b/>
        <w:bCs/>
        <w:color w:val="21324E"/>
        <w:spacing w:val="60"/>
        <w:sz w:val="17"/>
        <w:szCs w:val="17"/>
      </w:rPr>
      <w:t xml:space="preserve">HT PORTAGE</w:t>
    </w:r>
    <w:r>
      <w:rPr>
        <w:rFonts w:ascii="Open Sans" w:cs="Open Sans" w:eastAsia="Open Sans" w:hAnsi="Open Sans"/>
        <w:color w:val="4A5468"/>
        <w:sz w:val="15"/>
        <w:szCs w:val="15"/>
      </w:rPr>
      <w:t xml:space="preserve">   ·   Contrat de travail en portage salarial · CDI</w:t>
    </w:r>
    <w:r>
      <w:rPr>
        <w:rFonts w:ascii="Open Sans" w:cs="Open Sans" w:eastAsia="Open Sans" w:hAnsi="Open Sans"/>
      </w:rPr>
      <w:tab/>
    </w:r>
    <w:r>
      <w:drawing>
        <wp:inline distT="0" distB="0" distL="0" distR="0">
          <wp:extent cx="323850" cy="323850"/>
          <wp:effectExtent t="0" r="0" b="0" l="0"/>
          <wp:docPr id="2" name="monogramme" descr="Monogramme HT Portage" title="HT Por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323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80"/>
      </w:pPr>
      <w:rPr>
        <w:color w:val="784E6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1B1C1C"/>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e2f3e3b9a5aa1ddb3a8643348e4c8babdf173e1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18a35af8c2c0bad3072c50e596bb3df91e6b907b.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travail en portage salarial · CDI</dc:title>
  <dc:creator>HT Portage</dc:creator>
  <cp:lastModifiedBy>Un-named</cp:lastModifiedBy>
  <cp:revision>1</cp:revision>
  <dcterms:created xsi:type="dcterms:W3CDTF">2026-10-25T18:27:03.859Z</dcterms:created>
  <dcterms:modified xsi:type="dcterms:W3CDTF">2026-10-25T18:27:03.859Z</dcterms:modified>
</cp:coreProperties>
</file>

<file path=docProps/custom.xml><?xml version="1.0" encoding="utf-8"?>
<Properties xmlns="http://schemas.openxmlformats.org/officeDocument/2006/custom-properties" xmlns:vt="http://schemas.openxmlformats.org/officeDocument/2006/docPropsVTypes"/>
</file>