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 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LTVIP2026TMIDS41306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Electricity consumption dataset loaded successfully into </w:t>
                    <w:br w:type="textWrapping"/>
                    <w:t xml:space="preserve">Tableau with multiple dimensions (Date, Region, </w:t>
                    <w:br w:type="textWrapping"/>
                    <w:t xml:space="preserve">Consumption Type) and measures (Units Consumed).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tabs>
                      <w:tab w:val="left" w:leader="none" w:pos="1656"/>
                    </w:tabs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Data cleaning performed: null values handled, date </w:t>
                    <w:br w:type="textWrapping"/>
                    <w:t xml:space="preserve">formats standardized, unnecessary columns removed, </w:t>
                    <w:br w:type="textWrapping"/>
                    <w:t xml:space="preserve">and data aggregated at monthly and regional levels.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tabs>
                      <w:tab w:val="left" w:leader="none" w:pos="1656"/>
                    </w:tabs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tabs>
                <w:tab w:val="left" w:leader="none" w:pos="165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Data cleaning performed: null values handled, date </w:t>
                    <w:br w:type="textWrapping"/>
                    <w:t xml:space="preserve">formats standardized, unnecessary columns removed, </w:t>
                    <w:br w:type="textWrapping"/>
                    <w:t xml:space="preserve">and data aggregated at monthly and regional levels.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Data cleaning performed: null values handled, date formats standardized, unnecessary columns removed, and data aggregated at monthly and regional levels.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(Bar Chart, Line Chart, Heat Map, KPI Cards, Pie Chart, Trend Analysis).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(Consumption Trends, Regional Comparison, Seasonal Patterns, Key Insights Summary).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ftp+WgEeMO2cJu+w8FcRqPsg8g==">CgMxLjA4AHIhMUxqbklscndEbnNZX2c0LW9XYWwwRUh6YzlmQ1RIVy1Q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2026-02-19T10:56:00Z</dcterms:created>
  <dc:creator>hp</dc:creator>
</cp:coreProperties>
</file>