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Screenshots with Explanation of the Project</w:t>
      </w:r>
    </w:p>
    <w:p>
      <w:pPr>
        <w:pStyle w:val="Heading2"/>
      </w:pPr>
      <w:r>
        <w:t>1. Dashboard Overview</w:t>
      </w:r>
    </w:p>
    <w:p>
      <w:r>
        <w:drawing>
          <wp:inline xmlns:a="http://schemas.openxmlformats.org/drawingml/2006/main" xmlns:pic="http://schemas.openxmlformats.org/drawingml/2006/picture">
            <wp:extent cx="5943600" cy="2849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Displays the main federated learning dashboard with system status, KPI metrics, and network topology visualization.</w:t>
      </w:r>
    </w:p>
    <w:p>
      <w:pPr>
        <w:pStyle w:val="Heading2"/>
      </w:pPr>
      <w:r>
        <w:t>2. Client Nodes Page</w:t>
      </w:r>
    </w:p>
    <w:p>
      <w:r>
        <w:drawing>
          <wp:inline xmlns:a="http://schemas.openxmlformats.org/drawingml/2006/main" xmlns:pic="http://schemas.openxmlformats.org/drawingml/2006/picture">
            <wp:extent cx="5943600" cy="28496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Shows multiple client nodes representing social media platforms where datasets can be uploaded locally.</w:t>
      </w:r>
    </w:p>
    <w:p>
      <w:pPr>
        <w:pStyle w:val="Heading2"/>
      </w:pPr>
      <w:r>
        <w:t>3. Node Training Metrics</w:t>
      </w:r>
    </w:p>
    <w:p>
      <w:r>
        <w:drawing>
          <wp:inline xmlns:a="http://schemas.openxmlformats.org/drawingml/2006/main" xmlns:pic="http://schemas.openxmlformats.org/drawingml/2006/picture">
            <wp:extent cx="5943600" cy="28496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Displays client-wise training statistics including accuracy, F1-score, precision, recall, and confusion matrix.</w:t>
      </w:r>
    </w:p>
    <w:p>
      <w:pPr>
        <w:pStyle w:val="Heading2"/>
      </w:pPr>
      <w:r>
        <w:t>4. Training Control Panel</w:t>
      </w:r>
    </w:p>
    <w:p>
      <w:r>
        <w:drawing>
          <wp:inline xmlns:a="http://schemas.openxmlformats.org/drawingml/2006/main" xmlns:pic="http://schemas.openxmlformats.org/drawingml/2006/picture">
            <wp:extent cx="5943600" cy="28496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Provides controls for running local training and initiating the Federated Averaging (FedAvg) process.</w:t>
      </w:r>
    </w:p>
    <w:p>
      <w:pPr>
        <w:pStyle w:val="Heading2"/>
      </w:pPr>
      <w:r>
        <w:t>5. Federated Learning Round</w:t>
      </w:r>
    </w:p>
    <w:p>
      <w:r>
        <w:drawing>
          <wp:inline xmlns:a="http://schemas.openxmlformats.org/drawingml/2006/main" xmlns:pic="http://schemas.openxmlformats.org/drawingml/2006/picture">
            <wp:extent cx="5943600" cy="28496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Shows trained client nodes participating in a federated learning round with aggregated model updates.</w:t>
      </w:r>
    </w:p>
    <w:p>
      <w:pPr>
        <w:pStyle w:val="Heading2"/>
      </w:pPr>
      <w:r>
        <w:t>6. Mental Health Risk Predictor</w:t>
      </w:r>
    </w:p>
    <w:p>
      <w:r>
        <w:drawing>
          <wp:inline xmlns:a="http://schemas.openxmlformats.org/drawingml/2006/main" xmlns:pic="http://schemas.openxmlformats.org/drawingml/2006/picture">
            <wp:extent cx="5943600" cy="28496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Provides an interface for entering text to analyze mental health risk using the trained global model.</w:t>
      </w:r>
    </w:p>
    <w:p>
      <w:pPr>
        <w:pStyle w:val="Heading2"/>
      </w:pPr>
      <w:r>
        <w:t>7. Prediction Results</w:t>
      </w:r>
    </w:p>
    <w:p>
      <w:r>
        <w:drawing>
          <wp:inline xmlns:a="http://schemas.openxmlformats.org/drawingml/2006/main" xmlns:pic="http://schemas.openxmlformats.org/drawingml/2006/picture">
            <wp:extent cx="5943600" cy="28496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Displays prediction results with risk category and probability score after analyzing the entered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