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C9BE" w14:textId="77777777" w:rsidR="00015AE4" w:rsidRPr="00CF4ECC" w:rsidRDefault="00015AE4" w:rsidP="00015AE4">
      <w:pPr>
        <w:spacing w:before="240"/>
        <w:jc w:val="center"/>
        <w:rPr>
          <w:b/>
          <w:bCs/>
          <w:sz w:val="40"/>
          <w:szCs w:val="40"/>
        </w:rPr>
      </w:pPr>
      <w:r w:rsidRPr="00CF4ECC">
        <w:rPr>
          <w:b/>
          <w:bCs/>
          <w:sz w:val="40"/>
          <w:szCs w:val="40"/>
        </w:rPr>
        <w:t>COIMBATORE INSTITUTE OF TECHNOLOGY</w:t>
      </w:r>
    </w:p>
    <w:p w14:paraId="2981497A" w14:textId="77777777" w:rsidR="00015AE4" w:rsidRPr="0053636B" w:rsidRDefault="00015AE4" w:rsidP="00015AE4">
      <w:pPr>
        <w:spacing w:before="240"/>
        <w:jc w:val="center"/>
      </w:pPr>
      <w:r w:rsidRPr="0053636B">
        <w:t>(A GOVERNMENT AIDED AUTONOMOUS INSTITUTION)</w:t>
      </w:r>
    </w:p>
    <w:p w14:paraId="5FECA3C9" w14:textId="77777777" w:rsidR="00015AE4" w:rsidRPr="00CF4ECC" w:rsidRDefault="00015AE4" w:rsidP="00015AE4">
      <w:pPr>
        <w:spacing w:before="240"/>
        <w:jc w:val="center"/>
        <w:rPr>
          <w:b/>
          <w:bCs/>
          <w:sz w:val="24"/>
          <w:szCs w:val="24"/>
        </w:rPr>
      </w:pPr>
      <w:r w:rsidRPr="00CF4ECC">
        <w:rPr>
          <w:b/>
          <w:bCs/>
          <w:sz w:val="24"/>
          <w:szCs w:val="24"/>
        </w:rPr>
        <w:t>DEPARTMENT OF ARTIFICIAL INTELLIGENCE AND DATA SCIENCE</w:t>
      </w:r>
    </w:p>
    <w:p w14:paraId="14544764" w14:textId="77777777" w:rsidR="00015AE4" w:rsidRPr="00CF4ECC" w:rsidRDefault="00015AE4" w:rsidP="00015AE4">
      <w:pPr>
        <w:jc w:val="center"/>
        <w:rPr>
          <w:b/>
          <w:bCs/>
        </w:rPr>
      </w:pPr>
    </w:p>
    <w:p w14:paraId="004373FD" w14:textId="77777777" w:rsidR="00015AE4" w:rsidRPr="00CF4ECC" w:rsidRDefault="00015AE4" w:rsidP="00015AE4">
      <w:pPr>
        <w:jc w:val="center"/>
        <w:rPr>
          <w:b/>
          <w:bCs/>
        </w:rPr>
      </w:pPr>
      <w:r w:rsidRPr="00CF4ECC">
        <w:rPr>
          <w:b/>
          <w:bCs/>
          <w:noProof/>
        </w:rPr>
        <w:drawing>
          <wp:inline distT="0" distB="0" distL="0" distR="0" wp14:anchorId="4F246A91" wp14:editId="43191D8F">
            <wp:extent cx="3229426" cy="2257740"/>
            <wp:effectExtent l="0" t="0" r="9525" b="9525"/>
            <wp:docPr id="43352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28670" name=""/>
                    <pic:cNvPicPr/>
                  </pic:nvPicPr>
                  <pic:blipFill>
                    <a:blip r:embed="rId8"/>
                    <a:stretch>
                      <a:fillRect/>
                    </a:stretch>
                  </pic:blipFill>
                  <pic:spPr>
                    <a:xfrm>
                      <a:off x="0" y="0"/>
                      <a:ext cx="3229426" cy="2257740"/>
                    </a:xfrm>
                    <a:prstGeom prst="rect">
                      <a:avLst/>
                    </a:prstGeom>
                  </pic:spPr>
                </pic:pic>
              </a:graphicData>
            </a:graphic>
          </wp:inline>
        </w:drawing>
      </w:r>
    </w:p>
    <w:p w14:paraId="36C56E47" w14:textId="2DE492B6" w:rsidR="00015AE4" w:rsidRPr="00831D59" w:rsidRDefault="00015AE4" w:rsidP="00015AE4">
      <w:pPr>
        <w:jc w:val="center"/>
        <w:rPr>
          <w:b/>
          <w:bCs/>
        </w:rPr>
      </w:pPr>
      <w:r w:rsidRPr="00831D59">
        <w:rPr>
          <w:b/>
          <w:bCs/>
          <w:sz w:val="24"/>
          <w:szCs w:val="24"/>
        </w:rPr>
        <w:t>23ADPE3</w:t>
      </w:r>
      <w:r>
        <w:rPr>
          <w:b/>
          <w:bCs/>
          <w:sz w:val="24"/>
          <w:szCs w:val="24"/>
        </w:rPr>
        <w:t>4 –</w:t>
      </w:r>
      <w:r w:rsidRPr="00831D59">
        <w:rPr>
          <w:b/>
          <w:bCs/>
          <w:sz w:val="24"/>
          <w:szCs w:val="24"/>
        </w:rPr>
        <w:t xml:space="preserve"> </w:t>
      </w:r>
      <w:r>
        <w:rPr>
          <w:b/>
          <w:bCs/>
          <w:sz w:val="24"/>
          <w:szCs w:val="24"/>
        </w:rPr>
        <w:t>RESPONSIBLE</w:t>
      </w:r>
      <w:r w:rsidRPr="00831D59">
        <w:rPr>
          <w:b/>
          <w:bCs/>
          <w:sz w:val="24"/>
          <w:szCs w:val="24"/>
        </w:rPr>
        <w:t xml:space="preserve"> AI</w:t>
      </w:r>
    </w:p>
    <w:p w14:paraId="50C31085" w14:textId="77777777" w:rsidR="00015AE4" w:rsidRPr="00015AE4" w:rsidRDefault="00015AE4" w:rsidP="00015AE4">
      <w:pPr>
        <w:jc w:val="center"/>
        <w:rPr>
          <w:b/>
          <w:bCs/>
          <w:sz w:val="32"/>
          <w:szCs w:val="32"/>
        </w:rPr>
      </w:pPr>
    </w:p>
    <w:p w14:paraId="55E785CC" w14:textId="205253B3" w:rsidR="001D6213" w:rsidRPr="00015AE4" w:rsidRDefault="00015AE4">
      <w:pPr>
        <w:spacing w:after="400"/>
        <w:jc w:val="center"/>
      </w:pPr>
      <w:r w:rsidRPr="00015AE4">
        <w:rPr>
          <w:b/>
          <w:bCs/>
          <w:sz w:val="32"/>
          <w:szCs w:val="32"/>
        </w:rPr>
        <w:t>BRIDGING THE GAP: AUDITING AND EXPLAINING CAREER-GAP BIAS IN AI-DRIVEN RESUME SCREENING</w:t>
      </w:r>
    </w:p>
    <w:p w14:paraId="2E04D06E" w14:textId="6E9159C5" w:rsidR="001D6213" w:rsidRPr="00015AE4" w:rsidRDefault="00015AE4">
      <w:pPr>
        <w:spacing w:after="200"/>
        <w:jc w:val="center"/>
        <w:rPr>
          <w:b/>
          <w:bCs/>
        </w:rPr>
      </w:pPr>
      <w:r w:rsidRPr="00015AE4">
        <w:rPr>
          <w:b/>
          <w:bCs/>
          <w:sz w:val="24"/>
          <w:szCs w:val="24"/>
        </w:rPr>
        <w:t>ASSIGNMENT 1: PROJECT PROPOSAL</w:t>
      </w:r>
    </w:p>
    <w:p w14:paraId="09BCE654" w14:textId="0890FC74" w:rsidR="001D6213" w:rsidRDefault="00015AE4" w:rsidP="00015AE4">
      <w:pPr>
        <w:spacing w:before="1200" w:after="100"/>
      </w:pPr>
      <w:r w:rsidRPr="00015AE4">
        <w:rPr>
          <w:b/>
          <w:bCs/>
          <w:sz w:val="24"/>
          <w:szCs w:val="24"/>
        </w:rPr>
        <w:t xml:space="preserve">COURSE: </w:t>
      </w:r>
      <w:r>
        <w:rPr>
          <w:sz w:val="24"/>
          <w:szCs w:val="24"/>
        </w:rPr>
        <w:t>Responsible AI</w:t>
      </w:r>
    </w:p>
    <w:p w14:paraId="2EDCDA3E" w14:textId="670AF83E" w:rsidR="001D6213" w:rsidRPr="00015AE4" w:rsidRDefault="00015AE4" w:rsidP="00015AE4">
      <w:pPr>
        <w:spacing w:after="100"/>
        <w:rPr>
          <w:b/>
          <w:bCs/>
          <w:sz w:val="24"/>
          <w:szCs w:val="24"/>
        </w:rPr>
      </w:pPr>
      <w:r w:rsidRPr="00015AE4">
        <w:rPr>
          <w:b/>
          <w:bCs/>
          <w:sz w:val="24"/>
          <w:szCs w:val="24"/>
        </w:rPr>
        <w:t xml:space="preserve">GROUP LEADER: </w:t>
      </w:r>
      <w:r>
        <w:rPr>
          <w:sz w:val="24"/>
          <w:szCs w:val="24"/>
        </w:rPr>
        <w:t>JENO PRABAKAR (2303717624322023)</w:t>
      </w:r>
    </w:p>
    <w:p w14:paraId="3773886A" w14:textId="0D3E2DA0" w:rsidR="00015AE4" w:rsidRPr="00015AE4" w:rsidRDefault="00015AE4" w:rsidP="00015AE4">
      <w:pPr>
        <w:spacing w:after="100"/>
        <w:rPr>
          <w:b/>
          <w:bCs/>
          <w:sz w:val="24"/>
          <w:szCs w:val="24"/>
        </w:rPr>
      </w:pPr>
      <w:r w:rsidRPr="00015AE4">
        <w:rPr>
          <w:b/>
          <w:bCs/>
          <w:sz w:val="24"/>
          <w:szCs w:val="24"/>
        </w:rPr>
        <w:t xml:space="preserve">TEAM MEMBERS: </w:t>
      </w:r>
    </w:p>
    <w:p w14:paraId="2DACF6B0" w14:textId="3E3FFA56" w:rsidR="00015AE4" w:rsidRDefault="00015AE4" w:rsidP="00015AE4">
      <w:pPr>
        <w:spacing w:after="100"/>
        <w:ind w:left="720"/>
        <w:rPr>
          <w:sz w:val="24"/>
          <w:szCs w:val="24"/>
        </w:rPr>
      </w:pPr>
      <w:r>
        <w:rPr>
          <w:sz w:val="24"/>
          <w:szCs w:val="24"/>
        </w:rPr>
        <w:t>DHIVYAABHARATHI S (2303717624322013),</w:t>
      </w:r>
    </w:p>
    <w:p w14:paraId="0A6D6338" w14:textId="03629519" w:rsidR="00015AE4" w:rsidRDefault="00015AE4" w:rsidP="00015AE4">
      <w:pPr>
        <w:spacing w:after="100"/>
        <w:ind w:left="720"/>
        <w:rPr>
          <w:sz w:val="24"/>
          <w:szCs w:val="24"/>
        </w:rPr>
      </w:pPr>
      <w:r>
        <w:rPr>
          <w:sz w:val="24"/>
          <w:szCs w:val="24"/>
        </w:rPr>
        <w:t>DIVYA K (2303717624322014)</w:t>
      </w:r>
    </w:p>
    <w:p w14:paraId="69AD3910" w14:textId="77FE8CF6" w:rsidR="001D6213" w:rsidRDefault="00015AE4" w:rsidP="00015AE4">
      <w:pPr>
        <w:spacing w:after="100"/>
        <w:ind w:left="720"/>
      </w:pPr>
      <w:r>
        <w:rPr>
          <w:sz w:val="24"/>
          <w:szCs w:val="24"/>
        </w:rPr>
        <w:t>HARINI L (2303717624322018)</w:t>
      </w:r>
    </w:p>
    <w:p w14:paraId="1A8749A6" w14:textId="49F56AB2" w:rsidR="001D6213" w:rsidRDefault="00015AE4" w:rsidP="00015AE4">
      <w:pPr>
        <w:spacing w:after="100"/>
      </w:pPr>
      <w:r w:rsidRPr="00015AE4">
        <w:rPr>
          <w:b/>
          <w:bCs/>
          <w:sz w:val="24"/>
          <w:szCs w:val="24"/>
        </w:rPr>
        <w:t>DATE:</w:t>
      </w:r>
      <w:r>
        <w:rPr>
          <w:sz w:val="24"/>
          <w:szCs w:val="24"/>
        </w:rPr>
        <w:t>05.08.2026</w:t>
      </w:r>
    </w:p>
    <w:p w14:paraId="53211422" w14:textId="77777777" w:rsidR="001D6213" w:rsidRDefault="00000000">
      <w:r>
        <w:br w:type="page"/>
      </w:r>
    </w:p>
    <w:p w14:paraId="370E4A59" w14:textId="77777777" w:rsidR="001D6213" w:rsidRDefault="00000000">
      <w:pPr>
        <w:pStyle w:val="Heading1"/>
        <w:spacing w:before="360" w:after="200"/>
      </w:pPr>
      <w:r>
        <w:rPr>
          <w:b/>
          <w:bCs/>
          <w:color w:val="000000"/>
          <w:sz w:val="28"/>
          <w:szCs w:val="28"/>
        </w:rPr>
        <w:lastRenderedPageBreak/>
        <w:t>1. Project Background</w:t>
      </w:r>
    </w:p>
    <w:p w14:paraId="3A4704AF" w14:textId="77777777" w:rsidR="001D6213" w:rsidRDefault="00000000">
      <w:pPr>
        <w:spacing w:after="200" w:line="360" w:lineRule="auto"/>
        <w:jc w:val="both"/>
      </w:pPr>
      <w:r>
        <w:rPr>
          <w:sz w:val="24"/>
          <w:szCs w:val="24"/>
        </w:rPr>
        <w:t xml:space="preserve">Artificial intelligence has become deeply embedded in the recruitment pipelines of large employers, with automated resume screening and video-interview analysis tools now used to filter candidates before a human recruiter ever reviews an application. Platforms such as </w:t>
      </w:r>
      <w:proofErr w:type="spellStart"/>
      <w:r>
        <w:rPr>
          <w:sz w:val="24"/>
          <w:szCs w:val="24"/>
        </w:rPr>
        <w:t>HireVue</w:t>
      </w:r>
      <w:proofErr w:type="spellEnd"/>
      <w:r>
        <w:rPr>
          <w:sz w:val="24"/>
          <w:szCs w:val="24"/>
        </w:rPr>
        <w:t xml:space="preserve">, </w:t>
      </w:r>
      <w:proofErr w:type="spellStart"/>
      <w:r>
        <w:rPr>
          <w:sz w:val="24"/>
          <w:szCs w:val="24"/>
        </w:rPr>
        <w:t>Pymetrics</w:t>
      </w:r>
      <w:proofErr w:type="spellEnd"/>
      <w:r>
        <w:rPr>
          <w:sz w:val="24"/>
          <w:szCs w:val="24"/>
        </w:rPr>
        <w:t>, and Workday AI promise faster shortlisting, reduced recruiter workload, and more “objective” hiring decisions by scoring candidates on features extracted from resumes, assessments, or recorded interviews.</w:t>
      </w:r>
    </w:p>
    <w:p w14:paraId="518B8AEF" w14:textId="77777777" w:rsidR="001D6213" w:rsidRDefault="00000000">
      <w:pPr>
        <w:spacing w:after="200" w:line="360" w:lineRule="auto"/>
        <w:jc w:val="both"/>
      </w:pPr>
      <w:r>
        <w:rPr>
          <w:sz w:val="24"/>
          <w:szCs w:val="24"/>
        </w:rPr>
        <w:t xml:space="preserve">These systems have faced sustained scrutiny. </w:t>
      </w:r>
      <w:proofErr w:type="spellStart"/>
      <w:r>
        <w:rPr>
          <w:sz w:val="24"/>
          <w:szCs w:val="24"/>
        </w:rPr>
        <w:t>HireVue's</w:t>
      </w:r>
      <w:proofErr w:type="spellEnd"/>
      <w:r>
        <w:rPr>
          <w:sz w:val="24"/>
          <w:szCs w:val="24"/>
        </w:rPr>
        <w:t xml:space="preserve"> facial and voice analysis features drew a formal complaint to the U.S. Federal Trade Commission in 2019 over transparency and validity concerns, and the company removed the visual-analysis component from its assessments in 2021 in response to criticism from AI ethics researchers and advocacy groups. This history makes </w:t>
      </w:r>
      <w:proofErr w:type="spellStart"/>
      <w:r>
        <w:rPr>
          <w:sz w:val="24"/>
          <w:szCs w:val="24"/>
        </w:rPr>
        <w:t>HireVue</w:t>
      </w:r>
      <w:proofErr w:type="spellEnd"/>
      <w:r>
        <w:rPr>
          <w:sz w:val="24"/>
          <w:szCs w:val="24"/>
        </w:rPr>
        <w:t xml:space="preserve"> a well-documented, real-world case for examining how automated hiring tools can encode bias, and how little recourse affected candidates have when they are screened out.</w:t>
      </w:r>
    </w:p>
    <w:p w14:paraId="715DD919" w14:textId="77777777" w:rsidR="001D6213" w:rsidRDefault="00000000">
      <w:pPr>
        <w:spacing w:after="200" w:line="360" w:lineRule="auto"/>
        <w:jc w:val="both"/>
      </w:pPr>
      <w:r>
        <w:rPr>
          <w:sz w:val="24"/>
          <w:szCs w:val="24"/>
        </w:rPr>
        <w:t>This project focuses specifically on candidates with employment gaps — periods of unemployment caused by caregiving responsibilities, health issues, layoffs, or further study — who are a large and demographically diverse group disproportionately affected by automated resume ranking, yet rarely the explicit focus of fairness audits, which tend to concentrate on gender or race alone.</w:t>
      </w:r>
    </w:p>
    <w:p w14:paraId="385E91F6" w14:textId="77777777" w:rsidR="001D6213" w:rsidRDefault="00000000">
      <w:pPr>
        <w:pStyle w:val="Heading1"/>
        <w:spacing w:before="360" w:after="200"/>
      </w:pPr>
      <w:r>
        <w:rPr>
          <w:b/>
          <w:bCs/>
          <w:color w:val="000000"/>
          <w:sz w:val="28"/>
          <w:szCs w:val="28"/>
        </w:rPr>
        <w:t>2. Problem Statement</w:t>
      </w:r>
    </w:p>
    <w:p w14:paraId="1F126A34" w14:textId="77777777" w:rsidR="001D6213" w:rsidRDefault="00000000">
      <w:pPr>
        <w:spacing w:after="200" w:line="360" w:lineRule="auto"/>
        <w:jc w:val="both"/>
      </w:pPr>
      <w:r>
        <w:rPr>
          <w:sz w:val="24"/>
          <w:szCs w:val="24"/>
        </w:rPr>
        <w:t>AI-based resume screening systems systematically penalise candidates with employment gaps, treating continuous work history as a proxy for competence and reliability without evidence that the two are correlated. Because career gaps disproportionately affect women (due to caregiving), older workers (due to layoffs), and candidates recovering from illness, this design choice functions as an indirect form of age and gender discrimination even when those attributes are not explicit model inputs.</w:t>
      </w:r>
    </w:p>
    <w:p w14:paraId="20810C95" w14:textId="77777777" w:rsidR="001D6213" w:rsidRDefault="00000000">
      <w:pPr>
        <w:spacing w:after="200" w:line="360" w:lineRule="auto"/>
        <w:jc w:val="both"/>
      </w:pPr>
      <w:r>
        <w:rPr>
          <w:sz w:val="24"/>
          <w:szCs w:val="24"/>
        </w:rPr>
        <w:t>Compounding this, candidates who are rejected at the AI screening stage typically receive no explanation beyond a generic “not moving forward” notice, leaving them unable to identify or contest the specific factor that led to their rejection. This project investigates (a) whether career-</w:t>
      </w:r>
      <w:r>
        <w:rPr>
          <w:sz w:val="24"/>
          <w:szCs w:val="24"/>
        </w:rPr>
        <w:lastRenderedPageBreak/>
        <w:t>gap penalties are measurable and significant in AI-driven screening, and (b) whether providing candidates with a counterfactual explanation — the smallest change that would have altered the outcome — is a feasible and meaningful remedy. This matters because hiring is a gateway to economic opportunity, and opaque automated rejection at scale can quietly exclude qualified candidates with no audit trail and no avenue for appeal.</w:t>
      </w:r>
    </w:p>
    <w:p w14:paraId="11CC72BE" w14:textId="77777777" w:rsidR="001D6213" w:rsidRDefault="00000000">
      <w:pPr>
        <w:spacing w:after="200" w:line="360" w:lineRule="auto"/>
        <w:jc w:val="both"/>
      </w:pPr>
      <w:r>
        <w:rPr>
          <w:sz w:val="24"/>
          <w:szCs w:val="24"/>
        </w:rPr>
        <w:t>This dynamic also creates a perverse incentive within the system itself. Because the model optimises for surface-level signals — such as continuous employment timelines — rather than verified competence, a candidate who conceals or misrepresents a gap (for example, by fabricating a short-term role to hide the break) can score higher than an equally or more qualified candidate who disclosed the gap honestly. In effect, the system risks selecting for deception rather than merit, penalising transparency and rewarding candidates willing to misstate their history. This reinforces the case for pairing AI screening with skills-based verification rather than relying on resume continuity as a proxy for reliability.</w:t>
      </w:r>
    </w:p>
    <w:p w14:paraId="6B5AA8DB" w14:textId="77777777" w:rsidR="001D6213" w:rsidRDefault="00000000">
      <w:pPr>
        <w:pStyle w:val="Heading1"/>
        <w:spacing w:before="360" w:after="200"/>
      </w:pPr>
      <w:r>
        <w:rPr>
          <w:b/>
          <w:bCs/>
          <w:color w:val="000000"/>
          <w:sz w:val="28"/>
          <w:szCs w:val="28"/>
        </w:rPr>
        <w:t>3. Responsible AI Principles Addressed</w:t>
      </w:r>
    </w:p>
    <w:p w14:paraId="100CBE7E" w14:textId="77777777" w:rsidR="001D6213" w:rsidRDefault="00000000">
      <w:pPr>
        <w:pStyle w:val="Heading2"/>
        <w:spacing w:before="240" w:after="160"/>
      </w:pPr>
      <w:r>
        <w:rPr>
          <w:b/>
          <w:bCs/>
          <w:i/>
          <w:iCs/>
          <w:color w:val="000000"/>
        </w:rPr>
        <w:t xml:space="preserve">Fairness &amp; </w:t>
      </w:r>
      <w:proofErr w:type="gramStart"/>
      <w:r>
        <w:rPr>
          <w:b/>
          <w:bCs/>
          <w:i/>
          <w:iCs/>
          <w:color w:val="000000"/>
        </w:rPr>
        <w:t>Non-Discrimination</w:t>
      </w:r>
      <w:proofErr w:type="gramEnd"/>
      <w:r>
        <w:rPr>
          <w:b/>
          <w:bCs/>
          <w:i/>
          <w:iCs/>
          <w:color w:val="000000"/>
        </w:rPr>
        <w:t xml:space="preserve"> (primary)</w:t>
      </w:r>
    </w:p>
    <w:p w14:paraId="53F48EA9" w14:textId="77777777" w:rsidR="001D6213" w:rsidRDefault="00000000">
      <w:pPr>
        <w:spacing w:after="200" w:line="360" w:lineRule="auto"/>
        <w:jc w:val="both"/>
      </w:pPr>
      <w:r>
        <w:rPr>
          <w:sz w:val="24"/>
          <w:szCs w:val="24"/>
        </w:rPr>
        <w:t>The project centres on whether AI resume screeners produce disparate outcomes for candidates with employment gaps relative to otherwise-equivalent candidates without gaps, and whether this disparity correlates with protected characteristics such as gender and age.</w:t>
      </w:r>
    </w:p>
    <w:p w14:paraId="6811CDA5" w14:textId="77777777" w:rsidR="001D6213" w:rsidRDefault="00000000">
      <w:pPr>
        <w:pStyle w:val="Heading2"/>
        <w:spacing w:before="240" w:after="160"/>
      </w:pPr>
      <w:r>
        <w:rPr>
          <w:b/>
          <w:bCs/>
          <w:i/>
          <w:iCs/>
          <w:color w:val="000000"/>
        </w:rPr>
        <w:t>Transparency &amp; Explainability (secondary)</w:t>
      </w:r>
    </w:p>
    <w:p w14:paraId="0E0B347F" w14:textId="77777777" w:rsidR="001D6213" w:rsidRDefault="00000000">
      <w:pPr>
        <w:spacing w:after="200" w:line="360" w:lineRule="auto"/>
        <w:jc w:val="both"/>
      </w:pPr>
      <w:r>
        <w:rPr>
          <w:sz w:val="24"/>
          <w:szCs w:val="24"/>
        </w:rPr>
        <w:t>The project examines whether affected candidates can access a meaningful explanation of an AI-driven rejection, and prototypes a counterfactual-explanation mechanism as a practical response to this gap.</w:t>
      </w:r>
    </w:p>
    <w:p w14:paraId="5EE9A1C9" w14:textId="77777777" w:rsidR="001D6213" w:rsidRDefault="00000000">
      <w:pPr>
        <w:pStyle w:val="Heading2"/>
        <w:spacing w:before="240" w:after="160"/>
      </w:pPr>
      <w:r>
        <w:rPr>
          <w:b/>
          <w:bCs/>
          <w:i/>
          <w:iCs/>
          <w:color w:val="000000"/>
        </w:rPr>
        <w:t>Accountability &amp; Governance (supporting)</w:t>
      </w:r>
    </w:p>
    <w:p w14:paraId="43F077F5" w14:textId="77777777" w:rsidR="001D6213" w:rsidRDefault="00000000">
      <w:pPr>
        <w:spacing w:after="200" w:line="360" w:lineRule="auto"/>
        <w:jc w:val="both"/>
      </w:pPr>
      <w:r>
        <w:rPr>
          <w:sz w:val="24"/>
          <w:szCs w:val="24"/>
        </w:rPr>
        <w:t>The policy recommendations address who is responsible for auditing these systems before and after deployment, and what governance mechanisms (audit trails, appeal processes) should be mandated.</w:t>
      </w:r>
    </w:p>
    <w:p w14:paraId="7B36C6F8" w14:textId="77777777" w:rsidR="001D6213" w:rsidRDefault="00000000">
      <w:pPr>
        <w:pStyle w:val="Heading1"/>
        <w:spacing w:before="360" w:after="200"/>
      </w:pPr>
      <w:r>
        <w:rPr>
          <w:b/>
          <w:bCs/>
          <w:color w:val="000000"/>
          <w:sz w:val="28"/>
          <w:szCs w:val="28"/>
        </w:rPr>
        <w:t>4. Domain Understanding</w:t>
      </w:r>
    </w:p>
    <w:p w14:paraId="7F7C178B" w14:textId="77777777" w:rsidR="001D6213" w:rsidRDefault="00000000">
      <w:pPr>
        <w:spacing w:after="200" w:line="360" w:lineRule="auto"/>
        <w:jc w:val="both"/>
      </w:pPr>
      <w:r>
        <w:rPr>
          <w:sz w:val="24"/>
          <w:szCs w:val="24"/>
        </w:rPr>
        <w:lastRenderedPageBreak/>
        <w:t>The chosen domain is Human Resources &amp; Employment, specifically the pre-employment screening stage of the recruitment funnel where AI resume-ranking and assessment tools operate. Key domain requirements include:</w:t>
      </w:r>
    </w:p>
    <w:p w14:paraId="56A02EA6" w14:textId="77777777" w:rsidR="001D6213" w:rsidRDefault="00000000">
      <w:pPr>
        <w:pStyle w:val="ListParagraph"/>
        <w:numPr>
          <w:ilvl w:val="0"/>
          <w:numId w:val="2"/>
        </w:numPr>
        <w:spacing w:after="120" w:line="360" w:lineRule="auto"/>
      </w:pPr>
      <w:r>
        <w:rPr>
          <w:sz w:val="24"/>
          <w:szCs w:val="24"/>
        </w:rPr>
        <w:t>Regulatory grounding: the EU AI Act classifies employment-related AI (recruitment, candidate evaluation) as high-risk, requiring conformity assessments, human oversight, and documentation. In the US, the Equal Employment Opportunity Commission (EEOC) has issued guidance on AI-based hiring tools under existing anti-discrimination law. The UK Equality Act 2010 and ILO frameworks on AI and the future of work provide additional reference points.</w:t>
      </w:r>
    </w:p>
    <w:p w14:paraId="5A2A7995" w14:textId="77777777" w:rsidR="001D6213" w:rsidRDefault="00000000">
      <w:pPr>
        <w:pStyle w:val="ListParagraph"/>
        <w:numPr>
          <w:ilvl w:val="0"/>
          <w:numId w:val="2"/>
        </w:numPr>
        <w:spacing w:after="120" w:line="360" w:lineRule="auto"/>
      </w:pPr>
      <w:r>
        <w:rPr>
          <w:sz w:val="24"/>
          <w:szCs w:val="24"/>
        </w:rPr>
        <w:t xml:space="preserve">Stakeholder landscape: job candidates (particularly those with employment gaps), employers deploying screening AI, HR technology vendors (e.g., </w:t>
      </w:r>
      <w:proofErr w:type="spellStart"/>
      <w:r>
        <w:rPr>
          <w:sz w:val="24"/>
          <w:szCs w:val="24"/>
        </w:rPr>
        <w:t>HireVue</w:t>
      </w:r>
      <w:proofErr w:type="spellEnd"/>
      <w:r>
        <w:rPr>
          <w:sz w:val="24"/>
          <w:szCs w:val="24"/>
        </w:rPr>
        <w:t>), and regulators responsible for enforcing anti-discrimination and AI-specific law.</w:t>
      </w:r>
    </w:p>
    <w:p w14:paraId="2A873CD2" w14:textId="77777777" w:rsidR="001D6213" w:rsidRDefault="00000000">
      <w:pPr>
        <w:pStyle w:val="ListParagraph"/>
        <w:numPr>
          <w:ilvl w:val="0"/>
          <w:numId w:val="2"/>
        </w:numPr>
        <w:spacing w:after="120" w:line="360" w:lineRule="auto"/>
      </w:pPr>
      <w:r>
        <w:rPr>
          <w:sz w:val="24"/>
          <w:szCs w:val="24"/>
        </w:rPr>
        <w:t>Technical understanding: resume-screening models typically operate on structured or semi-structured features (work history continuity, keyword match, tenure patterns) and can be audited using fairness metrics (e.g., demographic parity, disparate impact ratio) and explainability techniques (e.g., SHAP, counterfactual explanation methods).</w:t>
      </w:r>
    </w:p>
    <w:p w14:paraId="21350926" w14:textId="77777777" w:rsidR="001D6213" w:rsidRDefault="00000000">
      <w:pPr>
        <w:pStyle w:val="Heading1"/>
        <w:spacing w:before="360" w:after="200"/>
      </w:pPr>
      <w:r>
        <w:rPr>
          <w:b/>
          <w:bCs/>
          <w:color w:val="000000"/>
          <w:sz w:val="28"/>
          <w:szCs w:val="28"/>
        </w:rPr>
        <w:t>5. Research Objectives</w:t>
      </w:r>
    </w:p>
    <w:p w14:paraId="0AACCDE0" w14:textId="77777777" w:rsidR="001D6213" w:rsidRDefault="00000000">
      <w:pPr>
        <w:pStyle w:val="ListParagraph"/>
        <w:numPr>
          <w:ilvl w:val="0"/>
          <w:numId w:val="2"/>
        </w:numPr>
        <w:spacing w:after="120" w:line="360" w:lineRule="auto"/>
      </w:pPr>
      <w:r>
        <w:rPr>
          <w:sz w:val="24"/>
          <w:szCs w:val="24"/>
        </w:rPr>
        <w:t>Quantify the extent to which employment gaps affect candidate ranking scores in a representative resume-screening model, using a public recruitment dataset.</w:t>
      </w:r>
    </w:p>
    <w:p w14:paraId="2262C067" w14:textId="77777777" w:rsidR="001D6213" w:rsidRDefault="00000000">
      <w:pPr>
        <w:pStyle w:val="ListParagraph"/>
        <w:numPr>
          <w:ilvl w:val="0"/>
          <w:numId w:val="2"/>
        </w:numPr>
        <w:spacing w:after="120" w:line="360" w:lineRule="auto"/>
      </w:pPr>
      <w:r>
        <w:rPr>
          <w:sz w:val="24"/>
          <w:szCs w:val="24"/>
        </w:rPr>
        <w:t>Measure whether gap-related penalties disproportionately affect candidates likely to be women or older workers, using demographic parity and disparate impact metrics.</w:t>
      </w:r>
    </w:p>
    <w:p w14:paraId="417BE178" w14:textId="77777777" w:rsidR="001D6213" w:rsidRDefault="00000000">
      <w:pPr>
        <w:pStyle w:val="ListParagraph"/>
        <w:numPr>
          <w:ilvl w:val="0"/>
          <w:numId w:val="2"/>
        </w:numPr>
        <w:spacing w:after="120" w:line="360" w:lineRule="auto"/>
      </w:pPr>
      <w:r>
        <w:rPr>
          <w:sz w:val="24"/>
          <w:szCs w:val="24"/>
        </w:rPr>
        <w:t>Design and implement a counterfactual-explanation prototype that identifies the minimal resume changes needed to flip a rejection decision.</w:t>
      </w:r>
    </w:p>
    <w:p w14:paraId="48859F52" w14:textId="77777777" w:rsidR="001D6213" w:rsidRDefault="00000000">
      <w:pPr>
        <w:pStyle w:val="ListParagraph"/>
        <w:numPr>
          <w:ilvl w:val="0"/>
          <w:numId w:val="2"/>
        </w:numPr>
        <w:spacing w:after="120" w:line="360" w:lineRule="auto"/>
      </w:pPr>
      <w:r>
        <w:rPr>
          <w:sz w:val="24"/>
          <w:szCs w:val="24"/>
        </w:rPr>
        <w:t>Evaluate the feasibility of counterfactual explanations as a practical, deployable remedy for opaque AI rejections.</w:t>
      </w:r>
    </w:p>
    <w:p w14:paraId="493DE7C0" w14:textId="77777777" w:rsidR="001D6213" w:rsidRDefault="00000000">
      <w:pPr>
        <w:pStyle w:val="ListParagraph"/>
        <w:numPr>
          <w:ilvl w:val="0"/>
          <w:numId w:val="2"/>
        </w:numPr>
        <w:spacing w:after="120" w:line="360" w:lineRule="auto"/>
      </w:pPr>
      <w:r>
        <w:rPr>
          <w:sz w:val="24"/>
          <w:szCs w:val="24"/>
        </w:rPr>
        <w:t>Develop at least two actionable policy recommendations addressing audit and explanation requirements for employment-related AI, directed at industry and regulatory stakeholders.</w:t>
      </w:r>
    </w:p>
    <w:p w14:paraId="66F09E38" w14:textId="77777777" w:rsidR="001D6213" w:rsidRDefault="00000000">
      <w:pPr>
        <w:pStyle w:val="ListParagraph"/>
        <w:numPr>
          <w:ilvl w:val="0"/>
          <w:numId w:val="2"/>
        </w:numPr>
        <w:spacing w:after="120" w:line="360" w:lineRule="auto"/>
      </w:pPr>
      <w:r>
        <w:rPr>
          <w:sz w:val="24"/>
          <w:szCs w:val="24"/>
        </w:rPr>
        <w:lastRenderedPageBreak/>
        <w:t>Assess whether resume-continuity-based screening creates a perverse incentive that rewards misrepresentation over honest disclosure, and propose a mitigation.</w:t>
      </w:r>
    </w:p>
    <w:p w14:paraId="37F2B2A5" w14:textId="77777777" w:rsidR="001D6213" w:rsidRDefault="00000000">
      <w:pPr>
        <w:pStyle w:val="Heading1"/>
        <w:spacing w:before="360" w:after="200"/>
      </w:pPr>
      <w:r>
        <w:rPr>
          <w:b/>
          <w:bCs/>
          <w:color w:val="000000"/>
          <w:sz w:val="28"/>
          <w:szCs w:val="28"/>
        </w:rPr>
        <w:t>6. Proposed Methodology</w:t>
      </w:r>
    </w:p>
    <w:p w14:paraId="74BC37C9" w14:textId="77777777" w:rsidR="001D6213" w:rsidRDefault="00000000">
      <w:pPr>
        <w:spacing w:after="200" w:line="360" w:lineRule="auto"/>
        <w:jc w:val="both"/>
      </w:pPr>
      <w:r>
        <w:rPr>
          <w:sz w:val="24"/>
          <w:szCs w:val="24"/>
        </w:rPr>
        <w:t>The project will combine literature review, technical audit, and policy analysis across three phases.</w:t>
      </w:r>
    </w:p>
    <w:p w14:paraId="73B4FDAC" w14:textId="77777777" w:rsidR="001D6213" w:rsidRDefault="00000000">
      <w:pPr>
        <w:pStyle w:val="Heading2"/>
        <w:spacing w:before="240" w:after="160"/>
      </w:pPr>
      <w:r>
        <w:rPr>
          <w:b/>
          <w:bCs/>
          <w:i/>
          <w:iCs/>
          <w:color w:val="000000"/>
        </w:rPr>
        <w:t>Phase 1: Evidence review</w:t>
      </w:r>
    </w:p>
    <w:p w14:paraId="01749FCE" w14:textId="77777777" w:rsidR="001D6213" w:rsidRDefault="00000000">
      <w:pPr>
        <w:spacing w:after="200" w:line="360" w:lineRule="auto"/>
        <w:jc w:val="both"/>
      </w:pPr>
      <w:r>
        <w:rPr>
          <w:sz w:val="24"/>
          <w:szCs w:val="24"/>
        </w:rPr>
        <w:t xml:space="preserve">Review academic literature on algorithmic bias in hiring (e.g., studies on resume-screening discrimination), industry reports on AI hiring tool adoption, documented case studies of </w:t>
      </w:r>
      <w:proofErr w:type="spellStart"/>
      <w:r>
        <w:rPr>
          <w:sz w:val="24"/>
          <w:szCs w:val="24"/>
        </w:rPr>
        <w:t>HireVue</w:t>
      </w:r>
      <w:proofErr w:type="spellEnd"/>
      <w:r>
        <w:rPr>
          <w:sz w:val="24"/>
          <w:szCs w:val="24"/>
        </w:rPr>
        <w:t xml:space="preserve"> and comparable systems, and legal/regulatory texts including the EU AI Act, EEOC guidance, and the UK Equality Act 2010.</w:t>
      </w:r>
    </w:p>
    <w:p w14:paraId="72236019" w14:textId="77777777" w:rsidR="001D6213" w:rsidRDefault="00000000">
      <w:pPr>
        <w:pStyle w:val="Heading2"/>
        <w:spacing w:before="240" w:after="160"/>
      </w:pPr>
      <w:r>
        <w:rPr>
          <w:b/>
          <w:bCs/>
          <w:i/>
          <w:iCs/>
          <w:color w:val="000000"/>
        </w:rPr>
        <w:t>Phase 2: Technical audit</w:t>
      </w:r>
    </w:p>
    <w:p w14:paraId="522A9D1D" w14:textId="77777777" w:rsidR="001D6213" w:rsidRDefault="00000000">
      <w:pPr>
        <w:spacing w:after="200" w:line="360" w:lineRule="auto"/>
        <w:jc w:val="both"/>
      </w:pPr>
      <w:r>
        <w:rPr>
          <w:sz w:val="24"/>
          <w:szCs w:val="24"/>
        </w:rPr>
        <w:t xml:space="preserve">Using a public recruitment/resume dataset, train a representative screening classifier and evaluate it with fairness toolkits (e.g., </w:t>
      </w:r>
      <w:proofErr w:type="spellStart"/>
      <w:r>
        <w:rPr>
          <w:sz w:val="24"/>
          <w:szCs w:val="24"/>
        </w:rPr>
        <w:t>Fairlearn</w:t>
      </w:r>
      <w:proofErr w:type="spellEnd"/>
      <w:r>
        <w:rPr>
          <w:sz w:val="24"/>
          <w:szCs w:val="24"/>
        </w:rPr>
        <w:t xml:space="preserve"> or AIF360) to measure disparate impact associated with employment gaps. Apply explainability methods (e.g., SHAP) to identify which features drive rejection decisions, and prototype a counterfactual-explanation component that surfaces actionable feedback to a simulated candidate.</w:t>
      </w:r>
    </w:p>
    <w:p w14:paraId="47DA347B" w14:textId="77777777" w:rsidR="001D6213" w:rsidRDefault="00000000">
      <w:pPr>
        <w:pStyle w:val="Heading2"/>
        <w:spacing w:before="240" w:after="160"/>
      </w:pPr>
      <w:r>
        <w:rPr>
          <w:b/>
          <w:bCs/>
          <w:i/>
          <w:iCs/>
          <w:color w:val="000000"/>
        </w:rPr>
        <w:t>Phase 3: Policy synthesis</w:t>
      </w:r>
    </w:p>
    <w:p w14:paraId="191C2F73" w14:textId="77777777" w:rsidR="001D6213" w:rsidRDefault="00000000">
      <w:pPr>
        <w:spacing w:after="200" w:line="360" w:lineRule="auto"/>
        <w:jc w:val="both"/>
      </w:pPr>
      <w:r>
        <w:rPr>
          <w:sz w:val="24"/>
          <w:szCs w:val="24"/>
        </w:rPr>
        <w:t xml:space="preserve">Translate audit findings into concrete governance recommendations, drawing on the regulatory frameworks reviewed in Phase 1 and precedent set by </w:t>
      </w:r>
      <w:proofErr w:type="spellStart"/>
      <w:r>
        <w:rPr>
          <w:sz w:val="24"/>
          <w:szCs w:val="24"/>
        </w:rPr>
        <w:t>HireVue's</w:t>
      </w:r>
      <w:proofErr w:type="spellEnd"/>
      <w:r>
        <w:rPr>
          <w:sz w:val="24"/>
          <w:szCs w:val="24"/>
        </w:rPr>
        <w:t xml:space="preserve"> own removal of its facial-analysis feature following external pressure.</w:t>
      </w:r>
    </w:p>
    <w:p w14:paraId="6954FD4E" w14:textId="77777777" w:rsidR="001D6213" w:rsidRDefault="00000000">
      <w:pPr>
        <w:pStyle w:val="Heading1"/>
        <w:spacing w:before="360" w:after="200"/>
      </w:pPr>
      <w:r>
        <w:rPr>
          <w:b/>
          <w:bCs/>
          <w:color w:val="000000"/>
          <w:sz w:val="28"/>
          <w:szCs w:val="28"/>
        </w:rPr>
        <w:t>7. Expected Outcomes</w:t>
      </w:r>
    </w:p>
    <w:p w14:paraId="7C8691D1" w14:textId="77777777" w:rsidR="001D6213" w:rsidRDefault="00000000">
      <w:pPr>
        <w:spacing w:after="200" w:line="360" w:lineRule="auto"/>
        <w:jc w:val="both"/>
      </w:pPr>
      <w:r>
        <w:rPr>
          <w:sz w:val="24"/>
          <w:szCs w:val="24"/>
        </w:rPr>
        <w:t>By the end of Assignment 2, the project expects to produce:</w:t>
      </w:r>
    </w:p>
    <w:p w14:paraId="51950220" w14:textId="77777777" w:rsidR="001D6213" w:rsidRDefault="00000000">
      <w:pPr>
        <w:pStyle w:val="ListParagraph"/>
        <w:numPr>
          <w:ilvl w:val="0"/>
          <w:numId w:val="2"/>
        </w:numPr>
        <w:spacing w:after="120" w:line="360" w:lineRule="auto"/>
      </w:pPr>
      <w:r>
        <w:rPr>
          <w:sz w:val="24"/>
          <w:szCs w:val="24"/>
        </w:rPr>
        <w:t>A quantified bias audit demonstrating whether and how strongly employment gaps affect AI screening outcomes, and whether this disparity has a demographic skew.</w:t>
      </w:r>
    </w:p>
    <w:p w14:paraId="5C7F6190" w14:textId="77777777" w:rsidR="001D6213" w:rsidRDefault="00000000">
      <w:pPr>
        <w:pStyle w:val="ListParagraph"/>
        <w:numPr>
          <w:ilvl w:val="0"/>
          <w:numId w:val="2"/>
        </w:numPr>
        <w:spacing w:after="120" w:line="360" w:lineRule="auto"/>
      </w:pPr>
      <w:r>
        <w:rPr>
          <w:sz w:val="24"/>
          <w:szCs w:val="24"/>
        </w:rPr>
        <w:t>A working counterfactual-explanation prototype demonstrating a practical path to explainable AI rejection feedback.</w:t>
      </w:r>
    </w:p>
    <w:p w14:paraId="1DCEA649" w14:textId="77777777" w:rsidR="001D6213" w:rsidRDefault="00000000">
      <w:pPr>
        <w:pStyle w:val="ListParagraph"/>
        <w:numPr>
          <w:ilvl w:val="0"/>
          <w:numId w:val="2"/>
        </w:numPr>
        <w:spacing w:after="120" w:line="360" w:lineRule="auto"/>
      </w:pPr>
      <w:r>
        <w:rPr>
          <w:sz w:val="24"/>
          <w:szCs w:val="24"/>
        </w:rPr>
        <w:lastRenderedPageBreak/>
        <w:t>A policy recommendation directed at industry/HR technology vendors: mandatory pre-deployment and periodic bias audits with published disparate-impact ratios for protected and gap-affected groups.</w:t>
      </w:r>
    </w:p>
    <w:p w14:paraId="1BCDF140" w14:textId="77777777" w:rsidR="001D6213" w:rsidRDefault="00000000">
      <w:pPr>
        <w:pStyle w:val="ListParagraph"/>
        <w:numPr>
          <w:ilvl w:val="0"/>
          <w:numId w:val="2"/>
        </w:numPr>
        <w:spacing w:after="120" w:line="360" w:lineRule="auto"/>
      </w:pPr>
      <w:r>
        <w:rPr>
          <w:sz w:val="24"/>
          <w:szCs w:val="24"/>
        </w:rPr>
        <w:t>A policy recommendation directed at regulators: a right-to-explanation requirement for AI-driven employment rejections, aligned with the EU AI Act's high-risk obligations and EEOC guidance.</w:t>
      </w:r>
    </w:p>
    <w:p w14:paraId="46ACD69A" w14:textId="77777777" w:rsidR="001D6213" w:rsidRDefault="00000000">
      <w:pPr>
        <w:pStyle w:val="ListParagraph"/>
        <w:numPr>
          <w:ilvl w:val="0"/>
          <w:numId w:val="2"/>
        </w:numPr>
        <w:spacing w:after="120" w:line="360" w:lineRule="auto"/>
      </w:pPr>
      <w:r>
        <w:rPr>
          <w:sz w:val="24"/>
          <w:szCs w:val="24"/>
        </w:rPr>
        <w:t>A policy recommendation directed at employers/HR teams: pairing AI resume screening with skills-based verification (e.g., practical assessments) rather than relying on resume continuity as a proxy for reliability, to reduce the incentive for candidates to misrepresent employment history.</w:t>
      </w:r>
    </w:p>
    <w:p w14:paraId="6FB1AE2E" w14:textId="77777777" w:rsidR="001D6213" w:rsidRDefault="00000000">
      <w:pPr>
        <w:pStyle w:val="ListParagraph"/>
        <w:numPr>
          <w:ilvl w:val="0"/>
          <w:numId w:val="2"/>
        </w:numPr>
        <w:spacing w:after="120" w:line="360" w:lineRule="auto"/>
      </w:pPr>
      <w:r>
        <w:rPr>
          <w:sz w:val="24"/>
          <w:szCs w:val="24"/>
        </w:rPr>
        <w:t>A poster, policy report, and presentation deck communicating these findings to both technical and non-technical audiences.</w:t>
      </w:r>
    </w:p>
    <w:p w14:paraId="0E740B8E" w14:textId="77777777" w:rsidR="001D6213" w:rsidRDefault="00000000">
      <w:pPr>
        <w:pStyle w:val="Heading1"/>
        <w:spacing w:before="360" w:after="200"/>
      </w:pPr>
      <w:r>
        <w:rPr>
          <w:b/>
          <w:bCs/>
          <w:color w:val="000000"/>
          <w:sz w:val="28"/>
          <w:szCs w:val="28"/>
        </w:rPr>
        <w:t>8. References</w:t>
      </w:r>
    </w:p>
    <w:p w14:paraId="14EC0F58" w14:textId="10D4E955" w:rsidR="001D6213" w:rsidRDefault="00000000" w:rsidP="004C0DA2">
      <w:pPr>
        <w:spacing w:after="200" w:line="360" w:lineRule="auto"/>
        <w:ind w:left="720" w:hanging="720"/>
      </w:pPr>
      <w:r>
        <w:rPr>
          <w:sz w:val="24"/>
          <w:szCs w:val="24"/>
        </w:rPr>
        <w:t>Bogen, M., &amp; Rieke, A. (2018). Help wanted: An examination of hiring algorithms, equity, and</w:t>
      </w:r>
      <w:r w:rsidR="004C0DA2">
        <w:rPr>
          <w:sz w:val="24"/>
          <w:szCs w:val="24"/>
        </w:rPr>
        <w:t xml:space="preserve"> </w:t>
      </w:r>
      <w:r>
        <w:rPr>
          <w:sz w:val="24"/>
          <w:szCs w:val="24"/>
        </w:rPr>
        <w:t>bias. Upturn.</w:t>
      </w:r>
    </w:p>
    <w:p w14:paraId="3F1564C2" w14:textId="77777777" w:rsidR="001D6213" w:rsidRDefault="00000000" w:rsidP="004C0DA2">
      <w:pPr>
        <w:spacing w:after="200" w:line="360" w:lineRule="auto"/>
        <w:ind w:left="720" w:hanging="720"/>
      </w:pPr>
      <w:r>
        <w:rPr>
          <w:sz w:val="24"/>
          <w:szCs w:val="24"/>
        </w:rPr>
        <w:t>Equal Employment Opportunity Commission. (2023). The Americans with Disabilities Act and the use of software, algorithms, and artificial intelligence to assess job applicants and employees. U.S. EEOC.</w:t>
      </w:r>
    </w:p>
    <w:p w14:paraId="32C72C63" w14:textId="77777777" w:rsidR="001D6213" w:rsidRDefault="00000000" w:rsidP="004C0DA2">
      <w:pPr>
        <w:spacing w:after="200" w:line="360" w:lineRule="auto"/>
        <w:ind w:left="720" w:hanging="720"/>
      </w:pPr>
      <w:r>
        <w:rPr>
          <w:sz w:val="24"/>
          <w:szCs w:val="24"/>
        </w:rPr>
        <w:t>European Commission. (2024). Regulation (EU) 2024/1689 laying down harmonised rules on artificial intelligence (Artificial Intelligence Act).</w:t>
      </w:r>
    </w:p>
    <w:p w14:paraId="1DFE9780" w14:textId="77777777" w:rsidR="001D6213" w:rsidRDefault="00000000" w:rsidP="004C0DA2">
      <w:pPr>
        <w:spacing w:after="200" w:line="360" w:lineRule="auto"/>
        <w:ind w:left="720" w:hanging="720"/>
      </w:pPr>
      <w:r>
        <w:rPr>
          <w:sz w:val="24"/>
          <w:szCs w:val="24"/>
        </w:rPr>
        <w:t xml:space="preserve">Federal Trade Commission. (2019). Complaint and request for investigation, injunction, and other relief submitted by EPIC concerning </w:t>
      </w:r>
      <w:proofErr w:type="spellStart"/>
      <w:r>
        <w:rPr>
          <w:sz w:val="24"/>
          <w:szCs w:val="24"/>
        </w:rPr>
        <w:t>HireVue</w:t>
      </w:r>
      <w:proofErr w:type="spellEnd"/>
      <w:r>
        <w:rPr>
          <w:sz w:val="24"/>
          <w:szCs w:val="24"/>
        </w:rPr>
        <w:t>.</w:t>
      </w:r>
    </w:p>
    <w:p w14:paraId="4B06D28E" w14:textId="77777777" w:rsidR="001D6213" w:rsidRDefault="00000000" w:rsidP="004C0DA2">
      <w:pPr>
        <w:spacing w:after="200" w:line="360" w:lineRule="auto"/>
        <w:ind w:left="720" w:hanging="720"/>
      </w:pPr>
      <w:r>
        <w:rPr>
          <w:sz w:val="24"/>
          <w:szCs w:val="24"/>
        </w:rPr>
        <w:t>International Labour Organization. (2023). Generative AI and jobs: A global analysis of potential effects on job quantity and quality.</w:t>
      </w:r>
    </w:p>
    <w:p w14:paraId="5FC86F3F" w14:textId="77777777" w:rsidR="001D6213" w:rsidRDefault="00000000" w:rsidP="004C0DA2">
      <w:pPr>
        <w:spacing w:after="200" w:line="360" w:lineRule="auto"/>
        <w:ind w:left="720" w:hanging="720"/>
      </w:pPr>
      <w:r>
        <w:rPr>
          <w:sz w:val="24"/>
          <w:szCs w:val="24"/>
        </w:rPr>
        <w:t>Raghavan, M., Barocas, S., Kleinberg, J., &amp; Levy, K. (2020). Mitigating bias in algorithmic hiring: Evaluating claims and practices. Proceedings of the 2020 Conference on Fairness, Accountability, and Transparency, 469–481.</w:t>
      </w:r>
    </w:p>
    <w:p w14:paraId="40DA76E1" w14:textId="0A305F2F" w:rsidR="001D6213" w:rsidRDefault="00000000" w:rsidP="004C0DA2">
      <w:pPr>
        <w:spacing w:after="200" w:line="360" w:lineRule="auto"/>
        <w:ind w:left="720" w:hanging="720"/>
      </w:pPr>
      <w:r>
        <w:rPr>
          <w:sz w:val="24"/>
          <w:szCs w:val="24"/>
        </w:rPr>
        <w:lastRenderedPageBreak/>
        <w:t xml:space="preserve">Wustl, S., &amp; </w:t>
      </w:r>
      <w:proofErr w:type="spellStart"/>
      <w:r>
        <w:rPr>
          <w:sz w:val="24"/>
          <w:szCs w:val="24"/>
        </w:rPr>
        <w:t>Todorăci</w:t>
      </w:r>
      <w:proofErr w:type="spellEnd"/>
      <w:r>
        <w:rPr>
          <w:sz w:val="24"/>
          <w:szCs w:val="24"/>
        </w:rPr>
        <w:t xml:space="preserve">, S. (2021). </w:t>
      </w:r>
      <w:proofErr w:type="spellStart"/>
      <w:r>
        <w:rPr>
          <w:sz w:val="24"/>
          <w:szCs w:val="24"/>
        </w:rPr>
        <w:t>HireVue</w:t>
      </w:r>
      <w:proofErr w:type="spellEnd"/>
      <w:r>
        <w:rPr>
          <w:sz w:val="24"/>
          <w:szCs w:val="24"/>
        </w:rPr>
        <w:t xml:space="preserve"> drops facial analysis from its AI-based hiring assessments. [Industry report / news source — verify and replace with the actual source you consulted].</w:t>
      </w:r>
    </w:p>
    <w:sectPr w:rsidR="001D6213" w:rsidSect="004C0DA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EACEE" w14:textId="77777777" w:rsidR="008376ED" w:rsidRDefault="008376ED" w:rsidP="00015AE4">
      <w:r>
        <w:separator/>
      </w:r>
    </w:p>
  </w:endnote>
  <w:endnote w:type="continuationSeparator" w:id="0">
    <w:p w14:paraId="3C040BC1" w14:textId="77777777" w:rsidR="008376ED" w:rsidRDefault="008376ED" w:rsidP="00015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EFE24" w14:textId="77777777" w:rsidR="008376ED" w:rsidRDefault="008376ED" w:rsidP="00015AE4">
      <w:r>
        <w:separator/>
      </w:r>
    </w:p>
  </w:footnote>
  <w:footnote w:type="continuationSeparator" w:id="0">
    <w:p w14:paraId="106F2565" w14:textId="77777777" w:rsidR="008376ED" w:rsidRDefault="008376ED" w:rsidP="00015A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D32D9"/>
    <w:multiLevelType w:val="hybridMultilevel"/>
    <w:tmpl w:val="DE8C50F2"/>
    <w:lvl w:ilvl="0" w:tplc="BB3A44AE">
      <w:start w:val="1"/>
      <w:numFmt w:val="bullet"/>
      <w:lvlText w:val="●"/>
      <w:lvlJc w:val="left"/>
      <w:pPr>
        <w:ind w:left="720" w:hanging="360"/>
      </w:pPr>
    </w:lvl>
    <w:lvl w:ilvl="1" w:tplc="29FE53F4">
      <w:start w:val="1"/>
      <w:numFmt w:val="bullet"/>
      <w:lvlText w:val="○"/>
      <w:lvlJc w:val="left"/>
      <w:pPr>
        <w:ind w:left="1440" w:hanging="360"/>
      </w:pPr>
    </w:lvl>
    <w:lvl w:ilvl="2" w:tplc="39224E08">
      <w:start w:val="1"/>
      <w:numFmt w:val="bullet"/>
      <w:lvlText w:val="■"/>
      <w:lvlJc w:val="left"/>
      <w:pPr>
        <w:ind w:left="2160" w:hanging="360"/>
      </w:pPr>
    </w:lvl>
    <w:lvl w:ilvl="3" w:tplc="11E28F9E">
      <w:start w:val="1"/>
      <w:numFmt w:val="bullet"/>
      <w:lvlText w:val="●"/>
      <w:lvlJc w:val="left"/>
      <w:pPr>
        <w:ind w:left="2880" w:hanging="360"/>
      </w:pPr>
    </w:lvl>
    <w:lvl w:ilvl="4" w:tplc="35AA4008">
      <w:start w:val="1"/>
      <w:numFmt w:val="bullet"/>
      <w:lvlText w:val="○"/>
      <w:lvlJc w:val="left"/>
      <w:pPr>
        <w:ind w:left="3600" w:hanging="360"/>
      </w:pPr>
    </w:lvl>
    <w:lvl w:ilvl="5" w:tplc="F466ADA6">
      <w:start w:val="1"/>
      <w:numFmt w:val="bullet"/>
      <w:lvlText w:val="■"/>
      <w:lvlJc w:val="left"/>
      <w:pPr>
        <w:ind w:left="4320" w:hanging="360"/>
      </w:pPr>
    </w:lvl>
    <w:lvl w:ilvl="6" w:tplc="33E2ACBA">
      <w:start w:val="1"/>
      <w:numFmt w:val="bullet"/>
      <w:lvlText w:val="●"/>
      <w:lvlJc w:val="left"/>
      <w:pPr>
        <w:ind w:left="5040" w:hanging="360"/>
      </w:pPr>
    </w:lvl>
    <w:lvl w:ilvl="7" w:tplc="D4624FB4">
      <w:start w:val="1"/>
      <w:numFmt w:val="bullet"/>
      <w:lvlText w:val="●"/>
      <w:lvlJc w:val="left"/>
      <w:pPr>
        <w:ind w:left="5760" w:hanging="360"/>
      </w:pPr>
    </w:lvl>
    <w:lvl w:ilvl="8" w:tplc="1F6CF6C2">
      <w:start w:val="1"/>
      <w:numFmt w:val="bullet"/>
      <w:lvlText w:val="●"/>
      <w:lvlJc w:val="left"/>
      <w:pPr>
        <w:ind w:left="6480" w:hanging="360"/>
      </w:pPr>
    </w:lvl>
  </w:abstractNum>
  <w:abstractNum w:abstractNumId="1" w15:restartNumberingAfterBreak="0">
    <w:nsid w:val="647D6BBF"/>
    <w:multiLevelType w:val="hybridMultilevel"/>
    <w:tmpl w:val="B762D950"/>
    <w:lvl w:ilvl="0" w:tplc="74FECA30">
      <w:start w:val="1"/>
      <w:numFmt w:val="bullet"/>
      <w:lvlText w:val="•"/>
      <w:lvlJc w:val="left"/>
      <w:pPr>
        <w:ind w:left="720" w:hanging="360"/>
      </w:pPr>
    </w:lvl>
    <w:lvl w:ilvl="1" w:tplc="13D2D576">
      <w:numFmt w:val="decimal"/>
      <w:lvlText w:val=""/>
      <w:lvlJc w:val="left"/>
    </w:lvl>
    <w:lvl w:ilvl="2" w:tplc="BB926C26">
      <w:numFmt w:val="decimal"/>
      <w:lvlText w:val=""/>
      <w:lvlJc w:val="left"/>
    </w:lvl>
    <w:lvl w:ilvl="3" w:tplc="602CF5E8">
      <w:numFmt w:val="decimal"/>
      <w:lvlText w:val=""/>
      <w:lvlJc w:val="left"/>
    </w:lvl>
    <w:lvl w:ilvl="4" w:tplc="5EAC7378">
      <w:numFmt w:val="decimal"/>
      <w:lvlText w:val=""/>
      <w:lvlJc w:val="left"/>
    </w:lvl>
    <w:lvl w:ilvl="5" w:tplc="1E9498F8">
      <w:numFmt w:val="decimal"/>
      <w:lvlText w:val=""/>
      <w:lvlJc w:val="left"/>
    </w:lvl>
    <w:lvl w:ilvl="6" w:tplc="C6C4D8A8">
      <w:numFmt w:val="decimal"/>
      <w:lvlText w:val=""/>
      <w:lvlJc w:val="left"/>
    </w:lvl>
    <w:lvl w:ilvl="7" w:tplc="20EC5D92">
      <w:numFmt w:val="decimal"/>
      <w:lvlText w:val=""/>
      <w:lvlJc w:val="left"/>
    </w:lvl>
    <w:lvl w:ilvl="8" w:tplc="2B945B00">
      <w:numFmt w:val="decimal"/>
      <w:lvlText w:val=""/>
      <w:lvlJc w:val="left"/>
    </w:lvl>
  </w:abstractNum>
  <w:num w:numId="1" w16cid:durableId="1999728128">
    <w:abstractNumId w:val="0"/>
    <w:lvlOverride w:ilvl="0">
      <w:startOverride w:val="1"/>
    </w:lvlOverride>
  </w:num>
  <w:num w:numId="2" w16cid:durableId="4561432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213"/>
    <w:rsid w:val="00015AE4"/>
    <w:rsid w:val="00035F58"/>
    <w:rsid w:val="001D6213"/>
    <w:rsid w:val="004C0DA2"/>
    <w:rsid w:val="004E75F6"/>
    <w:rsid w:val="00616072"/>
    <w:rsid w:val="00837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15DC5"/>
  <w15:docId w15:val="{2C458B9F-CBBC-44E6-B2DB-F01452D2F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5AE4"/>
    <w:pPr>
      <w:tabs>
        <w:tab w:val="center" w:pos="4513"/>
        <w:tab w:val="right" w:pos="9026"/>
      </w:tabs>
    </w:pPr>
  </w:style>
  <w:style w:type="character" w:customStyle="1" w:styleId="HeaderChar">
    <w:name w:val="Header Char"/>
    <w:basedOn w:val="DefaultParagraphFont"/>
    <w:link w:val="Header"/>
    <w:uiPriority w:val="99"/>
    <w:rsid w:val="00015AE4"/>
  </w:style>
  <w:style w:type="paragraph" w:styleId="Footer">
    <w:name w:val="footer"/>
    <w:basedOn w:val="Normal"/>
    <w:link w:val="FooterChar"/>
    <w:uiPriority w:val="99"/>
    <w:unhideWhenUsed/>
    <w:rsid w:val="00015AE4"/>
    <w:pPr>
      <w:tabs>
        <w:tab w:val="center" w:pos="4513"/>
        <w:tab w:val="right" w:pos="9026"/>
      </w:tabs>
    </w:pPr>
  </w:style>
  <w:style w:type="character" w:customStyle="1" w:styleId="FooterChar">
    <w:name w:val="Footer Char"/>
    <w:basedOn w:val="DefaultParagraphFont"/>
    <w:link w:val="Footer"/>
    <w:uiPriority w:val="99"/>
    <w:rsid w:val="00015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2FB43-578D-4853-B04D-689D4EEBE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1549</Words>
  <Characters>8834</Characters>
  <Application>Microsoft Office Word</Application>
  <DocSecurity>0</DocSecurity>
  <Lines>73</Lines>
  <Paragraphs>20</Paragraphs>
  <ScaleCrop>false</ScaleCrop>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Harini Loganathan</cp:lastModifiedBy>
  <cp:revision>4</cp:revision>
  <cp:lastPrinted>2026-08-05T08:47:00Z</cp:lastPrinted>
  <dcterms:created xsi:type="dcterms:W3CDTF">2026-08-04T16:29:00Z</dcterms:created>
  <dcterms:modified xsi:type="dcterms:W3CDTF">2026-08-05T08:47:00Z</dcterms:modified>
</cp:coreProperties>
</file>