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1DF41" w14:textId="77777777" w:rsidR="00626CCD" w:rsidRPr="00A64EF6" w:rsidRDefault="00626CCD" w:rsidP="00626CCD">
      <w:pPr>
        <w:spacing w:before="156"/>
        <w:rPr>
          <w:rFonts w:eastAsiaTheme="minorEastAsia"/>
        </w:rPr>
      </w:pP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7971506E" w:rsidR="00F20CEA" w:rsidRPr="005053A4" w:rsidRDefault="003951BC" w:rsidP="005053A4">
      <w:pPr>
        <w:pStyle w:val="a"/>
      </w:pPr>
      <w:r w:rsidRPr="005053A4">
        <w:t xml:space="preserve">[Advanced] </w:t>
      </w:r>
      <w:r w:rsidR="00F20CEA" w:rsidRPr="005053A4">
        <w:t xml:space="preserve">Using </w:t>
      </w:r>
      <w:r w:rsidR="00F7696F" w:rsidRPr="005053A4">
        <w:t xml:space="preserve">Linear Congruential Generator </w:t>
      </w:r>
      <w:r w:rsidR="004512FD">
        <w:t xml:space="preserve">and </w:t>
      </w:r>
      <w:r w:rsidR="004512FD" w:rsidRPr="004512FD">
        <w:t xml:space="preserve">Mersenne </w:t>
      </w:r>
      <w:r w:rsidR="004512FD">
        <w:t>T</w:t>
      </w:r>
      <w:r w:rsidR="004512FD" w:rsidRPr="004512FD">
        <w:t xml:space="preserve">wister </w:t>
      </w:r>
      <w:r w:rsidR="004512FD">
        <w:t xml:space="preserve">MT19937 </w:t>
      </w:r>
      <w:r w:rsidR="00F7696F" w:rsidRPr="005053A4">
        <w:t>as the random number generator to set random event time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42E6F18D"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mer will mark this as a failure</w:t>
      </w:r>
    </w:p>
    <w:p w14:paraId="4942C709" w14:textId="45FB3954"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7EEF470F" w14:textId="7018F2CD" w:rsidR="00DF4F00" w:rsidRDefault="00632735" w:rsidP="00DF4F00">
      <w:pPr>
        <w:pStyle w:val="1"/>
        <w:spacing w:before="312"/>
      </w:pPr>
      <w:r>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lastRenderedPageBreak/>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lastRenderedPageBreak/>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The digit selected integer could be calculated with index (</w:t>
      </w:r>
      <w:proofErr w:type="spellStart"/>
      <w:r w:rsidR="0020305E">
        <w:rPr>
          <w:rFonts w:eastAsiaTheme="minorEastAsia"/>
        </w:rPr>
        <w:t>displayIndex</w:t>
      </w:r>
      <w:proofErr w:type="spellEnd"/>
      <w:r w:rsidR="0020305E">
        <w:rPr>
          <w:rFonts w:eastAsiaTheme="minorEastAsia"/>
        </w:rPr>
        <w:t xml:space="preserve">) with expression </w:t>
      </w:r>
      <w:proofErr w:type="gramStart"/>
      <w:r w:rsidR="0020305E" w:rsidRPr="0020305E">
        <w:rPr>
          <w:rStyle w:val="aa"/>
        </w:rPr>
        <w:t>~(</w:t>
      </w:r>
      <w:proofErr w:type="gramEnd"/>
      <w:r w:rsidR="0020305E" w:rsidRPr="0020305E">
        <w:rPr>
          <w:rStyle w:val="aa"/>
        </w:rPr>
        <w:t xml:space="preserve">8'd1 &lt;&lt; </w:t>
      </w:r>
      <w:proofErr w:type="spellStart"/>
      <w:r w:rsidR="0020305E" w:rsidRPr="0020305E">
        <w:rPr>
          <w:rStyle w:val="aa"/>
        </w:rPr>
        <w:t>displayIndex</w:t>
      </w:r>
      <w:proofErr w:type="spellEnd"/>
      <w:r w:rsidR="0020305E" w:rsidRPr="0020305E">
        <w:rPr>
          <w:rStyle w:val="aa"/>
        </w:rPr>
        <w:t>)</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tblInd w:w="11" w:type="dxa"/>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BD1467">
        <w:trPr>
          <w:trHeight w:val="426"/>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BD1467">
        <w:trPr>
          <w:trHeight w:val="353"/>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BD1467">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BD1467">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BD1467">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637D75FF"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1E749213" w:rsidR="00B84E4B" w:rsidRDefault="00C701A2" w:rsidP="00C701A2">
      <w:pPr>
        <w:pStyle w:val="2"/>
      </w:pPr>
      <w:r>
        <w:rPr>
          <w:rFonts w:hint="eastAsia"/>
        </w:rPr>
        <w:t>Central Logic Unit (</w:t>
      </w:r>
      <w:proofErr w:type="spellStart"/>
      <w:r w:rsidR="006F2177">
        <w:t>Miyanaga</w:t>
      </w:r>
      <w:proofErr w:type="spellEnd"/>
      <w:r w:rsidR="006F2177">
        <w:t xml:space="preserve"> </w:t>
      </w:r>
      <w:r>
        <w:t>RT-70 Kai Type 3</w:t>
      </w:r>
      <w:r w:rsidR="006F2177">
        <w:t xml:space="preserve"> “</w:t>
      </w:r>
      <w:proofErr w:type="spellStart"/>
      <w:r w:rsidR="006F2177">
        <w:t>Hayate</w:t>
      </w:r>
      <w:proofErr w:type="spellEnd"/>
      <w:r w:rsidR="006F2177">
        <w:t>”</w:t>
      </w:r>
      <w:r w:rsidR="00A45101">
        <w:t>, M7T3</w:t>
      </w:r>
      <w:r>
        <w:rPr>
          <w:rFonts w:hint="eastAsia"/>
        </w:rPr>
        <w:t>)</w:t>
      </w:r>
    </w:p>
    <w:p w14:paraId="6D1E0D31" w14:textId="26825839"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06DC98A4"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77777777"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51E9EB02" w14:textId="666F89C9" w:rsidR="00220F04" w:rsidRDefault="00220F04" w:rsidP="00676DDC">
      <w:pPr>
        <w:spacing w:before="156"/>
        <w:jc w:val="center"/>
        <w:rPr>
          <w:rFonts w:eastAsiaTheme="minorEastAsia"/>
        </w:rPr>
        <w:sectPr w:rsidR="00220F04" w:rsidSect="004345E7">
          <w:pgSz w:w="11906" w:h="16838"/>
          <w:pgMar w:top="1440" w:right="1800" w:bottom="1440" w:left="1800" w:header="851" w:footer="992" w:gutter="0"/>
          <w:cols w:space="425"/>
          <w:docGrid w:type="lines" w:linePitch="312"/>
        </w:sectPr>
      </w:pPr>
      <w:r>
        <w:rPr>
          <w:rFonts w:eastAsiaTheme="minorEastAsia"/>
          <w:noProof/>
        </w:rPr>
        <w:lastRenderedPageBreak/>
        <w:drawing>
          <wp:inline distT="0" distB="0" distL="0" distR="0" wp14:anchorId="055509BD" wp14:editId="4A226F64">
            <wp:extent cx="8708480" cy="4677764"/>
            <wp:effectExtent l="889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9">
                      <a:extLst>
                        <a:ext uri="{28A0092B-C50C-407E-A947-70E740481C1C}">
                          <a14:useLocalDpi xmlns:a14="http://schemas.microsoft.com/office/drawing/2010/main" val="0"/>
                        </a:ext>
                      </a:extLst>
                    </a:blip>
                    <a:srcRect l="3455" r="4792"/>
                    <a:stretch/>
                  </pic:blipFill>
                  <pic:spPr bwMode="auto">
                    <a:xfrm rot="5400000">
                      <a:off x="0" y="0"/>
                      <a:ext cx="8723255" cy="4685701"/>
                    </a:xfrm>
                    <a:prstGeom prst="rect">
                      <a:avLst/>
                    </a:prstGeom>
                    <a:ln>
                      <a:noFill/>
                    </a:ln>
                    <a:extLst>
                      <a:ext uri="{53640926-AAD7-44D8-BBD7-CCE9431645EC}">
                        <a14:shadowObscured xmlns:a14="http://schemas.microsoft.com/office/drawing/2010/main"/>
                      </a:ext>
                    </a:extLst>
                  </pic:spPr>
                </pic:pic>
              </a:graphicData>
            </a:graphic>
          </wp:inline>
        </w:drawing>
      </w:r>
    </w:p>
    <w:p w14:paraId="55DDEA65" w14:textId="47676782" w:rsidR="00220F04" w:rsidRDefault="00D66BFB" w:rsidP="00676DDC">
      <w:pPr>
        <w:ind w:left="0" w:firstLine="0"/>
      </w:pPr>
      <w:r>
        <w:lastRenderedPageBreak/>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FF7E15">
      <w:pPr>
        <w:pStyle w:val="a"/>
        <w:numPr>
          <w:ilvl w:val="1"/>
          <w:numId w:val="3"/>
        </w:numPr>
        <w:spacing w:after="0"/>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49160004">
            <wp:extent cx="5270085" cy="310248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10">
                      <a:extLst>
                        <a:ext uri="{28A0092B-C50C-407E-A947-70E740481C1C}">
                          <a14:useLocalDpi xmlns:a14="http://schemas.microsoft.com/office/drawing/2010/main" val="0"/>
                        </a:ext>
                      </a:extLst>
                    </a:blip>
                    <a:srcRect l="5976" r="7611"/>
                    <a:stretch/>
                  </pic:blipFill>
                  <pic:spPr bwMode="auto">
                    <a:xfrm>
                      <a:off x="0" y="0"/>
                      <a:ext cx="5303527" cy="312217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w:t>
      </w:r>
      <w:r>
        <w:rPr>
          <w:rFonts w:eastAsiaTheme="minorEastAsia"/>
        </w:rPr>
        <w:lastRenderedPageBreak/>
        <w:t xml:space="preserve">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11"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0" w:name="OLE_LINK53"/>
      <w:bookmarkStart w:id="1" w:name="OLE_LINK54"/>
      <m:oMath>
        <m:r>
          <w:rPr>
            <w:rFonts w:ascii="Cambria Math" w:eastAsiaTheme="minorEastAsia" w:hAnsi="Cambria Math"/>
          </w:rPr>
          <m:t>n</m:t>
        </m:r>
      </m:oMath>
      <w:bookmarkEnd w:id="0"/>
      <w:bookmarkEnd w:id="1"/>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2" w:name="OLE_LINK48"/>
      <w:bookmarkStart w:id="3" w:name="OLE_LINK61"/>
      <w:bookmarkStart w:id="4" w:name="OLE_LINK71"/>
      <m:oMath>
        <m:r>
          <w:rPr>
            <w:rFonts w:ascii="Cambria Math" w:eastAsiaTheme="minorEastAsia" w:hAnsi="Cambria Math"/>
          </w:rPr>
          <m:t>x</m:t>
        </m:r>
      </m:oMath>
      <w:bookmarkStart w:id="5" w:name="OLE_LINK70"/>
      <w:bookmarkEnd w:id="2"/>
      <w:bookmarkEnd w:id="3"/>
      <w:bookmarkEnd w:id="4"/>
      <w:r>
        <w:rPr>
          <w:rFonts w:eastAsiaTheme="minorEastAsia"/>
        </w:rPr>
        <w:t xml:space="preserve"> – </w:t>
      </w:r>
      <w:bookmarkEnd w:id="5"/>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785879"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 the number a bit from the rightmost of </w:t>
      </w:r>
      <m:oMath>
        <m:r>
          <w:rPr>
            <w:rFonts w:ascii="Cambria Math" w:eastAsiaTheme="minorEastAsia" w:hAnsi="Cambria Math"/>
          </w:rPr>
          <m:t>x</m:t>
        </m:r>
      </m:oMath>
      <w:r>
        <w:rPr>
          <w:rFonts w:eastAsiaTheme="minorEastAsia"/>
        </w:rPr>
        <w:t>.</w:t>
      </w:r>
    </w:p>
    <w:p w14:paraId="31809191" w14:textId="26340085" w:rsidR="009E4F24" w:rsidRDefault="009E4F24" w:rsidP="009E4F24">
      <w:pPr>
        <w:pStyle w:val="a"/>
        <w:numPr>
          <w:ilvl w:val="0"/>
          <w:numId w:val="7"/>
        </w:numPr>
        <w:rPr>
          <w:rFonts w:eastAsiaTheme="minorEastAsia"/>
        </w:rPr>
      </w:pPr>
      <w:bookmarkStart w:id="6" w:name="OLE_LINK51"/>
      <w:bookmarkStart w:id="7" w:name="OLE_LINK52"/>
      <m:oMath>
        <m:r>
          <w:rPr>
            <w:rFonts w:ascii="Cambria Math" w:eastAsiaTheme="minorEastAsia" w:hAnsi="Cambria Math"/>
          </w:rPr>
          <m:t>r</m:t>
        </m:r>
      </m:oMath>
      <w:bookmarkStart w:id="8" w:name="OLE_LINK62"/>
      <w:bookmarkStart w:id="9" w:name="OLE_LINK63"/>
      <w:bookmarkStart w:id="10" w:name="OLE_LINK68"/>
      <w:bookmarkStart w:id="11" w:name="OLE_LINK69"/>
      <w:bookmarkEnd w:id="6"/>
      <w:bookmarkEnd w:id="7"/>
      <w:r w:rsidR="00E467C6">
        <w:rPr>
          <w:rFonts w:eastAsiaTheme="minorEastAsia"/>
        </w:rPr>
        <w:t xml:space="preserve"> – </w:t>
      </w:r>
      <w:bookmarkEnd w:id="8"/>
      <w:bookmarkEnd w:id="9"/>
      <w:bookmarkEnd w:id="10"/>
      <w:bookmarkEnd w:id="11"/>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2" w:name="OLE_LINK45"/>
      <w:bookmarkStart w:id="13" w:name="OLE_LINK46"/>
      <w:r w:rsidR="00E467C6">
        <w:rPr>
          <w:rFonts w:eastAsiaTheme="minorEastAsia"/>
        </w:rPr>
        <w:t xml:space="preserve"> – </w:t>
      </w:r>
      <w:bookmarkEnd w:id="12"/>
      <w:bookmarkEnd w:id="13"/>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4" w:name="OLE_LINK47"/>
      <w:r>
        <w:rPr>
          <w:rFonts w:eastAsiaTheme="minorEastAsia"/>
        </w:rPr>
        <w:t xml:space="preserve"> – </w:t>
      </w:r>
      <w:bookmarkEnd w:id="14"/>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5" w:name="OLE_LINK49"/>
    <w:bookmarkStart w:id="16" w:name="OLE_LINK50"/>
    <w:bookmarkStart w:id="17" w:name="OLE_LINK66"/>
    <w:bookmarkStart w:id="18" w:name="OLE_LINK67"/>
    <w:p w14:paraId="41DF047D" w14:textId="5C720E26" w:rsidR="00E467C6" w:rsidRDefault="007D6666"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7"/>
      <w:bookmarkEnd w:id="18"/>
      <w:r w:rsidR="00E467C6">
        <w:rPr>
          <w:rFonts w:eastAsiaTheme="minorEastAsia"/>
        </w:rPr>
        <w:t xml:space="preserve"> – </w:t>
      </w:r>
      <w:bookmarkEnd w:id="15"/>
      <w:bookmarkEnd w:id="16"/>
      <w:r w:rsidR="00E467C6">
        <w:rPr>
          <w:rFonts w:eastAsiaTheme="minorEastAsia"/>
        </w:rPr>
        <w:t xml:space="preserve">a </w:t>
      </w:r>
      <w:r w:rsidRPr="007D6666">
        <w:rPr>
          <w:rFonts w:eastAsiaTheme="minorEastAsia"/>
        </w:rPr>
        <w:t>concatenation</w:t>
      </w:r>
      <w:r>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t>
      </w:r>
      <w:proofErr w:type="spellStart"/>
      <w:proofErr w:type="gramStart"/>
      <w:r w:rsidR="00E467C6" w:rsidRPr="00E467C6">
        <w:rPr>
          <w:rStyle w:val="aa"/>
        </w:rPr>
        <w:t>w:r</w:t>
      </w:r>
      <w:proofErr w:type="spellEnd"/>
      <w:proofErr w:type="gramEnd"/>
      <w:r w:rsidR="00E467C6" w:rsidRPr="00E467C6">
        <w:rPr>
          <w:rStyle w:val="aa"/>
        </w:rPr>
        <w:t>], r{0}}</w:t>
      </w:r>
      <w:r w:rsidR="00E467C6">
        <w:rPr>
          <w:rFonts w:eastAsiaTheme="minorEastAsia"/>
        </w:rPr>
        <w:t>.</w:t>
      </w:r>
    </w:p>
    <w:p w14:paraId="688D8EA1" w14:textId="60491523" w:rsidR="00E467C6" w:rsidRDefault="007D6666"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19" w:name="OLE_LINK55"/>
      <w:bookmarkStart w:id="20" w:name="OLE_LINK56"/>
      <w:r w:rsidR="00E467C6">
        <w:rPr>
          <w:rFonts w:eastAsiaTheme="minorEastAsia"/>
        </w:rPr>
        <w:t xml:space="preserve"> – </w:t>
      </w:r>
      <w:bookmarkEnd w:id="19"/>
      <w:bookmarkEnd w:id="20"/>
      <w:r>
        <w:rPr>
          <w:rFonts w:eastAsiaTheme="minorEastAsia"/>
        </w:rPr>
        <w:t xml:space="preserve">a </w:t>
      </w:r>
      <w:bookmarkStart w:id="21" w:name="OLE_LINK57"/>
      <w:bookmarkStart w:id="22" w:name="OLE_LINK58"/>
      <w:r w:rsidRPr="007D6666">
        <w:rPr>
          <w:rFonts w:eastAsiaTheme="minorEastAsia"/>
        </w:rPr>
        <w:t>concatenation</w:t>
      </w:r>
      <w:r>
        <w:rPr>
          <w:rFonts w:eastAsiaTheme="minorEastAsia"/>
        </w:rPr>
        <w:t xml:space="preserve"> </w:t>
      </w:r>
      <w:bookmarkEnd w:id="21"/>
      <w:bookmarkEnd w:id="22"/>
      <w:r>
        <w:rPr>
          <w:rFonts w:eastAsiaTheme="minorEastAsia"/>
        </w:rPr>
        <w:t xml:space="preserve">of lower </w:t>
      </w:r>
      <m:oMath>
        <m:r>
          <w:rPr>
            <w:rFonts w:ascii="Cambria Math" w:eastAsiaTheme="minorEastAsia" w:hAnsi="Cambria Math"/>
          </w:rPr>
          <m:t>r</m:t>
        </m:r>
      </m:oMath>
      <w:r>
        <w:rPr>
          <w:rFonts w:eastAsiaTheme="minorEastAsia"/>
        </w:rPr>
        <w:t xml:space="preserve"> bits and filling 0 with higher bits. In Verilog, it could be expressed as </w:t>
      </w:r>
      <w:r w:rsidRPr="007D6666">
        <w:rPr>
          <w:rStyle w:val="aa"/>
        </w:rPr>
        <w:t>{(w-</w:t>
      </w:r>
      <w:proofErr w:type="gramStart"/>
      <w:r w:rsidRPr="007D6666">
        <w:rPr>
          <w:rStyle w:val="aa"/>
        </w:rPr>
        <w:t>r){</w:t>
      </w:r>
      <w:proofErr w:type="gramEnd"/>
      <w:r w:rsidRPr="007D6666">
        <w:rPr>
          <w:rStyle w:val="aa"/>
        </w:rPr>
        <w:t>0}, x[r:0]}</w:t>
      </w:r>
      <w:r>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7D6666"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3" w:name="OLE_LINK59"/>
          <w:bookmarkStart w:id="24"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3"/>
          <w:bookmarkEnd w:id="24"/>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lastRenderedPageBreak/>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m:t>
        </m:r>
        <m:r>
          <w:rPr>
            <w:rFonts w:ascii="Cambria Math" w:eastAsiaTheme="minorEastAsia" w:hAnsi="Cambria Math"/>
          </w:rPr>
          <m:t>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m:t>n</m:t>
          </m:r>
          <m:r>
            <w:rPr>
              <w:rFonts w:ascii="Cambria Math" w:hAnsi="Cambria Math"/>
            </w:rPr>
            <m:t>A</m:t>
          </m:r>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m:t>
                  </m:r>
                  <m:r>
                    <w:rPr>
                      <w:rFonts w:ascii="Cambria Math" w:hAnsi="Cambria Math"/>
                    </w:rPr>
                    <m:t>≫1</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m:t>
                      </m:r>
                      <m:r>
                        <w:rPr>
                          <w:rFonts w:ascii="Cambria Math" w:hAnsi="Cambria Math"/>
                        </w:rPr>
                        <m:t>0</m:t>
                      </m:r>
                      <m:r>
                        <w:rPr>
                          <w:rFonts w:ascii="Cambria Math" w:hAnsi="Cambria Math"/>
                        </w:rPr>
                        <m:t>]</m:t>
                      </m:r>
                    </m:sub>
                  </m:sSub>
                  <m:r>
                    <w:rPr>
                      <w:rFonts w:ascii="Cambria Math" w:hAnsi="Cambria Math"/>
                    </w:rPr>
                    <m:t>=</m:t>
                  </m:r>
                  <m:r>
                    <w:rPr>
                      <w:rFonts w:ascii="Cambria Math" w:hAnsi="Cambria Math"/>
                    </w:rPr>
                    <m:t>0</m:t>
                  </m:r>
                </m:e>
                <m:e>
                  <m:r>
                    <w:rPr>
                      <w:rFonts w:ascii="Cambria Math" w:hAnsi="Cambria Math"/>
                    </w:rPr>
                    <m:t>(</m:t>
                  </m:r>
                  <m:r>
                    <w:rPr>
                      <w:rFonts w:ascii="Cambria Math" w:hAnsi="Cambria Math"/>
                    </w:rPr>
                    <m:t>n</m:t>
                  </m:r>
                  <m:r>
                    <w:rPr>
                      <w:rFonts w:ascii="Cambria Math" w:hAnsi="Cambria Math"/>
                    </w:rPr>
                    <m:t>≫1)</m:t>
                  </m:r>
                  <m:r>
                    <m:rPr>
                      <m:sty m:val="p"/>
                    </m:rPr>
                    <w:rPr>
                      <w:rFonts w:ascii="Cambria Math" w:eastAsiaTheme="minorEastAsia" w:hAnsi="Cambria Math"/>
                    </w:rPr>
                    <w:tab/>
                  </m:r>
                  <m:r>
                    <m:rPr>
                      <m:sty m:val="p"/>
                    </m:rPr>
                    <w:rPr>
                      <w:rFonts w:ascii="Cambria Math" w:eastAsiaTheme="minorEastAsia" w:hAnsi="Cambria Math"/>
                    </w:rPr>
                    <w:tab/>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m:t>
                      </m:r>
                      <m:r>
                        <w:rPr>
                          <w:rFonts w:ascii="Cambria Math" w:hAnsi="Cambria Math"/>
                        </w:rPr>
                        <m:t>0</m:t>
                      </m:r>
                      <m:r>
                        <w:rPr>
                          <w:rFonts w:ascii="Cambria Math" w:hAnsi="Cambria Math"/>
                        </w:rPr>
                        <m:t>]</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5" w:name="OLE_LINK72"/>
      <w:bookmarkStart w:id="26"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5"/>
      <w:bookmarkEnd w:id="26"/>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7" w:name="OLE_LINK74"/>
      <w:bookmarkStart w:id="28" w:name="OLE_LINK75"/>
      <m:oMath>
        <m:r>
          <w:rPr>
            <w:rFonts w:ascii="Cambria Math" w:eastAsiaTheme="minorEastAsia" w:hAnsi="Cambria Math"/>
          </w:rPr>
          <m:t>A</m:t>
        </m:r>
      </m:oMath>
      <w:bookmarkEnd w:id="27"/>
      <w:bookmarkEnd w:id="28"/>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29" w:name="OLE_LINK76"/>
      <w:bookmarkStart w:id="30" w:name="OLE_LINK77"/>
      <m:oMath>
        <m:r>
          <w:rPr>
            <w:rFonts w:ascii="Cambria Math" w:eastAsiaTheme="minorEastAsia" w:hAnsi="Cambria Math"/>
          </w:rPr>
          <m:t>w</m:t>
        </m:r>
      </m:oMath>
      <w:bookmarkEnd w:id="29"/>
      <w:bookmarkEnd w:id="30"/>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w:t>
      </w:r>
      <w:r>
        <w:rPr>
          <w:rFonts w:eastAsiaTheme="minorEastAsia"/>
        </w:rPr>
        <w:lastRenderedPageBreak/>
        <w:t>output frame according to 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w:t>
      </w:r>
      <w:r w:rsidR="00FF7E15">
        <w:rPr>
          <w:rFonts w:eastAsiaTheme="minorEastAsia"/>
        </w:rPr>
        <w:lastRenderedPageBreak/>
        <w:t>‘FAIL’, it would wait until 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start counting, it would ignore the change of the input during </w:t>
      </w:r>
      <w:r w:rsidR="00B64E9F">
        <w:rPr>
          <w:rFonts w:eastAsiaTheme="minorEastAsia"/>
        </w:rPr>
        <w:lastRenderedPageBreak/>
        <w:t xml:space="preserve">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1" w:name="OLE_LINK1"/>
      <w:bookmarkStart w:id="32" w:name="OLE_LINK2"/>
      <w:r w:rsidR="000210F3">
        <w:t>frequency counter</w:t>
      </w:r>
      <w:bookmarkEnd w:id="31"/>
      <w:bookmarkEnd w:id="32"/>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w:t>
      </w:r>
      <w:proofErr w:type="spellStart"/>
      <w:r>
        <w:rPr>
          <w:rFonts w:eastAsiaTheme="minorEastAsia"/>
        </w:rPr>
        <w:t>Moku</w:t>
      </w:r>
      <w:proofErr w:type="spellEnd"/>
      <w:r>
        <w:rPr>
          <w:rFonts w:eastAsiaTheme="minorEastAsia"/>
        </w:rPr>
        <w:t>,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w:t>
      </w:r>
      <w:proofErr w:type="spellStart"/>
      <w:r w:rsidR="000210F3">
        <w:t>Sollen</w:t>
      </w:r>
      <w:proofErr w:type="spellEnd"/>
      <w:r w:rsidR="000210F3">
        <w:t>-Key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3" w:name="OLE_LINK7"/>
      <w:bookmarkStart w:id="34" w:name="OLE_LINK8"/>
      <w:r w:rsidR="0050114B" w:rsidRPr="0050114B">
        <w:rPr>
          <w:b/>
        </w:rPr>
        <w:t>M7T3</w:t>
      </w:r>
      <w:bookmarkEnd w:id="33"/>
      <w:bookmarkEnd w:id="34"/>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14">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A12525C" w:rsidR="00127ED1" w:rsidRDefault="00127ED1" w:rsidP="000210F3">
      <w:pPr>
        <w:ind w:left="0" w:firstLine="0"/>
      </w:pPr>
      <w:r>
        <w:lastRenderedPageBreak/>
        <w:t>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AF6604E"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43CB6E81" w:rsidR="00262021" w:rsidRDefault="00262021" w:rsidP="00262021">
      <w:pPr>
        <w:pStyle w:val="1"/>
      </w:pPr>
      <w:r>
        <w:t>Design Verification and Validation</w:t>
      </w:r>
    </w:p>
    <w:p w14:paraId="1D5A37BF" w14:textId="70E43F50" w:rsidR="00262021" w:rsidRPr="004F52A2" w:rsidRDefault="00345AF2" w:rsidP="000210F3">
      <w:pPr>
        <w:ind w:left="0" w:firstLine="0"/>
      </w:pPr>
      <w:r>
        <w:t>During the development, we are using test-driven development and go through the entire development period.</w:t>
      </w:r>
      <w:r w:rsidR="008F0A0E">
        <w:t xml:space="preserve"> We first briefly </w:t>
      </w:r>
      <w:bookmarkStart w:id="35" w:name="_GoBack"/>
      <w:bookmarkEnd w:id="35"/>
    </w:p>
    <w:sectPr w:rsidR="00262021" w:rsidRPr="004F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5857C" w14:textId="77777777" w:rsidR="00D94EEE" w:rsidRDefault="00D94EEE" w:rsidP="00D23633">
      <w:pPr>
        <w:spacing w:after="0" w:line="240" w:lineRule="auto"/>
      </w:pPr>
      <w:r>
        <w:separator/>
      </w:r>
    </w:p>
  </w:endnote>
  <w:endnote w:type="continuationSeparator" w:id="0">
    <w:p w14:paraId="4807BAE5" w14:textId="77777777" w:rsidR="00D94EEE" w:rsidRDefault="00D94EEE"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Source Code Pro">
    <w:charset w:val="00"/>
    <w:family w:val="auto"/>
    <w:pitch w:val="variable"/>
    <w:sig w:usb0="20000007" w:usb1="000018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B9244" w14:textId="77777777" w:rsidR="00D94EEE" w:rsidRDefault="00D94EEE" w:rsidP="00D23633">
      <w:pPr>
        <w:spacing w:after="0" w:line="240" w:lineRule="auto"/>
      </w:pPr>
      <w:r>
        <w:separator/>
      </w:r>
    </w:p>
  </w:footnote>
  <w:footnote w:type="continuationSeparator" w:id="0">
    <w:p w14:paraId="6E9CE2EC" w14:textId="77777777" w:rsidR="00D94EEE" w:rsidRDefault="00D94EEE" w:rsidP="00D2363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7"/>
  </w:num>
  <w:num w:numId="3">
    <w:abstractNumId w:val="4"/>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kwqQUAyHa9NSwAAAA="/>
  </w:docVars>
  <w:rsids>
    <w:rsidRoot w:val="00A26ACD"/>
    <w:rsid w:val="000012B0"/>
    <w:rsid w:val="00011CA2"/>
    <w:rsid w:val="000132EA"/>
    <w:rsid w:val="000210F3"/>
    <w:rsid w:val="00030E62"/>
    <w:rsid w:val="00056EE4"/>
    <w:rsid w:val="0006706C"/>
    <w:rsid w:val="0009007E"/>
    <w:rsid w:val="00094D72"/>
    <w:rsid w:val="000A30C8"/>
    <w:rsid w:val="000B607B"/>
    <w:rsid w:val="000C432D"/>
    <w:rsid w:val="000F23CD"/>
    <w:rsid w:val="001016A4"/>
    <w:rsid w:val="00103080"/>
    <w:rsid w:val="00120F98"/>
    <w:rsid w:val="00122C1C"/>
    <w:rsid w:val="00127ED1"/>
    <w:rsid w:val="001601BA"/>
    <w:rsid w:val="0016279D"/>
    <w:rsid w:val="00175626"/>
    <w:rsid w:val="001B39DE"/>
    <w:rsid w:val="001B3BFE"/>
    <w:rsid w:val="001C692D"/>
    <w:rsid w:val="001D6697"/>
    <w:rsid w:val="0020305E"/>
    <w:rsid w:val="00203F84"/>
    <w:rsid w:val="00204165"/>
    <w:rsid w:val="00220F04"/>
    <w:rsid w:val="00250C22"/>
    <w:rsid w:val="002519B7"/>
    <w:rsid w:val="00256692"/>
    <w:rsid w:val="00257882"/>
    <w:rsid w:val="00262021"/>
    <w:rsid w:val="002641B4"/>
    <w:rsid w:val="00292E81"/>
    <w:rsid w:val="00295B51"/>
    <w:rsid w:val="002A3F36"/>
    <w:rsid w:val="002D2CFD"/>
    <w:rsid w:val="002E6599"/>
    <w:rsid w:val="002E6EEA"/>
    <w:rsid w:val="002F2F58"/>
    <w:rsid w:val="00306E0B"/>
    <w:rsid w:val="00310808"/>
    <w:rsid w:val="00322308"/>
    <w:rsid w:val="00322DC5"/>
    <w:rsid w:val="00332422"/>
    <w:rsid w:val="00345AF2"/>
    <w:rsid w:val="0035498D"/>
    <w:rsid w:val="00355344"/>
    <w:rsid w:val="00371A4B"/>
    <w:rsid w:val="0038671A"/>
    <w:rsid w:val="003951BC"/>
    <w:rsid w:val="003959DC"/>
    <w:rsid w:val="003B5CE4"/>
    <w:rsid w:val="003B5ED9"/>
    <w:rsid w:val="003C4F53"/>
    <w:rsid w:val="003D2DBA"/>
    <w:rsid w:val="003D4CDB"/>
    <w:rsid w:val="003E0BEF"/>
    <w:rsid w:val="003E217B"/>
    <w:rsid w:val="003F22D7"/>
    <w:rsid w:val="00400A15"/>
    <w:rsid w:val="00412F8D"/>
    <w:rsid w:val="0041690F"/>
    <w:rsid w:val="004179DC"/>
    <w:rsid w:val="00432501"/>
    <w:rsid w:val="00432631"/>
    <w:rsid w:val="004345E7"/>
    <w:rsid w:val="00441C7C"/>
    <w:rsid w:val="00445671"/>
    <w:rsid w:val="004512FD"/>
    <w:rsid w:val="0045327D"/>
    <w:rsid w:val="00463838"/>
    <w:rsid w:val="00475BB7"/>
    <w:rsid w:val="0048341C"/>
    <w:rsid w:val="004A2ECC"/>
    <w:rsid w:val="004A4F0D"/>
    <w:rsid w:val="004E62F1"/>
    <w:rsid w:val="004E7570"/>
    <w:rsid w:val="004F52A2"/>
    <w:rsid w:val="004F6A48"/>
    <w:rsid w:val="004F7CA2"/>
    <w:rsid w:val="0050114B"/>
    <w:rsid w:val="005053A4"/>
    <w:rsid w:val="00536BC3"/>
    <w:rsid w:val="00544CF7"/>
    <w:rsid w:val="00556BBD"/>
    <w:rsid w:val="00560B0C"/>
    <w:rsid w:val="00560DAC"/>
    <w:rsid w:val="00570714"/>
    <w:rsid w:val="0057165F"/>
    <w:rsid w:val="005729F0"/>
    <w:rsid w:val="00573CDF"/>
    <w:rsid w:val="00574F11"/>
    <w:rsid w:val="00585DEE"/>
    <w:rsid w:val="00593C33"/>
    <w:rsid w:val="005976D5"/>
    <w:rsid w:val="005A0F99"/>
    <w:rsid w:val="005A422D"/>
    <w:rsid w:val="005C4FF5"/>
    <w:rsid w:val="00602F9E"/>
    <w:rsid w:val="006033C8"/>
    <w:rsid w:val="0060581E"/>
    <w:rsid w:val="00612D0F"/>
    <w:rsid w:val="006132EA"/>
    <w:rsid w:val="00616161"/>
    <w:rsid w:val="00626CCD"/>
    <w:rsid w:val="00627E7A"/>
    <w:rsid w:val="00632735"/>
    <w:rsid w:val="0063328F"/>
    <w:rsid w:val="0064355B"/>
    <w:rsid w:val="00657A44"/>
    <w:rsid w:val="00676DDC"/>
    <w:rsid w:val="00687DD9"/>
    <w:rsid w:val="00690139"/>
    <w:rsid w:val="00695982"/>
    <w:rsid w:val="006C1814"/>
    <w:rsid w:val="006E7E54"/>
    <w:rsid w:val="006F2177"/>
    <w:rsid w:val="007132FC"/>
    <w:rsid w:val="00731E81"/>
    <w:rsid w:val="00731F0B"/>
    <w:rsid w:val="007354CA"/>
    <w:rsid w:val="0074117F"/>
    <w:rsid w:val="00741D1B"/>
    <w:rsid w:val="007615DC"/>
    <w:rsid w:val="00767210"/>
    <w:rsid w:val="007807B1"/>
    <w:rsid w:val="00785879"/>
    <w:rsid w:val="007954B6"/>
    <w:rsid w:val="007A22DC"/>
    <w:rsid w:val="007A4C1E"/>
    <w:rsid w:val="007B211E"/>
    <w:rsid w:val="007C5586"/>
    <w:rsid w:val="007C5860"/>
    <w:rsid w:val="007D6666"/>
    <w:rsid w:val="007E1D5F"/>
    <w:rsid w:val="007F042A"/>
    <w:rsid w:val="007F0FE9"/>
    <w:rsid w:val="007F26B3"/>
    <w:rsid w:val="008024EC"/>
    <w:rsid w:val="0080369E"/>
    <w:rsid w:val="00822959"/>
    <w:rsid w:val="008369F8"/>
    <w:rsid w:val="00852BDB"/>
    <w:rsid w:val="00857690"/>
    <w:rsid w:val="00884214"/>
    <w:rsid w:val="00887113"/>
    <w:rsid w:val="00887B57"/>
    <w:rsid w:val="008B1FE6"/>
    <w:rsid w:val="008B52C8"/>
    <w:rsid w:val="008C5607"/>
    <w:rsid w:val="008D67B2"/>
    <w:rsid w:val="008F0A0E"/>
    <w:rsid w:val="009041B5"/>
    <w:rsid w:val="0091635D"/>
    <w:rsid w:val="00952005"/>
    <w:rsid w:val="00960DF6"/>
    <w:rsid w:val="009661C7"/>
    <w:rsid w:val="009832CE"/>
    <w:rsid w:val="0098390F"/>
    <w:rsid w:val="009862E1"/>
    <w:rsid w:val="009A05DB"/>
    <w:rsid w:val="009A37C2"/>
    <w:rsid w:val="009A75BC"/>
    <w:rsid w:val="009B4EB3"/>
    <w:rsid w:val="009D0E2E"/>
    <w:rsid w:val="009E2430"/>
    <w:rsid w:val="009E4F24"/>
    <w:rsid w:val="009E5553"/>
    <w:rsid w:val="009F52E8"/>
    <w:rsid w:val="009F75C3"/>
    <w:rsid w:val="00A04D45"/>
    <w:rsid w:val="00A26ACD"/>
    <w:rsid w:val="00A30B2E"/>
    <w:rsid w:val="00A31BCF"/>
    <w:rsid w:val="00A3547D"/>
    <w:rsid w:val="00A40B5B"/>
    <w:rsid w:val="00A45101"/>
    <w:rsid w:val="00A561B1"/>
    <w:rsid w:val="00A64EF6"/>
    <w:rsid w:val="00A810E7"/>
    <w:rsid w:val="00AA0F44"/>
    <w:rsid w:val="00AA55F8"/>
    <w:rsid w:val="00AD79CC"/>
    <w:rsid w:val="00AF6CE8"/>
    <w:rsid w:val="00B000D6"/>
    <w:rsid w:val="00B01BEA"/>
    <w:rsid w:val="00B01DB3"/>
    <w:rsid w:val="00B05D41"/>
    <w:rsid w:val="00B249FF"/>
    <w:rsid w:val="00B501EE"/>
    <w:rsid w:val="00B50E7B"/>
    <w:rsid w:val="00B64E9F"/>
    <w:rsid w:val="00B74041"/>
    <w:rsid w:val="00B84E4B"/>
    <w:rsid w:val="00B94D46"/>
    <w:rsid w:val="00BB33A0"/>
    <w:rsid w:val="00BC66A6"/>
    <w:rsid w:val="00BD1467"/>
    <w:rsid w:val="00BF65A1"/>
    <w:rsid w:val="00C2254D"/>
    <w:rsid w:val="00C26AD1"/>
    <w:rsid w:val="00C32292"/>
    <w:rsid w:val="00C62456"/>
    <w:rsid w:val="00C701A2"/>
    <w:rsid w:val="00C7150B"/>
    <w:rsid w:val="00C718ED"/>
    <w:rsid w:val="00C76834"/>
    <w:rsid w:val="00C97ACC"/>
    <w:rsid w:val="00CA175E"/>
    <w:rsid w:val="00CC468E"/>
    <w:rsid w:val="00CD64E0"/>
    <w:rsid w:val="00CD7F42"/>
    <w:rsid w:val="00CE31BC"/>
    <w:rsid w:val="00CE53A9"/>
    <w:rsid w:val="00D010AB"/>
    <w:rsid w:val="00D06C8E"/>
    <w:rsid w:val="00D2150F"/>
    <w:rsid w:val="00D23633"/>
    <w:rsid w:val="00D26BC1"/>
    <w:rsid w:val="00D35A3C"/>
    <w:rsid w:val="00D50F67"/>
    <w:rsid w:val="00D616E9"/>
    <w:rsid w:val="00D66BFB"/>
    <w:rsid w:val="00D81E92"/>
    <w:rsid w:val="00D94EEE"/>
    <w:rsid w:val="00D9672E"/>
    <w:rsid w:val="00DD1923"/>
    <w:rsid w:val="00DE7C3D"/>
    <w:rsid w:val="00DF4F00"/>
    <w:rsid w:val="00DF6D7E"/>
    <w:rsid w:val="00E20EA3"/>
    <w:rsid w:val="00E221ED"/>
    <w:rsid w:val="00E435BB"/>
    <w:rsid w:val="00E467C6"/>
    <w:rsid w:val="00E505A8"/>
    <w:rsid w:val="00E626B6"/>
    <w:rsid w:val="00E62B07"/>
    <w:rsid w:val="00E67C20"/>
    <w:rsid w:val="00E946A6"/>
    <w:rsid w:val="00EA67B6"/>
    <w:rsid w:val="00EB152F"/>
    <w:rsid w:val="00EC3ECE"/>
    <w:rsid w:val="00EC6ED7"/>
    <w:rsid w:val="00ED3AAD"/>
    <w:rsid w:val="00EE0D32"/>
    <w:rsid w:val="00EE682D"/>
    <w:rsid w:val="00EF299B"/>
    <w:rsid w:val="00EF6E87"/>
    <w:rsid w:val="00F05C1A"/>
    <w:rsid w:val="00F11C4A"/>
    <w:rsid w:val="00F20CEA"/>
    <w:rsid w:val="00F545F3"/>
    <w:rsid w:val="00F7696F"/>
    <w:rsid w:val="00F87A82"/>
    <w:rsid w:val="00F931C9"/>
    <w:rsid w:val="00F96CD0"/>
    <w:rsid w:val="00FA427F"/>
    <w:rsid w:val="00FB167D"/>
    <w:rsid w:val="00FB35D1"/>
    <w:rsid w:val="00FC5A9A"/>
    <w:rsid w:val="00FC6C62"/>
    <w:rsid w:val="00FC72FB"/>
    <w:rsid w:val="00FD02FD"/>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字符"/>
    <w:link w:val="1"/>
    <w:uiPriority w:val="9"/>
    <w:rsid w:val="00B74041"/>
    <w:rPr>
      <w:rFonts w:ascii="Calibri" w:eastAsia="Calibri" w:hAnsi="Calibri" w:cs="Calibri"/>
      <w:color w:val="0070C0"/>
      <w:sz w:val="40"/>
    </w:rPr>
  </w:style>
  <w:style w:type="character" w:customStyle="1" w:styleId="20">
    <w:name w:val="标题 2字符"/>
    <w:link w:val="2"/>
    <w:uiPriority w:val="9"/>
    <w:rsid w:val="00B74041"/>
    <w:rPr>
      <w:rFonts w:ascii="Calibri" w:eastAsia="Calibri" w:hAnsi="Calibri" w:cs="Calibri"/>
      <w:color w:val="1E577E"/>
      <w:sz w:val="32"/>
    </w:rPr>
  </w:style>
  <w:style w:type="character" w:customStyle="1" w:styleId="30">
    <w:name w:val="标题 3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字符"/>
    <w:basedOn w:val="a1"/>
    <w:link w:val="ac"/>
    <w:uiPriority w:val="99"/>
    <w:semiHidden/>
    <w:rsid w:val="00B84E4B"/>
    <w:rPr>
      <w:rFonts w:ascii="Calibri" w:eastAsia="Calibri" w:hAnsi="Calibri" w:cs="Calibri"/>
      <w:color w:val="404040"/>
      <w:sz w:val="18"/>
      <w:szCs w:val="18"/>
    </w:rPr>
  </w:style>
  <w:style w:type="character" w:customStyle="1" w:styleId="40">
    <w:name w:val="标题 4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th.sci.hiroshima-u.ac.jp/~m-mat/MT/ARTICLES/mt.pdf"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940541-32B2-0843-94C6-16274B10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15</Pages>
  <Words>4514</Words>
  <Characters>25732</Characters>
  <Application>Microsoft Macintosh Word</Application>
  <DocSecurity>0</DocSecurity>
  <Lines>214</Lines>
  <Paragraphs>60</Paragraphs>
  <ScaleCrop>false</ScaleCrop>
  <HeadingPairs>
    <vt:vector size="2" baseType="variant">
      <vt:variant>
        <vt:lpstr>标题</vt:lpstr>
      </vt:variant>
      <vt:variant>
        <vt:i4>1</vt:i4>
      </vt:variant>
    </vt:vector>
  </HeadingPairs>
  <TitlesOfParts>
    <vt:vector size="1" baseType="lpstr">
      <vt:lpstr/>
    </vt:vector>
  </TitlesOfParts>
  <Company>Kreogist Dev Team</Company>
  <LinksUpToDate>false</LinksUpToDate>
  <CharactersWithSpaces>30186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Microsoft Office 用户</cp:lastModifiedBy>
  <cp:revision>166</cp:revision>
  <dcterms:created xsi:type="dcterms:W3CDTF">2018-03-26T22:11:00Z</dcterms:created>
  <dcterms:modified xsi:type="dcterms:W3CDTF">2018-04-01T07:52:00Z</dcterms:modified>
</cp:coreProperties>
</file>