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4496">
          <v:rect xmlns:o="urn:schemas-microsoft-com:office:office" xmlns:v="urn:schemas-microsoft-com:vml" id="rectole0000000000" style="width:433.200000pt;height:224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300" w:dyaOrig="6209">
          <v:rect xmlns:o="urn:schemas-microsoft-com:office:office" xmlns:v="urn:schemas-microsoft-com:vml" id="rectole0000000001" style="width:415.000000pt;height:310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3551">
          <v:rect xmlns:o="urn:schemas-microsoft-com:office:office" xmlns:v="urn:schemas-microsoft-com:vml" id="rectole0000000002" style="width:433.200000pt;height:177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1587">
          <v:rect xmlns:o="urn:schemas-microsoft-com:office:office" xmlns:v="urn:schemas-microsoft-com:vml" id="rectole0000000003" style="width:433.200000pt;height:79.3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Step 4: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Open the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Kanban Board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or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Backlog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to verify that all Jira issues display their assigned MoSCoW priorities and Kano classifications. Save the changes.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3825">
          <v:rect xmlns:o="urn:schemas-microsoft-com:office:office" xmlns:v="urn:schemas-microsoft-com:vml" id="rectole0000000004" style="width:433.200000pt;height:191.2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4102">
          <v:rect xmlns:o="urn:schemas-microsoft-com:office:office" xmlns:v="urn:schemas-microsoft-com:vml" id="rectole0000000005" style="width:433.200000pt;height:205.1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Figure 4. Verifying Requirement Classifications.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Result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 requirements of the Task Management System were successfully prioritized using the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MoSCoW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Kano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models in Jira Software. The experiment demonstrated how requirement prioritization helps development teams identify essential features, improve planning, allocate resources effectively, and enhance customer satisfaction during software development.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