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14:paraId="2F037542" w14:textId="77777777" w:rsidR="00EB5755" w:rsidRDefault="00F609DE">
      <w:pPr>
        <w:pStyle w:val="Plain"/>
        <w:spacing w:after="1400"/>
        <w:jc w:val="center"/>
      </w:pPr>
      <w:r>
        <w:rPr>
          <w:b/>
          <w:sz w:val="32"/>
        </w:rPr>
        <w:t>HARIPRASAADH K (23BAI1061)</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14:paraId="6CD6F61A" w14:textId="77777777" w:rsidR="00EB5755" w:rsidRDefault="00F609DE">
      <w:pPr>
        <w:pStyle w:val="Plain"/>
        <w:spacing w:after="1400"/>
        <w:jc w:val="center"/>
      </w:pPr>
      <w:r>
        <w:rPr>
          <w:b/>
          <w:sz w:val="32"/>
        </w:rPr>
        <w:t>HARIPRASAADH K (23BAI1061)</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proofErr w:type="gramStart"/>
      <w:r>
        <w:t>1.2  Scope</w:t>
      </w:r>
      <w:proofErr w:type="gramEnd"/>
      <w:r>
        <w:t xml:space="preserv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proofErr w:type="gramStart"/>
      <w:r>
        <w:t>1.2  Development</w:t>
      </w:r>
      <w:proofErr w:type="gramEnd"/>
      <w:r>
        <w:t xml:space="preserve">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proofErr w:type="gramStart"/>
      <w:r>
        <w:t>10.2  Proposed</w:t>
      </w:r>
      <w:proofErr w:type="gramEnd"/>
      <w:r>
        <w:t xml:space="preserve">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but a question such as the effect of an oil shock on policy rates concerns the relationships between indicators. This chapter describes the causal knowledge graph that encodes those relationships, the queries used by the orchestrator, and the scenario engine that propagates a shock through the graph. All numerical results in the chapter were produced by the implemented engine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registers twenty canonical indicators and twelve directed relationships. Indicators use the identifier pattern </w:t>
      </w:r>
      <w:proofErr w:type="spellStart"/>
      <w:proofErr w:type="gramStart"/>
      <w:r>
        <w:rPr>
          <w:i/>
        </w:rPr>
        <w:t>in.macro</w:t>
      </w:r>
      <w:proofErr w:type="spellEnd"/>
      <w:proofErr w:type="gramEnd"/>
      <w:r>
        <w:rPr>
          <w:i/>
        </w:rPr>
        <w:t>.&lt;domain</w:t>
      </w:r>
      <w:proofErr w:type="gramStart"/>
      <w:r>
        <w:rPr>
          <w:i/>
        </w:rPr>
        <w:t>&gt;.&lt;</w:t>
      </w:r>
      <w:proofErr w:type="gramEnd"/>
      <w:r>
        <w:rPr>
          <w:i/>
        </w:rPr>
        <w:t>name&gt;</w:t>
      </w:r>
      <w:r>
        <w:t xml:space="preserve"> and belong to eight domains: real economy, prices and inflation, monetary and banking, fiscal, external, capital markets, agriculture and </w:t>
      </w:r>
      <w:proofErr w:type="spellStart"/>
      <w:r>
        <w:t>labour</w:t>
      </w:r>
      <w:proofErr w:type="spellEnd"/>
      <w:r>
        <w:t>. Figure 6.1 shows the graph. Five indicators (NIFTY 50, India VIX, forex reserves, debt-to-GDP and EPFO additions) currently have no edges; they are valid nodes that can receive relationships as the ontology grows.</w:t>
      </w:r>
    </w:p>
    <w:p w14:paraId="31761954" w14:textId="77777777" w:rsidR="00EB5755" w:rsidRDefault="00F609DE">
      <w:r>
        <w:t xml:space="preserve">Each relationship has a deterministic identifier of the form </w:t>
      </w:r>
      <w:proofErr w:type="spellStart"/>
      <w:r>
        <w:rPr>
          <w:i/>
        </w:rPr>
        <w:t>rel</w:t>
      </w:r>
      <w:proofErr w:type="spellEnd"/>
      <w:r>
        <w:rPr>
          <w:i/>
        </w:rPr>
        <w:t>-&lt;8 hex digits&gt;</w:t>
      </w:r>
      <w:r>
        <w:t xml:space="preserve"> derived from a version-5 UUID of its source, target and type, so identifiers survive restarts and are usable as provenance keys. Table 6.1 lists all edges. The relationship type follows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on load: it rejects self-loops, unknown endpoints, duplicate identifiers, malformed identifiers and signs other than plus or minus. Edge confidences and p-values in the current ontology are curated priors typed in by the designer; Section 7.5 describes how they are audited against data, and Chapter 9 reports the result.</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proofErr w:type="spellStart"/>
      <w:r>
        <w:rPr>
          <w:i/>
        </w:rPr>
        <w:t>NetworkXGraphEngine</w:t>
      </w:r>
      <w:proofErr w:type="spellEnd"/>
      <w:r>
        <w:t xml:space="preserve"> builds an in-memory directed multigraph from the ontology. It answers three kinds of query. The shortest transmission path between two indicators is the path with the fewest hops; when two parallel edges exist the one with the higher confidence is used. The downstream impact query enumerates all descendants of a shocked indicator and reports hop count, total lag (the sum of edge lags), cumulative confidence (the product of edge confidences) and the chain of mechanism descriptions. The causal </w:t>
      </w:r>
      <w:proofErr w:type="spellStart"/>
      <w:r>
        <w:t>neighbourhood</w:t>
      </w:r>
      <w:proofErr w:type="spellEnd"/>
      <w:r>
        <w:t xml:space="preserve"> query returns the indicators within a given depth. The engine also generates Mermaid diagrams for the reports.</w:t>
      </w:r>
    </w:p>
    <w:p w14:paraId="36BEAF82" w14:textId="77777777" w:rsidR="00EB5755" w:rsidRDefault="00F609DE">
      <w:r>
        <w:t xml:space="preserve">Figure 6.2 </w:t>
      </w:r>
      <w:proofErr w:type="spellStart"/>
      <w:r>
        <w:t>summarises</w:t>
      </w:r>
      <w:proofErr w:type="spellEnd"/>
      <w:r>
        <w:t xml:space="preserve"> the structure, storage and query services of the graph. An optional Neo4j mirror stores the same nodes and edges for persistence. It is disabled </w:t>
      </w:r>
      <w:r>
        <w:lastRenderedPageBreak/>
        <w:t xml:space="preserve">when no URI is configured. When enabled, the ontology is </w:t>
      </w:r>
      <w:proofErr w:type="spellStart"/>
      <w:r>
        <w:t>synchronised</w:t>
      </w:r>
      <w:proofErr w:type="spellEnd"/>
      <w:r>
        <w:t xml:space="preserve"> once at gateway start by an idempotent </w:t>
      </w:r>
      <w:proofErr w:type="spellStart"/>
      <w:r>
        <w:t>upsert</w:t>
      </w:r>
      <w:proofErr w:type="spellEnd"/>
      <w:r>
        <w:t xml:space="preserve"> with three retry attempts; </w:t>
      </w:r>
      <w:proofErr w:type="spellStart"/>
      <w:r>
        <w:t>NetworkX</w:t>
      </w:r>
      <w:proofErr w:type="spellEnd"/>
      <w:r>
        <w:t xml:space="preserve">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 xml:space="preserve">The scenario engine propagates a shock along the shortest path from the shocked indicator to each downstream indicator. For a path with hops h, edge signs </w:t>
      </w:r>
      <w:proofErr w:type="spellStart"/>
      <w:r>
        <w:t>s_h</w:t>
      </w:r>
      <w:proofErr w:type="spellEnd"/>
      <w:r>
        <w:t xml:space="preserve"> and confidences </w:t>
      </w:r>
      <w:proofErr w:type="spellStart"/>
      <w:r>
        <w:t>c_h</w:t>
      </w:r>
      <w:proofErr w:type="spellEnd"/>
      <w:r>
        <w:t>, the engine computes the path multiplier and the target delta:</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a band of plus or minus 25 per cent of the delta is reported. The constants 0.55 (per-hop attenuation) and 0.15 (global scale) are design parameters, not estimates from data. The lag of the effect is the sum of the edge lags and the cumulative confidence is the product of the edge confidences. The engine therefore is a transparent heuristic that shows how a shock travels through the graph; it is not a vector autoregression or an impulse-response estimate, the deltas are in each indicator's own unit, and the band is not a statistical interval. For these reasons all scenario outputs are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the engine's output for a shock of plus 20 US dollars per barrel on Brent crude, using the default baselines. The first hop illustrates the arithmetic: 20 × (0.55 × 0.95) × 0.15 = 1.57, which is added to the wholesale price inflation baseline of 2.45 to give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produced by the research lab for the same shock. Each series stays at baseline until the cumulative lag of its path and then steps to its delta. The wholesale price effect arrives first and the output effects arrive after nine to ten months, but the magnitudes decline quickly along the path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observations from the example are important for interpretation. First, the cumulative confidence declines with every hop (0.95 after one hop to 0.57 after six), so distant effects should be read with more caution. Second, USD/INR falls after an oil price increase in this run, which is economically implausible. The cause is the plus sign on the edge from the trade balance to USD/INR: a wider trade deficit lowers the trade balance, so with a plus sign the rupee-per-dollar rate falls. The code itself flags this edge as under review. The example is retained because it shows how the evidence labelling is intended to expose such problems, and correcting the sign is the first item of future work.</w:t>
      </w:r>
    </w:p>
    <w:p w14:paraId="3D28F46A" w14:textId="77777777" w:rsidR="00EB5755" w:rsidRDefault="00F609DE">
      <w:r>
        <w:t>When the same shock is run inside the orchestrator with live data, the baselines of the indicators that the sector agents retrieved are replaced. In the end-to-end run of Section 9.4, the live CPI of 5.54 per cent (September 2026) and the repo rate of 5.25 per cent replaced the defaults, giving a simulated CPI peak of 6.32 and repo rate of 5.66 for the same deltas of +0.78 and +0.41.</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question answering, the platform provides instruments to inspect and test its own model. The research lab (</w:t>
      </w:r>
      <w:r>
        <w:rPr>
          <w:i/>
        </w:rPr>
        <w:t>core/research</w:t>
      </w:r>
      <w:r>
        <w:t>) consists of pure functions over the frozen knowledge graph, the scenario engine and series already held by the dashboard helpers; it never mutates engine state. The daily brief (</w:t>
      </w:r>
      <w:r>
        <w:rPr>
          <w:i/>
        </w:rPr>
        <w:t>core/briefing</w:t>
      </w:r>
      <w:r>
        <w:t xml:space="preserve">) </w:t>
      </w:r>
      <w:proofErr w:type="spellStart"/>
      <w:r>
        <w:t>summarises</w:t>
      </w:r>
      <w:proofErr w:type="spellEnd"/>
      <w:r>
        <w:t xml:space="preserve"> the state of the economy, and the claim verification library (</w:t>
      </w:r>
      <w:r>
        <w:rPr>
          <w:i/>
        </w:rPr>
        <w:t>core/verification</w:t>
      </w:r>
      <w:r>
        <w:t>) checks generated statements against evidence. Figure 7.1 shows how the lab modules connect to endpoints and interface tabs. Every payload carries labels (SIM, CACHED, heuristic) so that the interface can distinguish simulated, cached and measured values.</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expands this into monthly series over a horizon of one to sixty months. Each series stays at the baseline until the lag month and then either steps to the peak or decays exponentially with a chosen half-life, using baseline + delta × 0.5</w:t>
      </w:r>
      <w:proofErr w:type="gramStart"/>
      <w:r>
        <w:t>^(</w:t>
      </w:r>
      <w:proofErr w:type="gramEnd"/>
      <w:r>
        <w:t>(t − lag) / half-life). The module also returns the edges on each path with their evidence class and review notes. The notes state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 xml:space="preserve">The twin module runs the engine twice, with zero shock and with the requested shock, and compares the results node by node. For each target it also attributes the effect to the hops of its path. Each hop receives a share proportional to the logarithm of its attenuation factor (0.55 times its confidence), so the hop with the largest share is the weakest link, which is the hop that attenuates the signal the most. The module counts the inverse (negative-sign) edges on the path as sign flips. Figure 7.2 shows the attribution for the path from Brent crude to GDP growth: the shares are close to each </w:t>
      </w:r>
      <w:r>
        <w:lastRenderedPageBreak/>
        <w:t>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 xml:space="preserve">The anomaly radar flags unusual latest readings and uses the graph to say whether the anomaly is isolated or part of a propagating pattern. For every series with at least eight points, the latest value is compared with the trailing window of up to twelve observations, excluding the latest point from its own baseline, and a z-score is computed. A reading with an absolute z-score above 2.0 is an anomaly. The module then looks at the graph </w:t>
      </w:r>
      <w:proofErr w:type="spellStart"/>
      <w:r>
        <w:t>neighbours</w:t>
      </w:r>
      <w:proofErr w:type="spellEnd"/>
      <w:r>
        <w:t xml:space="preserve"> of the indicator, upstream and downstream. If at least one </w:t>
      </w:r>
      <w:proofErr w:type="spellStart"/>
      <w:r>
        <w:t>neighbour</w:t>
      </w:r>
      <w:proofErr w:type="spellEnd"/>
      <w:r>
        <w:t xml:space="preserve"> with data is also anomalous the anomaly is classified as propagating, and the culprit path of relation identifiers is returned. If </w:t>
      </w:r>
      <w:proofErr w:type="spellStart"/>
      <w:r>
        <w:t>neighbours</w:t>
      </w:r>
      <w:proofErr w:type="spellEnd"/>
      <w:r>
        <w:t xml:space="preserve"> have data but none is anomalous it is isolated. If no </w:t>
      </w:r>
      <w:proofErr w:type="spellStart"/>
      <w:r>
        <w:t>neighbour</w:t>
      </w:r>
      <w:proofErr w:type="spellEnd"/>
      <w:r>
        <w:t xml:space="preserve"> has data it is unlinked. Isolated and unlinked anomalies are marked for verification of the source because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 xml:space="preserve">The edge evidence audit tests whether the seeded edges of the graph are supported by data (Figure 7.3). For every edge it aligns the source and target series by calendar month. With fewer than ten overlapping months the edge remains untestable. </w:t>
      </w:r>
      <w:proofErr w:type="gramStart"/>
      <w:r>
        <w:t>Otherwise</w:t>
      </w:r>
      <w:proofErr w:type="gramEnd"/>
      <w:r>
        <w:t xml:space="preserve"> a bivariate Granger causality test with a maximum lag of two is run, and the edge is labelled EMPIRICAL with its p-value and optimal lag. Edges that cannot </w:t>
      </w:r>
      <w:r>
        <w:lastRenderedPageBreak/>
        <w:t>be tested remain SEEDED. Results are cached for five minutes. The audit applies the distinction between evidence typed in by a designer and evidence estimated from data, and the interface shows the label on every edge.</w:t>
      </w:r>
    </w:p>
    <w:p w14:paraId="2987A970" w14:textId="77777777" w:rsidR="00EB5755" w:rsidRDefault="00F609DE">
      <w:r>
        <w:t>The method has limits that the report states openly. The minimum of ten months is low for reliable Granger inference, series are not tested for stationarity, and no correction is applied for testing many edges. The planned improvements are described in Chapter 10. Section 9.5 reports the result of running the audit on the data currently available.</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 xml:space="preserve">The simulated committee has six seats with archetype personas: a centrist governor, a hawkish deputy governor, a centrist officer, one hawkish and two dovish external members. An evidence pack collects the latest CPI, repo rate, GDP growth, USD/INR and bank credit growth from the canonical store and the dashboard series. Each persona first votes by a deterministic rule. A hawk hikes when CPI exceeds 6 per cent and otherwise holds. A dove cuts when CPI is below 2 per cent, or when growth is </w:t>
      </w:r>
      <w:r>
        <w:lastRenderedPageBreak/>
        <w:t>weakening and CPI is not above 6 per cent, and otherwise holds. A centrist hikes above 6 per cent, cuts below 2 per cent, cuts when growth is weakening and CPI is below 4 per cent, and otherwise holds. The thresholds are the inflation-targeting band of 4 per cent with a tolerance of 2 per cent on either side.</w:t>
      </w:r>
    </w:p>
    <w:p w14:paraId="3304BFB1" w14:textId="77777777" w:rsidR="00EB5755" w:rsidRDefault="00F609DE">
      <w:r>
        <w:t xml:space="preserve">Figure 7.4 </w:t>
      </w:r>
      <w:proofErr w:type="spellStart"/>
      <w:r>
        <w:t>summarises</w:t>
      </w:r>
      <w:proofErr w:type="spellEnd"/>
      <w:r>
        <w:t xml:space="preserve"> the procedure. When a language model key is available, each of the three persona types additionally produces a vote as structured JSON that must quote a number and cite an indicator from the evidence pack. An answer that fails this validation is discarded and the rule vote is kept. The six seats share the three persona results, so the committee has three distinct voices rather than six independent members. The decision is the majority, with the governor's vote deciding a tie. The rule-only decision is always reported next to the final one, which makes it possible to measure what the language model adds.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 xml:space="preserve">Two summaries are attached to every orchestrated answer. The consensus summary reports, per agent, the status, duration, number of observations and number of usable observations, and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reported as consensus quality. The model card reports the evidence counts, the relations used with their evidence class, the scenario formula with its constants, an inflation regime note </w:t>
      </w:r>
      <w:r>
        <w:lastRenderedPageBreak/>
        <w:t>and a trust score of 0.4 times evidence cover plus 0.3 times mean edge confidence plus 0.3 times agent success. These scores are labelled heuristic because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 xml:space="preserve">The daily brief reads telemetry for four pillars (monetary, fiscal, external and markets), runs the anomaly scan, fetches capped and cached news with at most four queries and a six-hour cache, and makes at most one language model call. If the model is unavailable, or returns invalid JSON, a deterministic template is used. Briefs are stored by Asia/Kolkata date in the canonical </w:t>
      </w:r>
      <w:proofErr w:type="spellStart"/>
      <w:r>
        <w:t>DuckDB</w:t>
      </w:r>
      <w:proofErr w:type="spellEnd"/>
      <w:r>
        <w:t xml:space="preserve"> store and can be generated on demand or by an optional scheduler at 08:15. A debounce interval of fifteen minutes prevents repeated runs unless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addresses the remaining gap: a figure in generated text must equal the retrieved figure. It was first built for the prices sector and is implemented as a shared library (Figure 7.5). Retrieved observations and source passages are frozen into content-addressed evidence: the identifier of an observation is the SHA-256 digest of its canonical form without volatile fields, so repeated retrievals of the same published value share an identifier while a revision or definition change receives a new one.</w:t>
      </w:r>
    </w:p>
    <w:p w14:paraId="13919B85" w14:textId="77777777" w:rsidR="00EB5755" w:rsidRDefault="00F609DE">
      <w:r>
        <w:t xml:space="preserve">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that occurs verbatim in the retrieved passage, and even </w:t>
      </w:r>
      <w:proofErr w:type="gramStart"/>
      <w:r>
        <w:t>then</w:t>
      </w:r>
      <w:proofErr w:type="gramEnd"/>
      <w:r>
        <w:t xml:space="preserve">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in one of five statuses: verified, source attributed, general mechanism, rejected or insufficient evidence. Only verified, source-attributed and general-mechanism results are rendered. Rejected claims and claims with insufficient evidence are withheld, counted and kept in an append-only SQLite audit that stores the complete evidence snapshot, proposals and results. The library is covered by tests that include altered quotations, wrong arithmetic, mismatched index bases and conflicting observations.</w:t>
      </w:r>
    </w:p>
    <w:p w14:paraId="6F7C1B11" w14:textId="77777777" w:rsidR="00EB5755" w:rsidRDefault="00F609DE">
      <w:r>
        <w:t xml:space="preserve">An important limitation applies. The library is not yet connected to the answer path: the pipeline that proposed claims for the prices agent was removed from that agent, and neither the orchestrator nor any sector currently calls the verifier. The planned integration (Figure 7.6) makes the language model return structured claims, verifies </w:t>
      </w:r>
      <w:r>
        <w:lastRenderedPageBreak/>
        <w:t>them against the A2A evidence, renders only verified statements and hedges causal claims according to the evidence class of the edge on which they rely.</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through which users and other programs reach the platform. The screenshots were captured from the running application on 13 October 2026 with the language model and search keys disabled, so the system operated in its deterministic offline mode and the data shown is the sector data held by the platform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written in strict TypeScript, bundled with Vite and styled with Tailwind CSS. The root component holds the signed-in user and the current view. An unauthenticated visitor sees the landing page; after Google sign-in, or when a stored session exists, the sidebar switches among the dashboard, the agent research workspace, the causal transmission graph with the causal lab, and the A2A agent registry. Sign-out clears the stored profile.</w:t>
      </w:r>
    </w:p>
    <w:p w14:paraId="611C908B" w14:textId="77777777" w:rsidR="00EB5755" w:rsidRDefault="00F609DE">
      <w:r>
        <w:t xml:space="preserve">The component hierarchy is shown in Figure 8.1. The dashboard is split into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proofErr w:type="spellStart"/>
      <w:r>
        <w:rPr>
          <w:i/>
        </w:rPr>
        <w:t>AbortController</w:t>
      </w:r>
      <w:proofErr w:type="spellEnd"/>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 xml:space="preserve">Figure 8.2 shows the landing page. It presents the platform and its dual-protocol design and offers Google sign-in. Sign-in uses Google Identity Services. The decoded profile is stored in the browser's local storage, and there is no server-side session; </w:t>
      </w:r>
      <w:proofErr w:type="gramStart"/>
      <w:r>
        <w:t>consequently</w:t>
      </w:r>
      <w:proofErr w:type="gramEnd"/>
      <w:r>
        <w:t xml:space="preserve"> the gateway endpoints themselves are not protected, which is listed as a limitation in Chapter 9.</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aggregates telemetry from the sector stores, open datasets and the RBI DBIE explorer into eight tabs. Each indicator keeps its citation, and clicking a value opens an evidence drawer with the source, table, period and calculation. Figure 8.3 shows the first tab, which combines the ticker bar of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and reads the response stream. Step events report which agent or tool is running and are updated in place by request identifier; token events carry the report text; and the final event carries the complete report, citations, the A2A summary, consensus summary and model card. The workspace then renders tables, the causal diagram, the trace panel and the model card.</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together with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of Chapter 7. The path tab (Figure 8.7) queries the transmission path between any two indicators and lists the relations with their lag, sign, type and confidence.</w:t>
      </w:r>
    </w:p>
    <w:p w14:paraId="5113C029" w14:textId="77777777" w:rsidR="00EB5755" w:rsidRDefault="00F609DE">
      <w:r>
        <w:t>The Shockwave tab animates the monthly propagation of a shock through the graph with adjustable magnitude and response shape (Figure 8.8). The Twin tab compares baseline and shocked worlds and shows the attribution table. The Radar tab lists anomalies and their classification. The MPC tab runs the simulated committee and shows each seat's vote, the tally, the dissent and the rule baseline (Figure 8.9). The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 xml:space="preserve">The gateway exposes the interface </w:t>
      </w:r>
      <w:proofErr w:type="spellStart"/>
      <w:r>
        <w:t>summarised</w:t>
      </w:r>
      <w:proofErr w:type="spellEnd"/>
      <w:r>
        <w:t xml:space="preserve"> in Table 8.1. Interactive documentation is generated by </w:t>
      </w:r>
      <w:proofErr w:type="spellStart"/>
      <w:r>
        <w:t>FastAPI</w:t>
      </w:r>
      <w:proofErr w:type="spellEnd"/>
      <w:r>
        <w:t>. The research and brief endpoints call paid language-model and search services when keys are configured and are unauthenticated in the current version.</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