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i w:val="0"/>
          <w:color w:val="5A626C"/>
          <w:sz w:val="18"/>
        </w:rPr>
        <w:t>PRIVATE AND CONFIDENTIAL</w:t>
      </w:r>
    </w:p>
    <w:p>
      <w:pPr>
        <w:spacing w:before="160" w:after="240"/>
        <w:jc w:val="center"/>
      </w:pPr>
      <w:r>
        <w:rPr>
          <w:rFonts w:ascii="Arial" w:hAnsi="Arial"/>
          <w:b/>
          <w:i w:val="0"/>
          <w:color w:val="18304B"/>
          <w:sz w:val="30"/>
        </w:rPr>
        <w:t>APPOINTMENT LETTER</w:t>
      </w:r>
    </w:p>
    <w:tbl>
      <w:tblPr>
        <w:tblW w:type="auto" w:w="0"/>
        <w:jc w:val="center"/>
        <w:tblLayout w:type="fixed"/>
        <w:tblLook w:firstColumn="1" w:firstRow="1" w:lastColumn="0" w:lastRow="0" w:noHBand="0" w:noVBand="1" w:val="04A0"/>
      </w:tblPr>
      <w:tblGrid>
        <w:gridCol w:w="4734"/>
        <w:gridCol w:w="4734"/>
      </w:tblGrid>
      <w:tr>
        <w:tc>
          <w:tcPr>
            <w:tcW w:type="dxa" w:w="1814"/>
            <w:shd w:fill="E9EEF4"/>
            <w:tcMar>
              <w:top w:w="90" w:type="dxa"/>
              <w:start w:w="110" w:type="dxa"/>
              <w:bottom w:w="90" w:type="dxa"/>
              <w:end w:w="110" w:type="dxa"/>
            </w:tcMar>
            <w:vAlign w:val="center"/>
          </w:tcPr>
          <w:p>
            <w:r>
              <w:rPr>
                <w:rFonts w:ascii="Arial" w:hAnsi="Arial"/>
                <w:b/>
                <w:i w:val="0"/>
                <w:sz w:val="19"/>
              </w:rPr>
              <w:t>Letter No.</w:t>
            </w:r>
          </w:p>
        </w:tc>
        <w:tc>
          <w:tcPr>
            <w:tcW w:type="dxa" w:w="7087"/>
            <w:tcMar>
              <w:top w:w="90" w:type="dxa"/>
              <w:start w:w="110" w:type="dxa"/>
              <w:bottom w:w="90" w:type="dxa"/>
              <w:end w:w="110" w:type="dxa"/>
            </w:tcMar>
            <w:vAlign w:val="center"/>
          </w:tcPr>
          <w:p>
            <w:r>
              <w:rPr>
                <w:rFonts w:ascii="Arial" w:hAnsi="Arial"/>
                <w:b w:val="0"/>
                <w:i w:val="0"/>
                <w:sz w:val="19"/>
              </w:rPr>
              <w:t>{{letter_number}}</w:t>
            </w:r>
          </w:p>
        </w:tc>
      </w:tr>
      <w:tr>
        <w:tc>
          <w:tcPr>
            <w:tcW w:type="dxa" w:w="1814"/>
            <w:shd w:fill="E9EEF4"/>
            <w:tcMar>
              <w:top w:w="90" w:type="dxa"/>
              <w:start w:w="110" w:type="dxa"/>
              <w:bottom w:w="90" w:type="dxa"/>
              <w:end w:w="110" w:type="dxa"/>
            </w:tcMar>
            <w:vAlign w:val="center"/>
          </w:tcPr>
          <w:p>
            <w:r>
              <w:rPr>
                <w:rFonts w:ascii="Arial" w:hAnsi="Arial"/>
                <w:b/>
                <w:i w:val="0"/>
                <w:sz w:val="19"/>
              </w:rPr>
              <w:t>Date</w:t>
            </w:r>
          </w:p>
        </w:tc>
        <w:tc>
          <w:tcPr>
            <w:tcW w:type="dxa" w:w="7087"/>
            <w:tcMar>
              <w:top w:w="90" w:type="dxa"/>
              <w:start w:w="110" w:type="dxa"/>
              <w:bottom w:w="90" w:type="dxa"/>
              <w:end w:w="110" w:type="dxa"/>
            </w:tcMar>
            <w:vAlign w:val="center"/>
          </w:tcPr>
          <w:p>
            <w:r>
              <w:rPr>
                <w:rFonts w:ascii="Arial" w:hAnsi="Arial"/>
                <w:b w:val="0"/>
                <w:i w:val="0"/>
                <w:sz w:val="19"/>
              </w:rPr>
              <w:t>{{issue_date}}</w:t>
            </w:r>
          </w:p>
        </w:tc>
      </w:tr>
      <w:tr>
        <w:tc>
          <w:tcPr>
            <w:tcW w:type="dxa" w:w="1814"/>
            <w:shd w:fill="E9EEF4"/>
            <w:tcMar>
              <w:top w:w="90" w:type="dxa"/>
              <w:start w:w="110" w:type="dxa"/>
              <w:bottom w:w="90" w:type="dxa"/>
              <w:end w:w="110" w:type="dxa"/>
            </w:tcMar>
            <w:vAlign w:val="center"/>
          </w:tcPr>
          <w:p>
            <w:r>
              <w:rPr>
                <w:rFonts w:ascii="Arial" w:hAnsi="Arial"/>
                <w:b/>
                <w:i w:val="0"/>
                <w:sz w:val="19"/>
              </w:rPr>
              <w:t>To</w:t>
            </w:r>
          </w:p>
        </w:tc>
        <w:tc>
          <w:tcPr>
            <w:tcW w:type="dxa" w:w="7087"/>
            <w:tcMar>
              <w:top w:w="90" w:type="dxa"/>
              <w:start w:w="110" w:type="dxa"/>
              <w:bottom w:w="90" w:type="dxa"/>
              <w:end w:w="110" w:type="dxa"/>
            </w:tcMar>
            <w:vAlign w:val="center"/>
          </w:tcPr>
          <w:p>
            <w:r>
              <w:rPr>
                <w:rFonts w:ascii="Arial" w:hAnsi="Arial"/>
                <w:b w:val="0"/>
                <w:i w:val="0"/>
                <w:sz w:val="19"/>
              </w:rPr>
              <w:t>{{employee_name}}</w:t>
            </w:r>
          </w:p>
        </w:tc>
      </w:tr>
      <w:tr>
        <w:tc>
          <w:tcPr>
            <w:tcW w:type="dxa" w:w="1814"/>
            <w:shd w:fill="E9EEF4"/>
            <w:tcMar>
              <w:top w:w="90" w:type="dxa"/>
              <w:start w:w="110" w:type="dxa"/>
              <w:bottom w:w="90" w:type="dxa"/>
              <w:end w:w="110" w:type="dxa"/>
            </w:tcMar>
            <w:vAlign w:val="center"/>
          </w:tcPr>
          <w:p>
            <w:r>
              <w:rPr>
                <w:rFonts w:ascii="Arial" w:hAnsi="Arial"/>
                <w:b/>
                <w:i w:val="0"/>
                <w:sz w:val="19"/>
              </w:rPr>
              <w:t>Address</w:t>
            </w:r>
          </w:p>
        </w:tc>
        <w:tc>
          <w:tcPr>
            <w:tcW w:type="dxa" w:w="7087"/>
            <w:tcMar>
              <w:top w:w="90" w:type="dxa"/>
              <w:start w:w="110" w:type="dxa"/>
              <w:bottom w:w="90" w:type="dxa"/>
              <w:end w:w="110" w:type="dxa"/>
            </w:tcMar>
            <w:vAlign w:val="center"/>
          </w:tcPr>
          <w:p>
            <w:r>
              <w:rPr>
                <w:rFonts w:ascii="Arial" w:hAnsi="Arial"/>
                <w:b w:val="0"/>
                <w:i w:val="0"/>
                <w:sz w:val="19"/>
              </w:rPr>
              <w:t>{{employee_address}}</w:t>
            </w:r>
          </w:p>
        </w:tc>
      </w:tr>
    </w:tbl>
    <w:p/>
    <w:p>
      <w:r>
        <w:rPr>
          <w:rFonts w:ascii="Arial" w:hAnsi="Arial"/>
          <w:b/>
          <w:i w:val="0"/>
          <w:sz w:val="21"/>
        </w:rPr>
        <w:t xml:space="preserve">Subject: </w:t>
      </w:r>
      <w:r>
        <w:rPr>
          <w:rFonts w:ascii="Arial" w:hAnsi="Arial"/>
          <w:b/>
          <w:i w:val="0"/>
          <w:sz w:val="21"/>
        </w:rPr>
        <w:t>Appointment as {{designation}}</w:t>
      </w:r>
    </w:p>
    <w:p>
      <w:pPr>
        <w:jc w:val="both"/>
      </w:pPr>
      <w:r>
        <w:rPr>
          <w:rFonts w:ascii="Arial" w:hAnsi="Arial"/>
          <w:b w:val="0"/>
          <w:i w:val="0"/>
          <w:sz w:val="21"/>
        </w:rPr>
        <w:t>Dear {{employee_name}},</w:t>
      </w:r>
    </w:p>
    <w:p>
      <w:pPr>
        <w:jc w:val="both"/>
      </w:pPr>
      <w:r>
        <w:rPr>
          <w:rFonts w:ascii="Arial" w:hAnsi="Arial"/>
          <w:b w:val="0"/>
          <w:i w:val="0"/>
          <w:sz w:val="21"/>
        </w:rPr>
        <w:t>With reference to your accepted offer, we are pleased to appoint you as {{designation}} in the {{department}} Department of Adarsh Shipping and Services on the following terms. This letter, its annexures, applicable certified standing orders/service rules and lawful Company policies together record the terms of your employment.</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r>
      <w:tr>
        <w:tc>
          <w:tcPr>
            <w:tcW w:type="dxa" w:w="2367"/>
            <w:tcMar>
              <w:top w:w="55" w:type="dxa"/>
              <w:start w:w="75" w:type="dxa"/>
              <w:bottom w:w="55" w:type="dxa"/>
              <w:end w:w="75" w:type="dxa"/>
            </w:tcMar>
            <w:vAlign w:val="center"/>
          </w:tcPr>
          <w:p>
            <w:r>
              <w:rPr>
                <w:rFonts w:ascii="Arial" w:hAnsi="Arial"/>
                <w:b/>
                <w:i w:val="0"/>
                <w:sz w:val="16"/>
              </w:rPr>
              <w:t>Employee ID</w:t>
            </w:r>
          </w:p>
        </w:tc>
        <w:tc>
          <w:tcPr>
            <w:tcW w:type="dxa" w:w="2367"/>
            <w:tcMar>
              <w:top w:w="55" w:type="dxa"/>
              <w:start w:w="75" w:type="dxa"/>
              <w:bottom w:w="55" w:type="dxa"/>
              <w:end w:w="75" w:type="dxa"/>
            </w:tcMar>
            <w:vAlign w:val="center"/>
          </w:tcPr>
          <w:p>
            <w:r>
              <w:rPr>
                <w:rFonts w:ascii="Arial" w:hAnsi="Arial"/>
                <w:b w:val="0"/>
                <w:i w:val="0"/>
                <w:sz w:val="16"/>
              </w:rPr>
              <w:t>{{employee_id}}</w:t>
            </w:r>
          </w:p>
        </w:tc>
        <w:tc>
          <w:tcPr>
            <w:tcW w:type="dxa" w:w="2367"/>
            <w:tcMar>
              <w:top w:w="55" w:type="dxa"/>
              <w:start w:w="75" w:type="dxa"/>
              <w:bottom w:w="55" w:type="dxa"/>
              <w:end w:w="75" w:type="dxa"/>
            </w:tcMar>
            <w:vAlign w:val="center"/>
          </w:tcPr>
          <w:p>
            <w:r>
              <w:rPr>
                <w:rFonts w:ascii="Arial" w:hAnsi="Arial"/>
                <w:b/>
                <w:i w:val="0"/>
                <w:sz w:val="16"/>
              </w:rPr>
              <w:t>Father’s / guardian’s name</w:t>
            </w:r>
          </w:p>
        </w:tc>
        <w:tc>
          <w:tcPr>
            <w:tcW w:type="dxa" w:w="2367"/>
            <w:tcMar>
              <w:top w:w="55" w:type="dxa"/>
              <w:start w:w="75" w:type="dxa"/>
              <w:bottom w:w="55" w:type="dxa"/>
              <w:end w:w="75" w:type="dxa"/>
            </w:tcMar>
            <w:vAlign w:val="center"/>
          </w:tcPr>
          <w:p>
            <w:r>
              <w:rPr>
                <w:rFonts w:ascii="Arial" w:hAnsi="Arial"/>
                <w:b w:val="0"/>
                <w:i w:val="0"/>
                <w:sz w:val="16"/>
              </w:rPr>
              <w:t>{{father_or_guardian_name}}</w:t>
            </w:r>
          </w:p>
        </w:tc>
      </w:tr>
      <w:tr>
        <w:tc>
          <w:tcPr>
            <w:tcW w:type="dxa" w:w="2367"/>
            <w:tcMar>
              <w:top w:w="55" w:type="dxa"/>
              <w:start w:w="75" w:type="dxa"/>
              <w:bottom w:w="55" w:type="dxa"/>
              <w:end w:w="75" w:type="dxa"/>
            </w:tcMar>
            <w:vAlign w:val="center"/>
          </w:tcPr>
          <w:p>
            <w:r>
              <w:rPr>
                <w:rFonts w:ascii="Arial" w:hAnsi="Arial"/>
                <w:b/>
                <w:i w:val="0"/>
                <w:sz w:val="16"/>
              </w:rPr>
              <w:t>Masked Aadhaar</w:t>
            </w:r>
          </w:p>
        </w:tc>
        <w:tc>
          <w:tcPr>
            <w:tcW w:type="dxa" w:w="2367"/>
            <w:tcMar>
              <w:top w:w="55" w:type="dxa"/>
              <w:start w:w="75" w:type="dxa"/>
              <w:bottom w:w="55" w:type="dxa"/>
              <w:end w:w="75" w:type="dxa"/>
            </w:tcMar>
            <w:vAlign w:val="center"/>
          </w:tcPr>
          <w:p>
            <w:r>
              <w:rPr>
                <w:rFonts w:ascii="Arial" w:hAnsi="Arial"/>
                <w:b w:val="0"/>
                <w:i w:val="0"/>
                <w:sz w:val="16"/>
              </w:rPr>
              <w:t>{{masked_aadhaar}}</w:t>
            </w:r>
          </w:p>
        </w:tc>
        <w:tc>
          <w:tcPr>
            <w:tcW w:type="dxa" w:w="2367"/>
            <w:tcMar>
              <w:top w:w="55" w:type="dxa"/>
              <w:start w:w="75" w:type="dxa"/>
              <w:bottom w:w="55" w:type="dxa"/>
              <w:end w:w="75" w:type="dxa"/>
            </w:tcMar>
            <w:vAlign w:val="center"/>
          </w:tcPr>
          <w:p>
            <w:r>
              <w:rPr>
                <w:rFonts w:ascii="Arial" w:hAnsi="Arial"/>
                <w:b/>
                <w:i w:val="0"/>
                <w:sz w:val="16"/>
              </w:rPr>
              <w:t>UAN / ESIC number</w:t>
            </w:r>
          </w:p>
        </w:tc>
        <w:tc>
          <w:tcPr>
            <w:tcW w:type="dxa" w:w="2367"/>
            <w:tcMar>
              <w:top w:w="55" w:type="dxa"/>
              <w:start w:w="75" w:type="dxa"/>
              <w:bottom w:w="55" w:type="dxa"/>
              <w:end w:w="75" w:type="dxa"/>
            </w:tcMar>
            <w:vAlign w:val="center"/>
          </w:tcPr>
          <w:p>
            <w:r>
              <w:rPr>
                <w:rFonts w:ascii="Arial" w:hAnsi="Arial"/>
                <w:b w:val="0"/>
                <w:i w:val="0"/>
                <w:sz w:val="16"/>
              </w:rPr>
              <w:t>{{uan_number}} / {{esic_number}}</w:t>
            </w:r>
          </w:p>
        </w:tc>
      </w:tr>
      <w:tr>
        <w:tc>
          <w:tcPr>
            <w:tcW w:type="dxa" w:w="2367"/>
            <w:tcMar>
              <w:top w:w="55" w:type="dxa"/>
              <w:start w:w="75" w:type="dxa"/>
              <w:bottom w:w="55" w:type="dxa"/>
              <w:end w:w="75" w:type="dxa"/>
            </w:tcMar>
            <w:vAlign w:val="center"/>
          </w:tcPr>
          <w:p>
            <w:r>
              <w:rPr>
                <w:rFonts w:ascii="Arial" w:hAnsi="Arial"/>
                <w:b/>
                <w:i w:val="0"/>
                <w:sz w:val="16"/>
              </w:rPr>
              <w:t>Designation and skill category</w:t>
            </w:r>
          </w:p>
        </w:tc>
        <w:tc>
          <w:tcPr>
            <w:tcW w:type="dxa" w:w="2367"/>
            <w:tcMar>
              <w:top w:w="55" w:type="dxa"/>
              <w:start w:w="75" w:type="dxa"/>
              <w:bottom w:w="55" w:type="dxa"/>
              <w:end w:w="75" w:type="dxa"/>
            </w:tcMar>
            <w:vAlign w:val="center"/>
          </w:tcPr>
          <w:p>
            <w:r>
              <w:rPr>
                <w:rFonts w:ascii="Arial" w:hAnsi="Arial"/>
                <w:b w:val="0"/>
                <w:i w:val="0"/>
                <w:sz w:val="16"/>
              </w:rPr>
              <w:t>{{designation}} / {{skill_category}}</w:t>
            </w:r>
          </w:p>
        </w:tc>
        <w:tc>
          <w:tcPr>
            <w:tcW w:type="dxa" w:w="2367"/>
            <w:tcMar>
              <w:top w:w="55" w:type="dxa"/>
              <w:start w:w="75" w:type="dxa"/>
              <w:bottom w:w="55" w:type="dxa"/>
              <w:end w:w="75" w:type="dxa"/>
            </w:tcMar>
            <w:vAlign w:val="center"/>
          </w:tcPr>
          <w:p>
            <w:r>
              <w:rPr>
                <w:rFonts w:ascii="Arial" w:hAnsi="Arial"/>
                <w:b/>
                <w:i w:val="0"/>
                <w:sz w:val="16"/>
              </w:rPr>
              <w:t>Employment type</w:t>
            </w:r>
          </w:p>
        </w:tc>
        <w:tc>
          <w:tcPr>
            <w:tcW w:type="dxa" w:w="2367"/>
            <w:tcMar>
              <w:top w:w="55" w:type="dxa"/>
              <w:start w:w="75" w:type="dxa"/>
              <w:bottom w:w="55" w:type="dxa"/>
              <w:end w:w="75" w:type="dxa"/>
            </w:tcMar>
            <w:vAlign w:val="center"/>
          </w:tcPr>
          <w:p>
            <w:r>
              <w:rPr>
                <w:rFonts w:ascii="Arial" w:hAnsi="Arial"/>
                <w:b w:val="0"/>
                <w:i w:val="0"/>
                <w:sz w:val="16"/>
              </w:rPr>
              <w:t>{{employment_type}}</w:t>
            </w:r>
          </w:p>
        </w:tc>
      </w:tr>
      <w:tr>
        <w:tc>
          <w:tcPr>
            <w:tcW w:type="dxa" w:w="2367"/>
            <w:tcMar>
              <w:top w:w="55" w:type="dxa"/>
              <w:start w:w="75" w:type="dxa"/>
              <w:bottom w:w="55" w:type="dxa"/>
              <w:end w:w="75" w:type="dxa"/>
            </w:tcMar>
            <w:vAlign w:val="center"/>
          </w:tcPr>
          <w:p>
            <w:r>
              <w:rPr>
                <w:rFonts w:ascii="Arial" w:hAnsi="Arial"/>
                <w:b/>
                <w:i w:val="0"/>
                <w:sz w:val="16"/>
              </w:rPr>
              <w:t>Date of joining</w:t>
            </w:r>
          </w:p>
        </w:tc>
        <w:tc>
          <w:tcPr>
            <w:tcW w:type="dxa" w:w="2367"/>
            <w:tcMar>
              <w:top w:w="55" w:type="dxa"/>
              <w:start w:w="75" w:type="dxa"/>
              <w:bottom w:w="55" w:type="dxa"/>
              <w:end w:w="75" w:type="dxa"/>
            </w:tcMar>
            <w:vAlign w:val="center"/>
          </w:tcPr>
          <w:p>
            <w:r>
              <w:rPr>
                <w:rFonts w:ascii="Arial" w:hAnsi="Arial"/>
                <w:b w:val="0"/>
                <w:i w:val="0"/>
                <w:sz w:val="16"/>
              </w:rPr>
              <w:t>{{joining_date}}</w:t>
            </w:r>
          </w:p>
        </w:tc>
        <w:tc>
          <w:tcPr>
            <w:tcW w:type="dxa" w:w="2367"/>
            <w:tcMar>
              <w:top w:w="55" w:type="dxa"/>
              <w:start w:w="75" w:type="dxa"/>
              <w:bottom w:w="55" w:type="dxa"/>
              <w:end w:w="75" w:type="dxa"/>
            </w:tcMar>
            <w:vAlign w:val="center"/>
          </w:tcPr>
          <w:p>
            <w:r>
              <w:rPr>
                <w:rFonts w:ascii="Arial" w:hAnsi="Arial"/>
                <w:b/>
                <w:i w:val="0"/>
                <w:sz w:val="16"/>
              </w:rPr>
              <w:t>Work location</w:t>
            </w:r>
          </w:p>
        </w:tc>
        <w:tc>
          <w:tcPr>
            <w:tcW w:type="dxa" w:w="2367"/>
            <w:tcMar>
              <w:top w:w="55" w:type="dxa"/>
              <w:start w:w="75" w:type="dxa"/>
              <w:bottom w:w="55" w:type="dxa"/>
              <w:end w:w="75" w:type="dxa"/>
            </w:tcMar>
            <w:vAlign w:val="center"/>
          </w:tcPr>
          <w:p>
            <w:r>
              <w:rPr>
                <w:rFonts w:ascii="Arial" w:hAnsi="Arial"/>
                <w:b w:val="0"/>
                <w:i w:val="0"/>
                <w:sz w:val="16"/>
              </w:rPr>
              <w:t>{{work_location}}</w:t>
            </w:r>
          </w:p>
        </w:tc>
      </w:tr>
      <w:tr>
        <w:tc>
          <w:tcPr>
            <w:tcW w:type="dxa" w:w="2367"/>
            <w:tcMar>
              <w:top w:w="55" w:type="dxa"/>
              <w:start w:w="75" w:type="dxa"/>
              <w:bottom w:w="55" w:type="dxa"/>
              <w:end w:w="75" w:type="dxa"/>
            </w:tcMar>
            <w:vAlign w:val="center"/>
          </w:tcPr>
          <w:p>
            <w:r>
              <w:rPr>
                <w:rFonts w:ascii="Arial" w:hAnsi="Arial"/>
                <w:b/>
                <w:i w:val="0"/>
                <w:sz w:val="16"/>
              </w:rPr>
              <w:t>Reporting manager</w:t>
            </w:r>
          </w:p>
        </w:tc>
        <w:tc>
          <w:tcPr>
            <w:tcW w:type="dxa" w:w="2367"/>
            <w:tcMar>
              <w:top w:w="55" w:type="dxa"/>
              <w:start w:w="75" w:type="dxa"/>
              <w:bottom w:w="55" w:type="dxa"/>
              <w:end w:w="75" w:type="dxa"/>
            </w:tcMar>
            <w:vAlign w:val="center"/>
          </w:tcPr>
          <w:p>
            <w:r>
              <w:rPr>
                <w:rFonts w:ascii="Arial" w:hAnsi="Arial"/>
                <w:b w:val="0"/>
                <w:i w:val="0"/>
                <w:sz w:val="16"/>
              </w:rPr>
              <w:t>{{reporting_manager}}</w:t>
            </w:r>
          </w:p>
        </w:tc>
        <w:tc>
          <w:tcPr>
            <w:tcW w:type="dxa" w:w="2367"/>
            <w:tcMar>
              <w:top w:w="55" w:type="dxa"/>
              <w:start w:w="75" w:type="dxa"/>
              <w:bottom w:w="55" w:type="dxa"/>
              <w:end w:w="75" w:type="dxa"/>
            </w:tcMar>
            <w:vAlign w:val="center"/>
          </w:tcPr>
          <w:p>
            <w:r>
              <w:rPr>
                <w:rFonts w:ascii="Arial" w:hAnsi="Arial"/>
                <w:b/>
                <w:i w:val="0"/>
                <w:sz w:val="16"/>
              </w:rPr>
              <w:t>Establishment LIN / registration</w:t>
            </w:r>
          </w:p>
        </w:tc>
        <w:tc>
          <w:tcPr>
            <w:tcW w:type="dxa" w:w="2367"/>
            <w:tcMar>
              <w:top w:w="55" w:type="dxa"/>
              <w:start w:w="75" w:type="dxa"/>
              <w:bottom w:w="55" w:type="dxa"/>
              <w:end w:w="75" w:type="dxa"/>
            </w:tcMar>
            <w:vAlign w:val="center"/>
          </w:tcPr>
          <w:p>
            <w:r>
              <w:rPr>
                <w:rFonts w:ascii="Arial" w:hAnsi="Arial"/>
                <w:b w:val="0"/>
                <w:i w:val="0"/>
                <w:sz w:val="16"/>
              </w:rPr>
              <w:t>{{lin}} / {{establishment_registration_number}}</w:t>
            </w:r>
          </w:p>
        </w:tc>
      </w:tr>
    </w:tbl>
    <w:p>
      <w:pPr>
        <w:spacing w:after="20"/>
      </w:pPr>
    </w:p>
    <w:p>
      <w:pPr>
        <w:ind w:left="113" w:hanging="113"/>
        <w:jc w:val="both"/>
      </w:pPr>
      <w:r>
        <w:rPr>
          <w:rFonts w:ascii="Arial" w:hAnsi="Arial"/>
          <w:b/>
          <w:i w:val="0"/>
          <w:sz w:val="21"/>
        </w:rPr>
        <w:t xml:space="preserve">1. Commencement. </w:t>
      </w:r>
      <w:r>
        <w:rPr>
          <w:rFonts w:ascii="Arial" w:hAnsi="Arial"/>
          <w:b w:val="0"/>
          <w:i w:val="0"/>
          <w:sz w:val="21"/>
        </w:rPr>
        <w:t>Your employment commences on {{joining_date}}, subject to your reporting for duty, completion of joining requirements and continuing accuracy of the information supplied by you.</w:t>
      </w:r>
    </w:p>
    <w:p>
      <w:pPr>
        <w:ind w:left="113" w:hanging="113"/>
        <w:jc w:val="both"/>
      </w:pPr>
      <w:r>
        <w:rPr>
          <w:rFonts w:ascii="Arial" w:hAnsi="Arial"/>
          <w:b/>
          <w:i w:val="0"/>
          <w:sz w:val="21"/>
        </w:rPr>
        <w:t xml:space="preserve">2. Nature of appointment. </w:t>
      </w:r>
      <w:r>
        <w:rPr>
          <w:rFonts w:ascii="Arial" w:hAnsi="Arial"/>
          <w:b w:val="0"/>
          <w:i w:val="0"/>
          <w:sz w:val="21"/>
        </w:rPr>
        <w:t>You are appointed on a {{employment_type}} basis. Nothing in this letter reduces any statutory protection available to you.</w:t>
      </w:r>
    </w:p>
    <w:p>
      <w:pPr>
        <w:ind w:left="113" w:hanging="113"/>
        <w:jc w:val="both"/>
      </w:pPr>
      <w:r>
        <w:rPr>
          <w:rFonts w:ascii="Arial" w:hAnsi="Arial"/>
          <w:b/>
          <w:i w:val="0"/>
          <w:sz w:val="21"/>
        </w:rPr>
        <w:t xml:space="preserve">3. Probation and confirmation. </w:t>
      </w:r>
      <w:r>
        <w:rPr>
          <w:rFonts w:ascii="Arial" w:hAnsi="Arial"/>
          <w:b w:val="0"/>
          <w:i w:val="0"/>
          <w:sz w:val="21"/>
        </w:rPr>
        <w:t>You will be on probation for {{probation_period}}. Performance, conduct, attendance and role suitability may be reviewed. Confirmation or any lawful extension will be communicated in writing; mere continuation does not by itself alter the recorded status except where law provides otherwise.</w:t>
      </w:r>
    </w:p>
    <w:p>
      <w:r>
        <w:br w:type="page"/>
      </w:r>
    </w:p>
    <w:p>
      <w:pPr>
        <w:pStyle w:val="Heading1"/>
        <w:keepNext/>
        <w:spacing w:before="160" w:after="80"/>
      </w:pPr>
      <w:r>
        <w:rPr>
          <w:rFonts w:ascii="Arial" w:hAnsi="Arial"/>
          <w:b/>
          <w:i w:val="0"/>
          <w:color w:val="18304B"/>
          <w:sz w:val="24"/>
        </w:rPr>
        <w:t>Employment Terms and Work Organisation</w:t>
      </w:r>
    </w:p>
    <w:p>
      <w:pPr>
        <w:ind w:left="113" w:hanging="113"/>
        <w:jc w:val="both"/>
      </w:pPr>
      <w:r>
        <w:rPr>
          <w:rFonts w:ascii="Arial" w:hAnsi="Arial"/>
          <w:b/>
          <w:i w:val="0"/>
          <w:sz w:val="21"/>
        </w:rPr>
        <w:t xml:space="preserve">4. Place of work and transfer. </w:t>
      </w:r>
      <w:r>
        <w:rPr>
          <w:rFonts w:ascii="Arial" w:hAnsi="Arial"/>
          <w:b w:val="0"/>
          <w:i w:val="0"/>
          <w:sz w:val="21"/>
        </w:rPr>
        <w:t>Your initial place of work is {{work_location}}. Subject to reasonable business requirements and applicable law, you may be transferred, deputed or assigned to another branch, department, project, customer site or group operation. Any material change will be communicated through an authorised instruction.</w:t>
      </w:r>
    </w:p>
    <w:p>
      <w:pPr>
        <w:ind w:left="113" w:hanging="113"/>
        <w:jc w:val="both"/>
      </w:pPr>
      <w:r>
        <w:rPr>
          <w:rFonts w:ascii="Arial" w:hAnsi="Arial"/>
          <w:b/>
          <w:i w:val="0"/>
          <w:sz w:val="21"/>
        </w:rPr>
        <w:t xml:space="preserve">5. Duties. </w:t>
      </w:r>
      <w:r>
        <w:rPr>
          <w:rFonts w:ascii="Arial" w:hAnsi="Arial"/>
          <w:b w:val="0"/>
          <w:i w:val="0"/>
          <w:sz w:val="21"/>
        </w:rPr>
        <w:t>You will faithfully perform the duties in Annexure B and any reasonable, lawful and role-related responsibilities assigned by your reporting manager. You must exercise due care, protect customer and Company interests, maintain records and promptly report operational or compliance risks.</w:t>
      </w:r>
    </w:p>
    <w:p>
      <w:pPr>
        <w:ind w:left="113" w:hanging="113"/>
        <w:jc w:val="both"/>
      </w:pPr>
      <w:r>
        <w:rPr>
          <w:rFonts w:ascii="Arial" w:hAnsi="Arial"/>
          <w:b/>
          <w:i w:val="0"/>
          <w:sz w:val="21"/>
        </w:rPr>
        <w:t xml:space="preserve">6. Working hours. </w:t>
      </w:r>
      <w:r>
        <w:rPr>
          <w:rFonts w:ascii="Arial" w:hAnsi="Arial"/>
          <w:b w:val="0"/>
          <w:i w:val="0"/>
          <w:sz w:val="21"/>
        </w:rPr>
        <w:t>Your normal schedule is {{working_schedule}} with {{weekly_off}} as the weekly rest day, subject to shift, operational and statutory requirements. Attendance must be recorded only through approved systems.</w:t>
      </w:r>
    </w:p>
    <w:p>
      <w:pPr>
        <w:ind w:left="113" w:hanging="113"/>
        <w:jc w:val="both"/>
      </w:pPr>
      <w:r>
        <w:rPr>
          <w:rFonts w:ascii="Arial" w:hAnsi="Arial"/>
          <w:b/>
          <w:i w:val="0"/>
          <w:sz w:val="21"/>
        </w:rPr>
        <w:t xml:space="preserve">7. Overtime. </w:t>
      </w:r>
      <w:r>
        <w:rPr>
          <w:rFonts w:ascii="Arial" w:hAnsi="Arial"/>
          <w:b w:val="0"/>
          <w:i w:val="0"/>
          <w:sz w:val="21"/>
        </w:rPr>
        <w:t>Overtime may be worked only when authorised. Eligibility, limits and payment will be governed by applicable law, wage classification and approved Company procedure. No clause in this letter excludes a statutory overtime entitlement.</w:t>
      </w:r>
    </w:p>
    <w:p>
      <w:pPr>
        <w:ind w:left="113" w:hanging="113"/>
        <w:jc w:val="both"/>
      </w:pPr>
      <w:r>
        <w:rPr>
          <w:rFonts w:ascii="Arial" w:hAnsi="Arial"/>
          <w:b/>
          <w:i w:val="0"/>
          <w:sz w:val="21"/>
        </w:rPr>
        <w:t xml:space="preserve">8. Attendance and absence. </w:t>
      </w:r>
      <w:r>
        <w:rPr>
          <w:rFonts w:ascii="Arial" w:hAnsi="Arial"/>
          <w:b w:val="0"/>
          <w:i w:val="0"/>
          <w:sz w:val="21"/>
        </w:rPr>
        <w:t>You must report punctually and obtain approval for leave or absence. Unauthorised absence may be addressed under the disciplinary process after notice and an opportunity to explain. It will not automatically be treated as resignation unless a lawful process and the facts support that conclusion.</w:t>
      </w:r>
    </w:p>
    <w:p>
      <w:pPr>
        <w:ind w:left="113" w:hanging="113"/>
        <w:jc w:val="both"/>
      </w:pPr>
      <w:r>
        <w:rPr>
          <w:rFonts w:ascii="Arial" w:hAnsi="Arial"/>
          <w:b/>
          <w:i w:val="0"/>
          <w:sz w:val="21"/>
        </w:rPr>
        <w:t xml:space="preserve">9. Leave and holidays. </w:t>
      </w:r>
      <w:r>
        <w:rPr>
          <w:rFonts w:ascii="Arial" w:hAnsi="Arial"/>
          <w:b w:val="0"/>
          <w:i w:val="0"/>
          <w:sz w:val="21"/>
        </w:rPr>
        <w:t>Leave, weekly holidays and national/festival holidays will be provided under applicable law and the Company leave policy. A policy may provide benefits above the statutory minimum but cannot reduce statutory entitlement.</w:t>
      </w:r>
    </w:p>
    <w:p>
      <w:pPr>
        <w:ind w:left="113" w:hanging="113"/>
        <w:jc w:val="both"/>
      </w:pPr>
      <w:r>
        <w:rPr>
          <w:rFonts w:ascii="Arial" w:hAnsi="Arial"/>
          <w:b/>
          <w:i w:val="0"/>
          <w:sz w:val="21"/>
        </w:rPr>
        <w:t xml:space="preserve">10. Travel and expenses. </w:t>
      </w:r>
      <w:r>
        <w:rPr>
          <w:rFonts w:ascii="Arial" w:hAnsi="Arial"/>
          <w:b w:val="0"/>
          <w:i w:val="0"/>
          <w:sz w:val="21"/>
        </w:rPr>
        <w:t>Approved business travel and expenses will be reimbursed against genuine supporting records under the applicable policy. Personal or unauthorised expenditure is not reimbursable.</w:t>
      </w:r>
    </w:p>
    <w:p>
      <w:pPr>
        <w:pStyle w:val="Heading1"/>
        <w:keepNext/>
        <w:spacing w:before="160" w:after="80"/>
      </w:pPr>
      <w:r>
        <w:rPr>
          <w:rFonts w:ascii="Arial" w:hAnsi="Arial"/>
          <w:b/>
          <w:i w:val="0"/>
          <w:color w:val="18304B"/>
          <w:sz w:val="24"/>
        </w:rPr>
        <w:t>Career and Review</w:t>
      </w:r>
    </w:p>
    <w:p>
      <w:pPr>
        <w:jc w:val="both"/>
      </w:pPr>
      <w:r>
        <w:rPr>
          <w:rFonts w:ascii="Arial" w:hAnsi="Arial"/>
          <w:b w:val="0"/>
          <w:i w:val="0"/>
          <w:sz w:val="21"/>
        </w:rPr>
        <w:t>Performance will ordinarily be reviewed under the Company’s appraisal process. Any increment, promotion, incentive or change in grade depends on performance, affordability, approved policy and management authorisation unless a written contractual commitment states otherwise.</w:t>
      </w:r>
    </w:p>
    <w:p>
      <w:r>
        <w:br w:type="page"/>
      </w:r>
    </w:p>
    <w:p>
      <w:pPr>
        <w:pStyle w:val="Heading1"/>
        <w:keepNext/>
        <w:spacing w:before="160" w:after="80"/>
      </w:pPr>
      <w:r>
        <w:rPr>
          <w:rFonts w:ascii="Arial" w:hAnsi="Arial"/>
          <w:b/>
          <w:i w:val="0"/>
          <w:color w:val="18304B"/>
          <w:sz w:val="24"/>
        </w:rPr>
        <w:t>Conduct, Safety and Workplace Obligations</w:t>
      </w:r>
    </w:p>
    <w:p>
      <w:pPr>
        <w:ind w:left="113" w:hanging="113"/>
        <w:jc w:val="both"/>
      </w:pPr>
      <w:r>
        <w:rPr>
          <w:rFonts w:ascii="Arial" w:hAnsi="Arial"/>
          <w:b/>
          <w:i w:val="0"/>
          <w:sz w:val="21"/>
        </w:rPr>
        <w:t xml:space="preserve">11. Code of conduct. </w:t>
      </w:r>
      <w:r>
        <w:rPr>
          <w:rFonts w:ascii="Arial" w:hAnsi="Arial"/>
          <w:b w:val="0"/>
          <w:i w:val="0"/>
          <w:sz w:val="21"/>
        </w:rPr>
        <w:t>You must act honestly and professionally, obey lawful instructions, avoid fraud or falsification, preserve records, and comply with anti-bribery, anti-corruption, trade, customs, transport, customer and operational controls relevant to your duties.</w:t>
      </w:r>
    </w:p>
    <w:p>
      <w:pPr>
        <w:ind w:left="113" w:hanging="113"/>
        <w:jc w:val="both"/>
      </w:pPr>
      <w:r>
        <w:rPr>
          <w:rFonts w:ascii="Arial" w:hAnsi="Arial"/>
          <w:b/>
          <w:i w:val="0"/>
          <w:sz w:val="21"/>
        </w:rPr>
        <w:t xml:space="preserve">12. Equal opportunity and dignity. </w:t>
      </w:r>
      <w:r>
        <w:rPr>
          <w:rFonts w:ascii="Arial" w:hAnsi="Arial"/>
          <w:b w:val="0"/>
          <w:i w:val="0"/>
          <w:sz w:val="21"/>
        </w:rPr>
        <w:t>The Company prohibits unlawful discrimination, harassment, retaliation and sexual harassment. Complaints may be raised through the designated grievance or Internal Committee process without retaliation.</w:t>
      </w:r>
    </w:p>
    <w:p>
      <w:pPr>
        <w:ind w:left="113" w:hanging="113"/>
        <w:jc w:val="both"/>
      </w:pPr>
      <w:r>
        <w:rPr>
          <w:rFonts w:ascii="Arial" w:hAnsi="Arial"/>
          <w:b/>
          <w:i w:val="0"/>
          <w:sz w:val="21"/>
        </w:rPr>
        <w:t xml:space="preserve">13. Health and safety. </w:t>
      </w:r>
      <w:r>
        <w:rPr>
          <w:rFonts w:ascii="Arial" w:hAnsi="Arial"/>
          <w:b w:val="0"/>
          <w:i w:val="0"/>
          <w:sz w:val="21"/>
        </w:rPr>
        <w:t>You must follow safety instructions, use required protective equipment, report hazards and accidents, and avoid conduct that endangers yourself or others. Health checks may be required only where lawful, necessary and handled confidentially.</w:t>
      </w:r>
    </w:p>
    <w:p>
      <w:pPr>
        <w:ind w:left="113" w:hanging="113"/>
        <w:jc w:val="both"/>
      </w:pPr>
      <w:r>
        <w:rPr>
          <w:rFonts w:ascii="Arial" w:hAnsi="Arial"/>
          <w:b/>
          <w:i w:val="0"/>
          <w:sz w:val="21"/>
        </w:rPr>
        <w:t xml:space="preserve">14. Conflict of interest. </w:t>
      </w:r>
      <w:r>
        <w:rPr>
          <w:rFonts w:ascii="Arial" w:hAnsi="Arial"/>
          <w:b w:val="0"/>
          <w:i w:val="0"/>
          <w:sz w:val="21"/>
        </w:rPr>
        <w:t>You must disclose any actual or potential conflict, outside employment, financial interest, family relationship or vendor/customer association that may affect impartial performance. Outside work requires approval where the policy lawfully requires it.</w:t>
      </w:r>
    </w:p>
    <w:p>
      <w:pPr>
        <w:ind w:left="113" w:hanging="113"/>
        <w:jc w:val="both"/>
      </w:pPr>
      <w:r>
        <w:rPr>
          <w:rFonts w:ascii="Arial" w:hAnsi="Arial"/>
          <w:b/>
          <w:i w:val="0"/>
          <w:sz w:val="21"/>
        </w:rPr>
        <w:t xml:space="preserve">15. Gifts and improper advantage. </w:t>
      </w:r>
      <w:r>
        <w:rPr>
          <w:rFonts w:ascii="Arial" w:hAnsi="Arial"/>
          <w:b w:val="0"/>
          <w:i w:val="0"/>
          <w:sz w:val="21"/>
        </w:rPr>
        <w:t>You shall not solicit or accept an improper payment, kickback or benefit. Permitted business courtesies must remain within the approved policy and be declared where required.</w:t>
      </w:r>
    </w:p>
    <w:p>
      <w:pPr>
        <w:ind w:left="113" w:hanging="113"/>
        <w:jc w:val="both"/>
      </w:pPr>
      <w:r>
        <w:rPr>
          <w:rFonts w:ascii="Arial" w:hAnsi="Arial"/>
          <w:b/>
          <w:i w:val="0"/>
          <w:sz w:val="21"/>
        </w:rPr>
        <w:t xml:space="preserve">16. Company property. </w:t>
      </w:r>
      <w:r>
        <w:rPr>
          <w:rFonts w:ascii="Arial" w:hAnsi="Arial"/>
          <w:b w:val="0"/>
          <w:i w:val="0"/>
          <w:sz w:val="21"/>
        </w:rPr>
        <w:t>All devices, cards, records, documents, credentials, files, equipment and other property supplied for work remain Company property and must be used responsibly and returned on request or separation.</w:t>
      </w:r>
    </w:p>
    <w:p>
      <w:pPr>
        <w:ind w:left="113" w:hanging="113"/>
        <w:jc w:val="both"/>
      </w:pPr>
      <w:r>
        <w:rPr>
          <w:rFonts w:ascii="Arial" w:hAnsi="Arial"/>
          <w:b/>
          <w:i w:val="0"/>
          <w:sz w:val="21"/>
        </w:rPr>
        <w:t xml:space="preserve">17. Information systems. </w:t>
      </w:r>
      <w:r>
        <w:rPr>
          <w:rFonts w:ascii="Arial" w:hAnsi="Arial"/>
          <w:b w:val="0"/>
          <w:i w:val="0"/>
          <w:sz w:val="21"/>
        </w:rPr>
        <w:t>Access credentials are personal and must not be shared. Company systems may be monitored and logged for legitimate security, compliance and operational purposes with appropriate notice and safeguards.</w:t>
      </w:r>
    </w:p>
    <w:p>
      <w:pPr>
        <w:ind w:left="113" w:hanging="113"/>
        <w:jc w:val="both"/>
      </w:pPr>
      <w:r>
        <w:rPr>
          <w:rFonts w:ascii="Arial" w:hAnsi="Arial"/>
          <w:b/>
          <w:i w:val="0"/>
          <w:sz w:val="21"/>
        </w:rPr>
        <w:t xml:space="preserve">18. Personal information. </w:t>
      </w:r>
      <w:r>
        <w:rPr>
          <w:rFonts w:ascii="Arial" w:hAnsi="Arial"/>
          <w:b w:val="0"/>
          <w:i w:val="0"/>
          <w:sz w:val="21"/>
        </w:rPr>
        <w:t>The Company may process employment-related personal data for lawful HR, payroll, compliance, safety and business purposes in accordance with applicable privacy requirements and published notices.</w:t>
      </w:r>
    </w:p>
    <w:p>
      <w:pPr>
        <w:pStyle w:val="Heading1"/>
        <w:keepNext/>
        <w:spacing w:before="160" w:after="80"/>
      </w:pPr>
      <w:r>
        <w:rPr>
          <w:rFonts w:ascii="Arial" w:hAnsi="Arial"/>
          <w:b/>
          <w:i w:val="0"/>
          <w:color w:val="18304B"/>
          <w:sz w:val="24"/>
        </w:rPr>
        <w:t>Disciplinary Process</w:t>
      </w:r>
    </w:p>
    <w:p>
      <w:pPr>
        <w:jc w:val="both"/>
      </w:pPr>
      <w:r>
        <w:rPr>
          <w:rFonts w:ascii="Arial" w:hAnsi="Arial"/>
          <w:b w:val="0"/>
          <w:i w:val="0"/>
          <w:sz w:val="21"/>
        </w:rPr>
        <w:t>Misconduct allegations will be handled according to applicable law, standing orders/service rules and principles of natural justice. Depending on severity, corrective or disciplinary action may include counselling, warning, suspension pending enquiry where lawful, or termination after the required process.</w:t>
      </w:r>
    </w:p>
    <w:p>
      <w:r>
        <w:br w:type="page"/>
      </w:r>
    </w:p>
    <w:p>
      <w:pPr>
        <w:pStyle w:val="Heading1"/>
        <w:keepNext/>
        <w:spacing w:before="160" w:after="80"/>
      </w:pPr>
      <w:r>
        <w:rPr>
          <w:rFonts w:ascii="Arial" w:hAnsi="Arial"/>
          <w:b/>
          <w:i w:val="0"/>
          <w:color w:val="18304B"/>
          <w:sz w:val="24"/>
        </w:rPr>
        <w:t>Compensation, Wages and Benefits</w:t>
      </w:r>
    </w:p>
    <w:p>
      <w:pPr>
        <w:jc w:val="both"/>
      </w:pPr>
      <w:r>
        <w:rPr>
          <w:rFonts w:ascii="Arial" w:hAnsi="Arial"/>
          <w:b w:val="0"/>
          <w:i w:val="0"/>
          <w:sz w:val="21"/>
        </w:rPr>
        <w:t>Your approved compensation is set out below and in Annexure A. Payroll values must remain consistent with the HRMS and applicable wage definitions.</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4734"/>
            <w:shd w:fill="18304B"/>
            <w:tcMar>
              <w:top w:w="90" w:type="dxa"/>
              <w:start w:w="110" w:type="dxa"/>
              <w:bottom w:w="90" w:type="dxa"/>
              <w:end w:w="110" w:type="dxa"/>
            </w:tcMar>
          </w:tcPr>
          <w:p>
            <w:r>
              <w:rPr>
                <w:rFonts w:ascii="Arial" w:hAnsi="Arial"/>
                <w:b/>
                <w:i w:val="0"/>
                <w:color w:val="FFFFFF"/>
                <w:sz w:val="19"/>
              </w:rPr>
              <w:t>Particular</w:t>
            </w:r>
          </w:p>
        </w:tc>
        <w:tc>
          <w:tcPr>
            <w:tcW w:type="dxa" w:w="4734"/>
            <w:shd w:fill="18304B"/>
            <w:tcMar>
              <w:top w:w="90" w:type="dxa"/>
              <w:start w:w="110" w:type="dxa"/>
              <w:bottom w:w="90" w:type="dxa"/>
              <w:end w:w="110" w:type="dxa"/>
            </w:tcMar>
          </w:tcPr>
          <w:p>
            <w:r>
              <w:rPr>
                <w:rFonts w:ascii="Arial" w:hAnsi="Arial"/>
                <w:b/>
                <w:i w:val="0"/>
                <w:color w:val="FFFFFF"/>
                <w:sz w:val="19"/>
              </w:rPr>
              <w:t>Details</w:t>
            </w:r>
          </w:p>
        </w:tc>
      </w:tr>
      <w:tr>
        <w:tc>
          <w:tcPr>
            <w:tcW w:type="dxa" w:w="4734"/>
            <w:tcMar>
              <w:top w:w="90" w:type="dxa"/>
              <w:start w:w="110" w:type="dxa"/>
              <w:bottom w:w="90" w:type="dxa"/>
              <w:end w:w="110" w:type="dxa"/>
            </w:tcMar>
            <w:vAlign w:val="center"/>
          </w:tcPr>
          <w:p>
            <w:r>
              <w:rPr>
                <w:rFonts w:ascii="Arial" w:hAnsi="Arial"/>
                <w:b/>
                <w:i w:val="0"/>
                <w:sz w:val="19"/>
              </w:rPr>
              <w:t>Wage period and payment</w:t>
            </w:r>
          </w:p>
        </w:tc>
        <w:tc>
          <w:tcPr>
            <w:tcW w:type="dxa" w:w="4734"/>
            <w:tcMar>
              <w:top w:w="90" w:type="dxa"/>
              <w:start w:w="110" w:type="dxa"/>
              <w:bottom w:w="90" w:type="dxa"/>
              <w:end w:w="110" w:type="dxa"/>
            </w:tcMar>
            <w:vAlign w:val="center"/>
          </w:tcPr>
          <w:p>
            <w:r>
              <w:rPr>
                <w:rFonts w:ascii="Arial" w:hAnsi="Arial"/>
                <w:b w:val="0"/>
                <w:i w:val="0"/>
                <w:sz w:val="19"/>
              </w:rPr>
              <w:t>{{wage_period}}; payable by {{salary_payment_timeline}}</w:t>
            </w:r>
          </w:p>
        </w:tc>
      </w:tr>
      <w:tr>
        <w:tc>
          <w:tcPr>
            <w:tcW w:type="dxa" w:w="4734"/>
            <w:tcMar>
              <w:top w:w="90" w:type="dxa"/>
              <w:start w:w="110" w:type="dxa"/>
              <w:bottom w:w="90" w:type="dxa"/>
              <w:end w:w="110" w:type="dxa"/>
            </w:tcMar>
            <w:vAlign w:val="center"/>
          </w:tcPr>
          <w:p>
            <w:r>
              <w:rPr>
                <w:rFonts w:ascii="Arial" w:hAnsi="Arial"/>
                <w:b/>
                <w:i w:val="0"/>
                <w:sz w:val="19"/>
              </w:rPr>
              <w:t>Basic wages</w:t>
            </w:r>
          </w:p>
        </w:tc>
        <w:tc>
          <w:tcPr>
            <w:tcW w:type="dxa" w:w="4734"/>
            <w:tcMar>
              <w:top w:w="90" w:type="dxa"/>
              <w:start w:w="110" w:type="dxa"/>
              <w:bottom w:w="90" w:type="dxa"/>
              <w:end w:w="110" w:type="dxa"/>
            </w:tcMar>
            <w:vAlign w:val="center"/>
          </w:tcPr>
          <w:p>
            <w:r>
              <w:rPr>
                <w:rFonts w:ascii="Arial" w:hAnsi="Arial"/>
                <w:b w:val="0"/>
                <w:i w:val="0"/>
                <w:sz w:val="19"/>
              </w:rPr>
              <w:t>₹{{monthly_basic}} per month</w:t>
            </w:r>
          </w:p>
        </w:tc>
      </w:tr>
      <w:tr>
        <w:tc>
          <w:tcPr>
            <w:tcW w:type="dxa" w:w="4734"/>
            <w:tcMar>
              <w:top w:w="90" w:type="dxa"/>
              <w:start w:w="110" w:type="dxa"/>
              <w:bottom w:w="90" w:type="dxa"/>
              <w:end w:w="110" w:type="dxa"/>
            </w:tcMar>
            <w:vAlign w:val="center"/>
          </w:tcPr>
          <w:p>
            <w:r>
              <w:rPr>
                <w:rFonts w:ascii="Arial" w:hAnsi="Arial"/>
                <w:b/>
                <w:i w:val="0"/>
                <w:sz w:val="19"/>
              </w:rPr>
              <w:t>Dearness allowance</w:t>
            </w:r>
          </w:p>
        </w:tc>
        <w:tc>
          <w:tcPr>
            <w:tcW w:type="dxa" w:w="4734"/>
            <w:tcMar>
              <w:top w:w="90" w:type="dxa"/>
              <w:start w:w="110" w:type="dxa"/>
              <w:bottom w:w="90" w:type="dxa"/>
              <w:end w:w="110" w:type="dxa"/>
            </w:tcMar>
            <w:vAlign w:val="center"/>
          </w:tcPr>
          <w:p>
            <w:r>
              <w:rPr>
                <w:rFonts w:ascii="Arial" w:hAnsi="Arial"/>
                <w:b w:val="0"/>
                <w:i w:val="0"/>
                <w:sz w:val="19"/>
              </w:rPr>
              <w:t>₹{{monthly_da}} per month, if applicable</w:t>
            </w:r>
          </w:p>
        </w:tc>
      </w:tr>
      <w:tr>
        <w:tc>
          <w:tcPr>
            <w:tcW w:type="dxa" w:w="4734"/>
            <w:tcMar>
              <w:top w:w="90" w:type="dxa"/>
              <w:start w:w="110" w:type="dxa"/>
              <w:bottom w:w="90" w:type="dxa"/>
              <w:end w:w="110" w:type="dxa"/>
            </w:tcMar>
            <w:vAlign w:val="center"/>
          </w:tcPr>
          <w:p>
            <w:r>
              <w:rPr>
                <w:rFonts w:ascii="Arial" w:hAnsi="Arial"/>
                <w:b/>
                <w:i w:val="0"/>
                <w:sz w:val="19"/>
              </w:rPr>
              <w:t>House rent allowance</w:t>
            </w:r>
          </w:p>
        </w:tc>
        <w:tc>
          <w:tcPr>
            <w:tcW w:type="dxa" w:w="4734"/>
            <w:tcMar>
              <w:top w:w="90" w:type="dxa"/>
              <w:start w:w="110" w:type="dxa"/>
              <w:bottom w:w="90" w:type="dxa"/>
              <w:end w:w="110" w:type="dxa"/>
            </w:tcMar>
            <w:vAlign w:val="center"/>
          </w:tcPr>
          <w:p>
            <w:r>
              <w:rPr>
                <w:rFonts w:ascii="Arial" w:hAnsi="Arial"/>
                <w:b w:val="0"/>
                <w:i w:val="0"/>
                <w:sz w:val="19"/>
              </w:rPr>
              <w:t>₹{{monthly_hra}} per month</w:t>
            </w:r>
          </w:p>
        </w:tc>
      </w:tr>
      <w:tr>
        <w:tc>
          <w:tcPr>
            <w:tcW w:type="dxa" w:w="4734"/>
            <w:tcMar>
              <w:top w:w="90" w:type="dxa"/>
              <w:start w:w="110" w:type="dxa"/>
              <w:bottom w:w="90" w:type="dxa"/>
              <w:end w:w="110" w:type="dxa"/>
            </w:tcMar>
            <w:vAlign w:val="center"/>
          </w:tcPr>
          <w:p>
            <w:r>
              <w:rPr>
                <w:rFonts w:ascii="Arial" w:hAnsi="Arial"/>
                <w:b/>
                <w:i w:val="0"/>
                <w:sz w:val="19"/>
              </w:rPr>
              <w:t>Other fixed allowance</w:t>
            </w:r>
          </w:p>
        </w:tc>
        <w:tc>
          <w:tcPr>
            <w:tcW w:type="dxa" w:w="4734"/>
            <w:tcMar>
              <w:top w:w="90" w:type="dxa"/>
              <w:start w:w="110" w:type="dxa"/>
              <w:bottom w:w="90" w:type="dxa"/>
              <w:end w:w="110" w:type="dxa"/>
            </w:tcMar>
            <w:vAlign w:val="center"/>
          </w:tcPr>
          <w:p>
            <w:r>
              <w:rPr>
                <w:rFonts w:ascii="Arial" w:hAnsi="Arial"/>
                <w:b w:val="0"/>
                <w:i w:val="0"/>
                <w:sz w:val="19"/>
              </w:rPr>
              <w:t>₹{{monthly_other_allowance}} per month</w:t>
            </w:r>
          </w:p>
        </w:tc>
      </w:tr>
      <w:tr>
        <w:tc>
          <w:tcPr>
            <w:tcW w:type="dxa" w:w="4734"/>
            <w:tcMar>
              <w:top w:w="90" w:type="dxa"/>
              <w:start w:w="110" w:type="dxa"/>
              <w:bottom w:w="90" w:type="dxa"/>
              <w:end w:w="110" w:type="dxa"/>
            </w:tcMar>
            <w:vAlign w:val="center"/>
          </w:tcPr>
          <w:p>
            <w:r>
              <w:rPr>
                <w:rFonts w:ascii="Arial" w:hAnsi="Arial"/>
                <w:b/>
                <w:i w:val="0"/>
                <w:sz w:val="19"/>
              </w:rPr>
              <w:t>Monthly gross wages / salary</w:t>
            </w:r>
          </w:p>
        </w:tc>
        <w:tc>
          <w:tcPr>
            <w:tcW w:type="dxa" w:w="4734"/>
            <w:tcMar>
              <w:top w:w="90" w:type="dxa"/>
              <w:start w:w="110" w:type="dxa"/>
              <w:bottom w:w="90" w:type="dxa"/>
              <w:end w:w="110" w:type="dxa"/>
            </w:tcMar>
            <w:vAlign w:val="center"/>
          </w:tcPr>
          <w:p>
            <w:r>
              <w:rPr>
                <w:rFonts w:ascii="Arial" w:hAnsi="Arial"/>
                <w:b w:val="0"/>
                <w:i w:val="0"/>
                <w:sz w:val="19"/>
              </w:rPr>
              <w:t>₹{{monthly_gross}}</w:t>
            </w:r>
          </w:p>
        </w:tc>
      </w:tr>
      <w:tr>
        <w:tc>
          <w:tcPr>
            <w:tcW w:type="dxa" w:w="4734"/>
            <w:tcMar>
              <w:top w:w="90" w:type="dxa"/>
              <w:start w:w="110" w:type="dxa"/>
              <w:bottom w:w="90" w:type="dxa"/>
              <w:end w:w="110" w:type="dxa"/>
            </w:tcMar>
            <w:vAlign w:val="center"/>
          </w:tcPr>
          <w:p>
            <w:r>
              <w:rPr>
                <w:rFonts w:ascii="Arial" w:hAnsi="Arial"/>
                <w:b/>
                <w:i w:val="0"/>
                <w:sz w:val="19"/>
              </w:rPr>
              <w:t>Annual fixed compensation</w:t>
            </w:r>
          </w:p>
        </w:tc>
        <w:tc>
          <w:tcPr>
            <w:tcW w:type="dxa" w:w="4734"/>
            <w:tcMar>
              <w:top w:w="90" w:type="dxa"/>
              <w:start w:w="110" w:type="dxa"/>
              <w:bottom w:w="90" w:type="dxa"/>
              <w:end w:w="110" w:type="dxa"/>
            </w:tcMar>
            <w:vAlign w:val="center"/>
          </w:tcPr>
          <w:p>
            <w:r>
              <w:rPr>
                <w:rFonts w:ascii="Arial" w:hAnsi="Arial"/>
                <w:b w:val="0"/>
                <w:i w:val="0"/>
                <w:sz w:val="19"/>
              </w:rPr>
              <w:t>₹{{annual_fixed}}</w:t>
            </w:r>
          </w:p>
        </w:tc>
      </w:tr>
      <w:tr>
        <w:tc>
          <w:tcPr>
            <w:tcW w:type="dxa" w:w="4734"/>
            <w:tcMar>
              <w:top w:w="90" w:type="dxa"/>
              <w:start w:w="110" w:type="dxa"/>
              <w:bottom w:w="90" w:type="dxa"/>
              <w:end w:w="110" w:type="dxa"/>
            </w:tcMar>
            <w:vAlign w:val="center"/>
          </w:tcPr>
          <w:p>
            <w:r>
              <w:rPr>
                <w:rFonts w:ascii="Arial" w:hAnsi="Arial"/>
                <w:b/>
                <w:i w:val="0"/>
                <w:sz w:val="19"/>
              </w:rPr>
              <w:t>Variable pay</w:t>
            </w:r>
          </w:p>
        </w:tc>
        <w:tc>
          <w:tcPr>
            <w:tcW w:type="dxa" w:w="4734"/>
            <w:tcMar>
              <w:top w:w="90" w:type="dxa"/>
              <w:start w:w="110" w:type="dxa"/>
              <w:bottom w:w="90" w:type="dxa"/>
              <w:end w:w="110" w:type="dxa"/>
            </w:tcMar>
            <w:vAlign w:val="center"/>
          </w:tcPr>
          <w:p>
            <w:r>
              <w:rPr>
                <w:rFonts w:ascii="Arial" w:hAnsi="Arial"/>
                <w:b w:val="0"/>
                <w:i w:val="0"/>
                <w:sz w:val="19"/>
              </w:rPr>
              <w:t>{{variable_pay_terms}}</w:t>
            </w:r>
          </w:p>
        </w:tc>
      </w:tr>
      <w:tr>
        <w:tc>
          <w:tcPr>
            <w:tcW w:type="dxa" w:w="4734"/>
            <w:tcMar>
              <w:top w:w="90" w:type="dxa"/>
              <w:start w:w="110" w:type="dxa"/>
              <w:bottom w:w="90" w:type="dxa"/>
              <w:end w:w="110" w:type="dxa"/>
            </w:tcMar>
            <w:vAlign w:val="center"/>
          </w:tcPr>
          <w:p>
            <w:r>
              <w:rPr>
                <w:rFonts w:ascii="Arial" w:hAnsi="Arial"/>
                <w:b/>
                <w:i w:val="0"/>
                <w:sz w:val="19"/>
              </w:rPr>
              <w:t>Annual CTC</w:t>
            </w:r>
          </w:p>
        </w:tc>
        <w:tc>
          <w:tcPr>
            <w:tcW w:type="dxa" w:w="4734"/>
            <w:tcMar>
              <w:top w:w="90" w:type="dxa"/>
              <w:start w:w="110" w:type="dxa"/>
              <w:bottom w:w="90" w:type="dxa"/>
              <w:end w:w="110" w:type="dxa"/>
            </w:tcMar>
            <w:vAlign w:val="center"/>
          </w:tcPr>
          <w:p>
            <w:r>
              <w:rPr>
                <w:rFonts w:ascii="Arial" w:hAnsi="Arial"/>
                <w:b w:val="0"/>
                <w:i w:val="0"/>
                <w:sz w:val="19"/>
              </w:rPr>
              <w:t>₹{{annual_ctc}}</w:t>
            </w:r>
          </w:p>
        </w:tc>
      </w:tr>
    </w:tbl>
    <w:p/>
    <w:p>
      <w:pPr>
        <w:ind w:left="113" w:hanging="113"/>
        <w:jc w:val="both"/>
      </w:pPr>
      <w:r>
        <w:rPr>
          <w:rFonts w:ascii="Arial" w:hAnsi="Arial"/>
          <w:b/>
          <w:i w:val="0"/>
          <w:sz w:val="21"/>
        </w:rPr>
        <w:t xml:space="preserve">19. Statutory deductions. </w:t>
      </w:r>
      <w:r>
        <w:rPr>
          <w:rFonts w:ascii="Arial" w:hAnsi="Arial"/>
          <w:b w:val="0"/>
          <w:i w:val="0"/>
          <w:sz w:val="21"/>
        </w:rPr>
        <w:t>Income tax, employee social-security contributions and other deductions will be made only as authorised by law or valid written authorisation.</w:t>
      </w:r>
    </w:p>
    <w:p>
      <w:pPr>
        <w:ind w:left="113" w:hanging="113"/>
        <w:jc w:val="both"/>
      </w:pPr>
      <w:r>
        <w:rPr>
          <w:rFonts w:ascii="Arial" w:hAnsi="Arial"/>
          <w:b/>
          <w:i w:val="0"/>
          <w:sz w:val="21"/>
        </w:rPr>
        <w:t xml:space="preserve">20. Minimum wages and wage structure. </w:t>
      </w:r>
      <w:r>
        <w:rPr>
          <w:rFonts w:ascii="Arial" w:hAnsi="Arial"/>
          <w:b w:val="0"/>
          <w:i w:val="0"/>
          <w:sz w:val="21"/>
        </w:rPr>
        <w:t>The Company will not pay below the applicable notified minimum wage. Components will be configured to comply with the applicable statutory definition of wages and contribution requirements.</w:t>
      </w:r>
    </w:p>
    <w:p>
      <w:pPr>
        <w:ind w:left="113" w:hanging="113"/>
        <w:jc w:val="both"/>
      </w:pPr>
      <w:r>
        <w:rPr>
          <w:rFonts w:ascii="Arial" w:hAnsi="Arial"/>
          <w:b/>
          <w:i w:val="0"/>
          <w:sz w:val="21"/>
        </w:rPr>
        <w:t xml:space="preserve">21. EPF and ESI. </w:t>
      </w:r>
      <w:r>
        <w:rPr>
          <w:rFonts w:ascii="Arial" w:hAnsi="Arial"/>
          <w:b w:val="0"/>
          <w:i w:val="0"/>
          <w:sz w:val="21"/>
        </w:rPr>
        <w:t>Employees’ Provident Fund and Employees’ State Insurance coverage and contributions will apply according to statutory coverage, eligibility, wage ceilings and notifications in force.</w:t>
      </w:r>
    </w:p>
    <w:p>
      <w:pPr>
        <w:ind w:left="113" w:hanging="113"/>
        <w:jc w:val="both"/>
      </w:pPr>
      <w:r>
        <w:rPr>
          <w:rFonts w:ascii="Arial" w:hAnsi="Arial"/>
          <w:b/>
          <w:i w:val="0"/>
          <w:sz w:val="21"/>
        </w:rPr>
        <w:t xml:space="preserve">22. Gratuity and bonus. </w:t>
      </w:r>
      <w:r>
        <w:rPr>
          <w:rFonts w:ascii="Arial" w:hAnsi="Arial"/>
          <w:b w:val="0"/>
          <w:i w:val="0"/>
          <w:sz w:val="21"/>
        </w:rPr>
        <w:t>Gratuity, statutory bonus and other terminal or social-security benefits will be governed by applicable law. No CTC presentation limits a statutory entitlement.</w:t>
      </w:r>
    </w:p>
    <w:p>
      <w:pPr>
        <w:ind w:left="113" w:hanging="113"/>
        <w:jc w:val="both"/>
      </w:pPr>
      <w:r>
        <w:rPr>
          <w:rFonts w:ascii="Arial" w:hAnsi="Arial"/>
          <w:b/>
          <w:i w:val="0"/>
          <w:sz w:val="21"/>
        </w:rPr>
        <w:t xml:space="preserve">23. Incentives. </w:t>
      </w:r>
      <w:r>
        <w:rPr>
          <w:rFonts w:ascii="Arial" w:hAnsi="Arial"/>
          <w:b w:val="0"/>
          <w:i w:val="0"/>
          <w:sz w:val="21"/>
        </w:rPr>
        <w:t>Any incentive or performance-linked payment is governed by the approved scheme, eligibility criteria and measurement period. An incentive is not guaranteed unless expressly stated in writing.</w:t>
      </w:r>
    </w:p>
    <w:p>
      <w:pPr>
        <w:ind w:left="113" w:hanging="113"/>
        <w:jc w:val="both"/>
      </w:pPr>
      <w:r>
        <w:rPr>
          <w:rFonts w:ascii="Arial" w:hAnsi="Arial"/>
          <w:b/>
          <w:i w:val="0"/>
          <w:sz w:val="21"/>
        </w:rPr>
        <w:t xml:space="preserve">24. Recovery of dues. </w:t>
      </w:r>
      <w:r>
        <w:rPr>
          <w:rFonts w:ascii="Arial" w:hAnsi="Arial"/>
          <w:b w:val="0"/>
          <w:i w:val="0"/>
          <w:sz w:val="21"/>
        </w:rPr>
        <w:t>The Company may recover only documented and legally recoverable amounts, following notice and applicable deduction limits. Statutory dues and earned wages may not be withheld merely because a clearance form is pending.</w:t>
      </w:r>
    </w:p>
    <w:p>
      <w:r>
        <w:br w:type="page"/>
      </w:r>
    </w:p>
    <w:p>
      <w:pPr>
        <w:pStyle w:val="Heading1"/>
        <w:keepNext/>
        <w:spacing w:before="160" w:after="80"/>
      </w:pPr>
      <w:r>
        <w:rPr>
          <w:rFonts w:ascii="Arial" w:hAnsi="Arial"/>
          <w:b/>
          <w:i w:val="0"/>
          <w:color w:val="18304B"/>
          <w:sz w:val="24"/>
        </w:rPr>
        <w:t>Confidentiality, Intellectual Property and Records</w:t>
      </w:r>
    </w:p>
    <w:p>
      <w:pPr>
        <w:ind w:left="113" w:hanging="113"/>
        <w:jc w:val="both"/>
      </w:pPr>
      <w:r>
        <w:rPr>
          <w:rFonts w:ascii="Arial" w:hAnsi="Arial"/>
          <w:b/>
          <w:i w:val="0"/>
          <w:sz w:val="21"/>
        </w:rPr>
        <w:t xml:space="preserve">25. Confidential information. </w:t>
      </w:r>
      <w:r>
        <w:rPr>
          <w:rFonts w:ascii="Arial" w:hAnsi="Arial"/>
          <w:b w:val="0"/>
          <w:i w:val="0"/>
          <w:sz w:val="21"/>
        </w:rPr>
        <w:t>During and after employment, you must not improperly use or disclose non-public commercial, customer, pricing, shipment, customs, financial, employee, security, technical or operational information obtained through your work.</w:t>
      </w:r>
    </w:p>
    <w:p>
      <w:pPr>
        <w:ind w:left="113" w:hanging="113"/>
        <w:jc w:val="both"/>
      </w:pPr>
      <w:r>
        <w:rPr>
          <w:rFonts w:ascii="Arial" w:hAnsi="Arial"/>
          <w:b/>
          <w:i w:val="0"/>
          <w:sz w:val="21"/>
        </w:rPr>
        <w:t xml:space="preserve">26. Permitted disclosure. </w:t>
      </w:r>
      <w:r>
        <w:rPr>
          <w:rFonts w:ascii="Arial" w:hAnsi="Arial"/>
          <w:b w:val="0"/>
          <w:i w:val="0"/>
          <w:sz w:val="21"/>
        </w:rPr>
        <w:t>Confidentiality does not prohibit a disclosure required by law, a protected complaint to a competent authority, reporting unlawful conduct, or use of information already lawfully public. Where legally permitted, you should notify the Company before compelled disclosure.</w:t>
      </w:r>
    </w:p>
    <w:p>
      <w:pPr>
        <w:ind w:left="113" w:hanging="113"/>
        <w:jc w:val="both"/>
      </w:pPr>
      <w:r>
        <w:rPr>
          <w:rFonts w:ascii="Arial" w:hAnsi="Arial"/>
          <w:b/>
          <w:i w:val="0"/>
          <w:sz w:val="21"/>
        </w:rPr>
        <w:t xml:space="preserve">27. Intellectual property. </w:t>
      </w:r>
      <w:r>
        <w:rPr>
          <w:rFonts w:ascii="Arial" w:hAnsi="Arial"/>
          <w:b w:val="0"/>
          <w:i w:val="0"/>
          <w:sz w:val="21"/>
        </w:rPr>
        <w:t>Work product, documents, processes, templates, databases, software, designs and materials created within the scope of employment or using Company resources will belong to the Company to the extent permitted by law. You agree to execute reasonable documents needed to evidence such ownership.</w:t>
      </w:r>
    </w:p>
    <w:p>
      <w:pPr>
        <w:ind w:left="113" w:hanging="113"/>
        <w:jc w:val="both"/>
      </w:pPr>
      <w:r>
        <w:rPr>
          <w:rFonts w:ascii="Arial" w:hAnsi="Arial"/>
          <w:b/>
          <w:i w:val="0"/>
          <w:sz w:val="21"/>
        </w:rPr>
        <w:t xml:space="preserve">28. Third-party rights. </w:t>
      </w:r>
      <w:r>
        <w:rPr>
          <w:rFonts w:ascii="Arial" w:hAnsi="Arial"/>
          <w:b w:val="0"/>
          <w:i w:val="0"/>
          <w:sz w:val="21"/>
        </w:rPr>
        <w:t>You must not bring, copy or use another employer’s or third party’s confidential material or unlicensed intellectual property. You must comply with software, document and data licences.</w:t>
      </w:r>
    </w:p>
    <w:p>
      <w:pPr>
        <w:ind w:left="113" w:hanging="113"/>
        <w:jc w:val="both"/>
      </w:pPr>
      <w:r>
        <w:rPr>
          <w:rFonts w:ascii="Arial" w:hAnsi="Arial"/>
          <w:b/>
          <w:i w:val="0"/>
          <w:sz w:val="21"/>
        </w:rPr>
        <w:t xml:space="preserve">29. Records and preservation. </w:t>
      </w:r>
      <w:r>
        <w:rPr>
          <w:rFonts w:ascii="Arial" w:hAnsi="Arial"/>
          <w:b w:val="0"/>
          <w:i w:val="0"/>
          <w:sz w:val="21"/>
        </w:rPr>
        <w:t>Business communications and records must be created and retained accurately in approved systems. Deletion, alteration, backdating or concealment of records contrary to policy or law is prohibited.</w:t>
      </w:r>
    </w:p>
    <w:p>
      <w:pPr>
        <w:ind w:left="113" w:hanging="113"/>
        <w:jc w:val="both"/>
      </w:pPr>
      <w:r>
        <w:rPr>
          <w:rFonts w:ascii="Arial" w:hAnsi="Arial"/>
          <w:b/>
          <w:i w:val="0"/>
          <w:sz w:val="21"/>
        </w:rPr>
        <w:t xml:space="preserve">30. Non-solicitation and protection of relationships. </w:t>
      </w:r>
      <w:r>
        <w:rPr>
          <w:rFonts w:ascii="Arial" w:hAnsi="Arial"/>
          <w:b w:val="0"/>
          <w:i w:val="0"/>
          <w:sz w:val="21"/>
        </w:rPr>
        <w:t>During employment and for {{non_solicitation_period}} after separation, you shall not, to the extent lawfully enforceable, misuse confidential information to solicit employees or customers with whom you had material dealings. This clause does not prevent lawful employment or competition and must be interpreted narrowly.</w:t>
      </w:r>
    </w:p>
    <w:p>
      <w:pPr>
        <w:ind w:left="113" w:hanging="113"/>
        <w:jc w:val="both"/>
      </w:pPr>
      <w:r>
        <w:rPr>
          <w:rFonts w:ascii="Arial" w:hAnsi="Arial"/>
          <w:b/>
          <w:i w:val="0"/>
          <w:sz w:val="21"/>
        </w:rPr>
        <w:t xml:space="preserve">31. Public statements. </w:t>
      </w:r>
      <w:r>
        <w:rPr>
          <w:rFonts w:ascii="Arial" w:hAnsi="Arial"/>
          <w:b w:val="0"/>
          <w:i w:val="0"/>
          <w:sz w:val="21"/>
        </w:rPr>
        <w:t>Only authorised persons may make statements on behalf of the Company. Personal lawful speech is not represented as a Company statement.</w:t>
      </w:r>
    </w:p>
    <w:p>
      <w:pPr>
        <w:ind w:left="113" w:hanging="113"/>
        <w:jc w:val="both"/>
      </w:pPr>
      <w:r>
        <w:rPr>
          <w:rFonts w:ascii="Arial" w:hAnsi="Arial"/>
          <w:b/>
          <w:i w:val="0"/>
          <w:sz w:val="21"/>
        </w:rPr>
        <w:t xml:space="preserve">32. Return and deletion. </w:t>
      </w:r>
      <w:r>
        <w:rPr>
          <w:rFonts w:ascii="Arial" w:hAnsi="Arial"/>
          <w:b w:val="0"/>
          <w:i w:val="0"/>
          <w:sz w:val="21"/>
        </w:rPr>
        <w:t>On request or separation, you must return Company property and confidential records and remove authorised Company data from personal storage, subject to lawful preservation obligations.</w:t>
      </w:r>
    </w:p>
    <w:p>
      <w:pPr>
        <w:pStyle w:val="Heading1"/>
        <w:keepNext/>
        <w:spacing w:before="160" w:after="80"/>
      </w:pPr>
      <w:r>
        <w:rPr>
          <w:rFonts w:ascii="Arial" w:hAnsi="Arial"/>
          <w:b/>
          <w:i w:val="0"/>
          <w:color w:val="18304B"/>
          <w:sz w:val="24"/>
        </w:rPr>
        <w:t>Verification and Declarations</w:t>
      </w:r>
    </w:p>
    <w:p>
      <w:pPr>
        <w:jc w:val="both"/>
      </w:pPr>
      <w:r>
        <w:rPr>
          <w:rFonts w:ascii="Arial" w:hAnsi="Arial"/>
          <w:b w:val="0"/>
          <w:i w:val="0"/>
          <w:sz w:val="21"/>
        </w:rPr>
        <w:t>You confirm that the information and documents submitted by you are genuine and that accepting this appointment does not breach a lawful obligation owed to another person. Any material discrepancy will be evaluated fairly and may lead to lawful corrective action.</w:t>
      </w:r>
    </w:p>
    <w:p>
      <w:r>
        <w:br w:type="page"/>
      </w:r>
    </w:p>
    <w:p>
      <w:pPr>
        <w:pStyle w:val="Heading1"/>
        <w:keepNext/>
        <w:spacing w:before="160" w:after="80"/>
      </w:pPr>
      <w:r>
        <w:rPr>
          <w:rFonts w:ascii="Arial" w:hAnsi="Arial"/>
          <w:b/>
          <w:i w:val="0"/>
          <w:color w:val="18304B"/>
          <w:sz w:val="24"/>
        </w:rPr>
        <w:t>Separation, Notice and General Terms</w:t>
      </w:r>
    </w:p>
    <w:p>
      <w:pPr>
        <w:ind w:left="113" w:hanging="113"/>
        <w:jc w:val="both"/>
      </w:pPr>
      <w:r>
        <w:rPr>
          <w:rFonts w:ascii="Arial" w:hAnsi="Arial"/>
          <w:b/>
          <w:i w:val="0"/>
          <w:sz w:val="21"/>
        </w:rPr>
        <w:t xml:space="preserve">33. Resignation. </w:t>
      </w:r>
      <w:r>
        <w:rPr>
          <w:rFonts w:ascii="Arial" w:hAnsi="Arial"/>
          <w:b w:val="0"/>
          <w:i w:val="0"/>
          <w:sz w:val="21"/>
        </w:rPr>
        <w:t>You may resign by giving {{notice_period}} written notice or such notice as required by applicable law and confirmed policy. Notice waiver, adjustment or payment in lieu requires authorised approval and will be handled lawfully.</w:t>
      </w:r>
    </w:p>
    <w:p>
      <w:pPr>
        <w:ind w:left="113" w:hanging="113"/>
        <w:jc w:val="both"/>
      </w:pPr>
      <w:r>
        <w:rPr>
          <w:rFonts w:ascii="Arial" w:hAnsi="Arial"/>
          <w:b/>
          <w:i w:val="0"/>
          <w:sz w:val="21"/>
        </w:rPr>
        <w:t xml:space="preserve">34. Company-initiated separation. </w:t>
      </w:r>
      <w:r>
        <w:rPr>
          <w:rFonts w:ascii="Arial" w:hAnsi="Arial"/>
          <w:b w:val="0"/>
          <w:i w:val="0"/>
          <w:sz w:val="21"/>
        </w:rPr>
        <w:t>The Company may terminate employment only on grounds and through notice, enquiry, retrenchment, redundancy, misconduct or other procedures required by the facts and applicable law. Nothing here creates an unrestricted right to terminate.</w:t>
      </w:r>
    </w:p>
    <w:p>
      <w:pPr>
        <w:ind w:left="113" w:hanging="113"/>
        <w:jc w:val="both"/>
      </w:pPr>
      <w:r>
        <w:rPr>
          <w:rFonts w:ascii="Arial" w:hAnsi="Arial"/>
          <w:b/>
          <w:i w:val="0"/>
          <w:sz w:val="21"/>
        </w:rPr>
        <w:t xml:space="preserve">35. Probationary separation. </w:t>
      </w:r>
      <w:r>
        <w:rPr>
          <w:rFonts w:ascii="Arial" w:hAnsi="Arial"/>
          <w:b w:val="0"/>
          <w:i w:val="0"/>
          <w:sz w:val="21"/>
        </w:rPr>
        <w:t>During probation, either party may end employment with {{probation_notice}} notice or pay in lieu where lawful, subject to statutory protections and any required process.</w:t>
      </w:r>
    </w:p>
    <w:p>
      <w:pPr>
        <w:ind w:left="113" w:hanging="113"/>
        <w:jc w:val="both"/>
      </w:pPr>
      <w:r>
        <w:rPr>
          <w:rFonts w:ascii="Arial" w:hAnsi="Arial"/>
          <w:b/>
          <w:i w:val="0"/>
          <w:sz w:val="21"/>
        </w:rPr>
        <w:t xml:space="preserve">36. Garden leave and duty during notice. </w:t>
      </w:r>
      <w:r>
        <w:rPr>
          <w:rFonts w:ascii="Arial" w:hAnsi="Arial"/>
          <w:b w:val="0"/>
          <w:i w:val="0"/>
          <w:sz w:val="21"/>
        </w:rPr>
        <w:t>Where lawful and reasonably necessary, the Company may require you not to attend the workplace or contact specified business relationships during part of the notice period while continuing applicable pay and benefits.</w:t>
      </w:r>
    </w:p>
    <w:p>
      <w:pPr>
        <w:ind w:left="113" w:hanging="113"/>
        <w:jc w:val="both"/>
      </w:pPr>
      <w:r>
        <w:rPr>
          <w:rFonts w:ascii="Arial" w:hAnsi="Arial"/>
          <w:b/>
          <w:i w:val="0"/>
          <w:sz w:val="21"/>
        </w:rPr>
        <w:t xml:space="preserve">37. Final settlement. </w:t>
      </w:r>
      <w:r>
        <w:rPr>
          <w:rFonts w:ascii="Arial" w:hAnsi="Arial"/>
          <w:b w:val="0"/>
          <w:i w:val="0"/>
          <w:sz w:val="21"/>
        </w:rPr>
        <w:t>Earned wages and statutory dues will be paid within the legally required timeline. Other verified amounts, reimbursements, leave encashment and lawful recoveries will be processed through the full-and-final settlement.</w:t>
      </w:r>
    </w:p>
    <w:p>
      <w:pPr>
        <w:ind w:left="113" w:hanging="113"/>
        <w:jc w:val="both"/>
      </w:pPr>
      <w:r>
        <w:rPr>
          <w:rFonts w:ascii="Arial" w:hAnsi="Arial"/>
          <w:b/>
          <w:i w:val="0"/>
          <w:sz w:val="21"/>
        </w:rPr>
        <w:t xml:space="preserve">38. Relieving and experience documents. </w:t>
      </w:r>
      <w:r>
        <w:rPr>
          <w:rFonts w:ascii="Arial" w:hAnsi="Arial"/>
          <w:b w:val="0"/>
          <w:i w:val="0"/>
          <w:sz w:val="21"/>
        </w:rPr>
        <w:t>Subject to verified separation records, the Company will issue applicable service documents stating factual employment details. Such documents will not be unreasonably withheld to compel waiver of statutory dues.</w:t>
      </w:r>
    </w:p>
    <w:p>
      <w:pPr>
        <w:ind w:left="113" w:hanging="113"/>
        <w:jc w:val="both"/>
      </w:pPr>
      <w:r>
        <w:rPr>
          <w:rFonts w:ascii="Arial" w:hAnsi="Arial"/>
          <w:b/>
          <w:i w:val="0"/>
          <w:sz w:val="21"/>
        </w:rPr>
        <w:t xml:space="preserve">39. Notices. </w:t>
      </w:r>
      <w:r>
        <w:rPr>
          <w:rFonts w:ascii="Arial" w:hAnsi="Arial"/>
          <w:b w:val="0"/>
          <w:i w:val="0"/>
          <w:sz w:val="21"/>
        </w:rPr>
        <w:t>Employment notices may be delivered through HRMS, registered email, recorded physical delivery or another approved method. You must keep your contact details updated.</w:t>
      </w:r>
    </w:p>
    <w:p>
      <w:pPr>
        <w:ind w:left="113" w:hanging="113"/>
        <w:jc w:val="both"/>
      </w:pPr>
      <w:r>
        <w:rPr>
          <w:rFonts w:ascii="Arial" w:hAnsi="Arial"/>
          <w:b/>
          <w:i w:val="0"/>
          <w:sz w:val="21"/>
        </w:rPr>
        <w:t xml:space="preserve">40. Policies and amendments. </w:t>
      </w:r>
      <w:r>
        <w:rPr>
          <w:rFonts w:ascii="Arial" w:hAnsi="Arial"/>
          <w:b w:val="0"/>
          <w:i w:val="0"/>
          <w:sz w:val="21"/>
        </w:rPr>
        <w:t>Lawful policies may be updated for operational or legal requirements. A policy update will not retrospectively remove an accrued statutory right or unilaterally alter a fundamental contractual term contrary to law.</w:t>
      </w:r>
    </w:p>
    <w:p>
      <w:pPr>
        <w:ind w:left="113" w:hanging="113"/>
        <w:jc w:val="both"/>
      </w:pPr>
      <w:r>
        <w:rPr>
          <w:rFonts w:ascii="Arial" w:hAnsi="Arial"/>
          <w:b/>
          <w:i w:val="0"/>
          <w:sz w:val="21"/>
        </w:rPr>
        <w:t xml:space="preserve">41. Severability. </w:t>
      </w:r>
      <w:r>
        <w:rPr>
          <w:rFonts w:ascii="Arial" w:hAnsi="Arial"/>
          <w:b w:val="0"/>
          <w:i w:val="0"/>
          <w:sz w:val="21"/>
        </w:rPr>
        <w:t>If a provision is invalid or unenforceable, it will be restricted to the lawful extent, and the remaining provisions will continue.</w:t>
      </w:r>
    </w:p>
    <w:p>
      <w:pPr>
        <w:ind w:left="113" w:hanging="113"/>
        <w:jc w:val="both"/>
      </w:pPr>
      <w:r>
        <w:rPr>
          <w:rFonts w:ascii="Arial" w:hAnsi="Arial"/>
          <w:b/>
          <w:i w:val="0"/>
          <w:sz w:val="21"/>
        </w:rPr>
        <w:t xml:space="preserve">42. Governing law and jurisdiction. </w:t>
      </w:r>
      <w:r>
        <w:rPr>
          <w:rFonts w:ascii="Arial" w:hAnsi="Arial"/>
          <w:b w:val="0"/>
          <w:i w:val="0"/>
          <w:sz w:val="21"/>
        </w:rPr>
        <w:t>This appointment is governed by Indian law. Subject to mandatory labour forums and statutory jurisdiction, disputes will be handled by the competent courts or authorities at {{jurisdiction}}.</w:t>
      </w:r>
    </w:p>
    <w:p>
      <w:pPr>
        <w:ind w:left="113" w:hanging="113"/>
        <w:jc w:val="both"/>
      </w:pPr>
      <w:r>
        <w:rPr>
          <w:rFonts w:ascii="Arial" w:hAnsi="Arial"/>
          <w:b/>
          <w:i w:val="0"/>
          <w:sz w:val="21"/>
        </w:rPr>
        <w:t xml:space="preserve">43. Entire terms. </w:t>
      </w:r>
      <w:r>
        <w:rPr>
          <w:rFonts w:ascii="Arial" w:hAnsi="Arial"/>
          <w:b w:val="0"/>
          <w:i w:val="0"/>
          <w:sz w:val="21"/>
        </w:rPr>
        <w:t>This letter and its referenced annexures supersede prior discussions concerning these employment terms. A change must be recorded and approved in writing, except lawful policy updates within their proper scope.</w:t>
      </w:r>
    </w:p>
    <w:p>
      <w:r>
        <w:br w:type="page"/>
      </w:r>
    </w:p>
    <w:p>
      <w:pPr>
        <w:pStyle w:val="Heading1"/>
        <w:keepNext/>
        <w:spacing w:before="160" w:after="80"/>
      </w:pPr>
      <w:r>
        <w:rPr>
          <w:rFonts w:ascii="Arial" w:hAnsi="Arial"/>
          <w:b/>
          <w:i w:val="0"/>
          <w:color w:val="18304B"/>
          <w:sz w:val="24"/>
        </w:rPr>
        <w:t>Annexure A: Compensation Structure</w:t>
      </w:r>
    </w:p>
    <w:tbl>
      <w:tblPr>
        <w:tblStyle w:val="TableGrid"/>
        <w:tblW w:type="auto" w:w="0"/>
        <w:jc w:val="center"/>
        <w:tblLayout w:type="fixed"/>
        <w:tblLook w:firstColumn="1" w:firstRow="1" w:lastColumn="0" w:lastRow="0" w:noHBand="0" w:noVBand="1" w:val="04A0"/>
      </w:tblPr>
      <w:tblGrid>
        <w:gridCol w:w="4734"/>
        <w:gridCol w:w="4734"/>
      </w:tblGrid>
      <w:tr>
        <w:trPr>
          <w:tblHeader w:val="true"/>
        </w:trPr>
        <w:tc>
          <w:tcPr>
            <w:tcW w:type="dxa" w:w="4734"/>
            <w:shd w:fill="18304B"/>
            <w:tcMar>
              <w:top w:w="90" w:type="dxa"/>
              <w:start w:w="110" w:type="dxa"/>
              <w:bottom w:w="90" w:type="dxa"/>
              <w:end w:w="110" w:type="dxa"/>
            </w:tcMar>
          </w:tcPr>
          <w:p>
            <w:r>
              <w:rPr>
                <w:rFonts w:ascii="Arial" w:hAnsi="Arial"/>
                <w:b/>
                <w:i w:val="0"/>
                <w:color w:val="FFFFFF"/>
                <w:sz w:val="19"/>
              </w:rPr>
              <w:t>Particular</w:t>
            </w:r>
          </w:p>
        </w:tc>
        <w:tc>
          <w:tcPr>
            <w:tcW w:type="dxa" w:w="4734"/>
            <w:shd w:fill="18304B"/>
            <w:tcMar>
              <w:top w:w="90" w:type="dxa"/>
              <w:start w:w="110" w:type="dxa"/>
              <w:bottom w:w="90" w:type="dxa"/>
              <w:end w:w="110" w:type="dxa"/>
            </w:tcMar>
          </w:tcPr>
          <w:p>
            <w:r>
              <w:rPr>
                <w:rFonts w:ascii="Arial" w:hAnsi="Arial"/>
                <w:b/>
                <w:i w:val="0"/>
                <w:color w:val="FFFFFF"/>
                <w:sz w:val="19"/>
              </w:rPr>
              <w:t>Details</w:t>
            </w:r>
          </w:p>
        </w:tc>
      </w:tr>
      <w:tr>
        <w:tc>
          <w:tcPr>
            <w:tcW w:type="dxa" w:w="4734"/>
            <w:tcMar>
              <w:top w:w="90" w:type="dxa"/>
              <w:start w:w="110" w:type="dxa"/>
              <w:bottom w:w="90" w:type="dxa"/>
              <w:end w:w="110" w:type="dxa"/>
            </w:tcMar>
            <w:vAlign w:val="center"/>
          </w:tcPr>
          <w:p>
            <w:r>
              <w:rPr>
                <w:rFonts w:ascii="Arial" w:hAnsi="Arial"/>
                <w:b/>
                <w:i w:val="0"/>
                <w:sz w:val="19"/>
              </w:rPr>
              <w:t>Basic wages</w:t>
            </w:r>
          </w:p>
        </w:tc>
        <w:tc>
          <w:tcPr>
            <w:tcW w:type="dxa" w:w="4734"/>
            <w:tcMar>
              <w:top w:w="90" w:type="dxa"/>
              <w:start w:w="110" w:type="dxa"/>
              <w:bottom w:w="90" w:type="dxa"/>
              <w:end w:w="110" w:type="dxa"/>
            </w:tcMar>
            <w:vAlign w:val="center"/>
          </w:tcPr>
          <w:p>
            <w:r>
              <w:rPr>
                <w:rFonts w:ascii="Arial" w:hAnsi="Arial"/>
                <w:b w:val="0"/>
                <w:i w:val="0"/>
                <w:sz w:val="19"/>
              </w:rPr>
              <w:t>₹{{monthly_basic}} monthly | ₹{{annual_basic}} annually</w:t>
            </w:r>
          </w:p>
        </w:tc>
      </w:tr>
      <w:tr>
        <w:tc>
          <w:tcPr>
            <w:tcW w:type="dxa" w:w="4734"/>
            <w:tcMar>
              <w:top w:w="90" w:type="dxa"/>
              <w:start w:w="110" w:type="dxa"/>
              <w:bottom w:w="90" w:type="dxa"/>
              <w:end w:w="110" w:type="dxa"/>
            </w:tcMar>
            <w:vAlign w:val="center"/>
          </w:tcPr>
          <w:p>
            <w:r>
              <w:rPr>
                <w:rFonts w:ascii="Arial" w:hAnsi="Arial"/>
                <w:b/>
                <w:i w:val="0"/>
                <w:sz w:val="19"/>
              </w:rPr>
              <w:t>Dearness allowance</w:t>
            </w:r>
          </w:p>
        </w:tc>
        <w:tc>
          <w:tcPr>
            <w:tcW w:type="dxa" w:w="4734"/>
            <w:tcMar>
              <w:top w:w="90" w:type="dxa"/>
              <w:start w:w="110" w:type="dxa"/>
              <w:bottom w:w="90" w:type="dxa"/>
              <w:end w:w="110" w:type="dxa"/>
            </w:tcMar>
            <w:vAlign w:val="center"/>
          </w:tcPr>
          <w:p>
            <w:r>
              <w:rPr>
                <w:rFonts w:ascii="Arial" w:hAnsi="Arial"/>
                <w:b w:val="0"/>
                <w:i w:val="0"/>
                <w:sz w:val="19"/>
              </w:rPr>
              <w:t>₹{{monthly_da}} | ₹{{annual_da}}</w:t>
            </w:r>
          </w:p>
        </w:tc>
      </w:tr>
      <w:tr>
        <w:tc>
          <w:tcPr>
            <w:tcW w:type="dxa" w:w="4734"/>
            <w:tcMar>
              <w:top w:w="90" w:type="dxa"/>
              <w:start w:w="110" w:type="dxa"/>
              <w:bottom w:w="90" w:type="dxa"/>
              <w:end w:w="110" w:type="dxa"/>
            </w:tcMar>
            <w:vAlign w:val="center"/>
          </w:tcPr>
          <w:p>
            <w:r>
              <w:rPr>
                <w:rFonts w:ascii="Arial" w:hAnsi="Arial"/>
                <w:b/>
                <w:i w:val="0"/>
                <w:sz w:val="19"/>
              </w:rPr>
              <w:t>House rent allowance</w:t>
            </w:r>
          </w:p>
        </w:tc>
        <w:tc>
          <w:tcPr>
            <w:tcW w:type="dxa" w:w="4734"/>
            <w:tcMar>
              <w:top w:w="90" w:type="dxa"/>
              <w:start w:w="110" w:type="dxa"/>
              <w:bottom w:w="90" w:type="dxa"/>
              <w:end w:w="110" w:type="dxa"/>
            </w:tcMar>
            <w:vAlign w:val="center"/>
          </w:tcPr>
          <w:p>
            <w:r>
              <w:rPr>
                <w:rFonts w:ascii="Arial" w:hAnsi="Arial"/>
                <w:b w:val="0"/>
                <w:i w:val="0"/>
                <w:sz w:val="19"/>
              </w:rPr>
              <w:t>₹{{monthly_hra}} | ₹{{annual_hra}}</w:t>
            </w:r>
          </w:p>
        </w:tc>
      </w:tr>
      <w:tr>
        <w:tc>
          <w:tcPr>
            <w:tcW w:type="dxa" w:w="4734"/>
            <w:tcMar>
              <w:top w:w="90" w:type="dxa"/>
              <w:start w:w="110" w:type="dxa"/>
              <w:bottom w:w="90" w:type="dxa"/>
              <w:end w:w="110" w:type="dxa"/>
            </w:tcMar>
            <w:vAlign w:val="center"/>
          </w:tcPr>
          <w:p>
            <w:r>
              <w:rPr>
                <w:rFonts w:ascii="Arial" w:hAnsi="Arial"/>
                <w:b/>
                <w:i w:val="0"/>
                <w:sz w:val="19"/>
              </w:rPr>
              <w:t>Conveyance / other allowance</w:t>
            </w:r>
          </w:p>
        </w:tc>
        <w:tc>
          <w:tcPr>
            <w:tcW w:type="dxa" w:w="4734"/>
            <w:tcMar>
              <w:top w:w="90" w:type="dxa"/>
              <w:start w:w="110" w:type="dxa"/>
              <w:bottom w:w="90" w:type="dxa"/>
              <w:end w:w="110" w:type="dxa"/>
            </w:tcMar>
            <w:vAlign w:val="center"/>
          </w:tcPr>
          <w:p>
            <w:r>
              <w:rPr>
                <w:rFonts w:ascii="Arial" w:hAnsi="Arial"/>
                <w:b w:val="0"/>
                <w:i w:val="0"/>
                <w:sz w:val="19"/>
              </w:rPr>
              <w:t>₹{{monthly_other_allowance}} | ₹{{annual_other_allowance}}</w:t>
            </w:r>
          </w:p>
        </w:tc>
      </w:tr>
      <w:tr>
        <w:tc>
          <w:tcPr>
            <w:tcW w:type="dxa" w:w="4734"/>
            <w:tcMar>
              <w:top w:w="90" w:type="dxa"/>
              <w:start w:w="110" w:type="dxa"/>
              <w:bottom w:w="90" w:type="dxa"/>
              <w:end w:w="110" w:type="dxa"/>
            </w:tcMar>
            <w:vAlign w:val="center"/>
          </w:tcPr>
          <w:p>
            <w:r>
              <w:rPr>
                <w:rFonts w:ascii="Arial" w:hAnsi="Arial"/>
                <w:b/>
                <w:i w:val="0"/>
                <w:sz w:val="19"/>
              </w:rPr>
              <w:t>Monthly gross</w:t>
            </w:r>
          </w:p>
        </w:tc>
        <w:tc>
          <w:tcPr>
            <w:tcW w:type="dxa" w:w="4734"/>
            <w:tcMar>
              <w:top w:w="90" w:type="dxa"/>
              <w:start w:w="110" w:type="dxa"/>
              <w:bottom w:w="90" w:type="dxa"/>
              <w:end w:w="110" w:type="dxa"/>
            </w:tcMar>
            <w:vAlign w:val="center"/>
          </w:tcPr>
          <w:p>
            <w:r>
              <w:rPr>
                <w:rFonts w:ascii="Arial" w:hAnsi="Arial"/>
                <w:b w:val="0"/>
                <w:i w:val="0"/>
                <w:sz w:val="19"/>
              </w:rPr>
              <w:t>₹{{monthly_gross}}</w:t>
            </w:r>
          </w:p>
        </w:tc>
      </w:tr>
      <w:tr>
        <w:tc>
          <w:tcPr>
            <w:tcW w:type="dxa" w:w="4734"/>
            <w:tcMar>
              <w:top w:w="90" w:type="dxa"/>
              <w:start w:w="110" w:type="dxa"/>
              <w:bottom w:w="90" w:type="dxa"/>
              <w:end w:w="110" w:type="dxa"/>
            </w:tcMar>
            <w:vAlign w:val="center"/>
          </w:tcPr>
          <w:p>
            <w:r>
              <w:rPr>
                <w:rFonts w:ascii="Arial" w:hAnsi="Arial"/>
                <w:b/>
                <w:i w:val="0"/>
                <w:sz w:val="19"/>
              </w:rPr>
              <w:t>Annual gross</w:t>
            </w:r>
          </w:p>
        </w:tc>
        <w:tc>
          <w:tcPr>
            <w:tcW w:type="dxa" w:w="4734"/>
            <w:tcMar>
              <w:top w:w="90" w:type="dxa"/>
              <w:start w:w="110" w:type="dxa"/>
              <w:bottom w:w="90" w:type="dxa"/>
              <w:end w:w="110" w:type="dxa"/>
            </w:tcMar>
            <w:vAlign w:val="center"/>
          </w:tcPr>
          <w:p>
            <w:r>
              <w:rPr>
                <w:rFonts w:ascii="Arial" w:hAnsi="Arial"/>
                <w:b w:val="0"/>
                <w:i w:val="0"/>
                <w:sz w:val="19"/>
              </w:rPr>
              <w:t>₹{{annual_gross}}</w:t>
            </w:r>
          </w:p>
        </w:tc>
      </w:tr>
      <w:tr>
        <w:tc>
          <w:tcPr>
            <w:tcW w:type="dxa" w:w="4734"/>
            <w:tcMar>
              <w:top w:w="90" w:type="dxa"/>
              <w:start w:w="110" w:type="dxa"/>
              <w:bottom w:w="90" w:type="dxa"/>
              <w:end w:w="110" w:type="dxa"/>
            </w:tcMar>
            <w:vAlign w:val="center"/>
          </w:tcPr>
          <w:p>
            <w:r>
              <w:rPr>
                <w:rFonts w:ascii="Arial" w:hAnsi="Arial"/>
                <w:b/>
                <w:i w:val="0"/>
                <w:sz w:val="19"/>
              </w:rPr>
              <w:t>Employer PF / ESI contribution</w:t>
            </w:r>
          </w:p>
        </w:tc>
        <w:tc>
          <w:tcPr>
            <w:tcW w:type="dxa" w:w="4734"/>
            <w:tcMar>
              <w:top w:w="90" w:type="dxa"/>
              <w:start w:w="110" w:type="dxa"/>
              <w:bottom w:w="90" w:type="dxa"/>
              <w:end w:w="110" w:type="dxa"/>
            </w:tcMar>
            <w:vAlign w:val="center"/>
          </w:tcPr>
          <w:p>
            <w:r>
              <w:rPr>
                <w:rFonts w:ascii="Arial" w:hAnsi="Arial"/>
                <w:b w:val="0"/>
                <w:i w:val="0"/>
                <w:sz w:val="19"/>
              </w:rPr>
              <w:t>₹{{employer_social_security_contribution}}</w:t>
            </w:r>
          </w:p>
        </w:tc>
      </w:tr>
      <w:tr>
        <w:tc>
          <w:tcPr>
            <w:tcW w:type="dxa" w:w="4734"/>
            <w:tcMar>
              <w:top w:w="90" w:type="dxa"/>
              <w:start w:w="110" w:type="dxa"/>
              <w:bottom w:w="90" w:type="dxa"/>
              <w:end w:w="110" w:type="dxa"/>
            </w:tcMar>
            <w:vAlign w:val="center"/>
          </w:tcPr>
          <w:p>
            <w:r>
              <w:rPr>
                <w:rFonts w:ascii="Arial" w:hAnsi="Arial"/>
                <w:b/>
                <w:i w:val="0"/>
                <w:sz w:val="19"/>
              </w:rPr>
              <w:t>Gratuity provision, if shown in CTC</w:t>
            </w:r>
          </w:p>
        </w:tc>
        <w:tc>
          <w:tcPr>
            <w:tcW w:type="dxa" w:w="4734"/>
            <w:tcMar>
              <w:top w:w="90" w:type="dxa"/>
              <w:start w:w="110" w:type="dxa"/>
              <w:bottom w:w="90" w:type="dxa"/>
              <w:end w:w="110" w:type="dxa"/>
            </w:tcMar>
            <w:vAlign w:val="center"/>
          </w:tcPr>
          <w:p>
            <w:r>
              <w:rPr>
                <w:rFonts w:ascii="Arial" w:hAnsi="Arial"/>
                <w:b w:val="0"/>
                <w:i w:val="0"/>
                <w:sz w:val="19"/>
              </w:rPr>
              <w:t>₹{{gratuity_ctc_provision}}; actual entitlement is statutory</w:t>
            </w:r>
          </w:p>
        </w:tc>
      </w:tr>
      <w:tr>
        <w:tc>
          <w:tcPr>
            <w:tcW w:type="dxa" w:w="4734"/>
            <w:tcMar>
              <w:top w:w="90" w:type="dxa"/>
              <w:start w:w="110" w:type="dxa"/>
              <w:bottom w:w="90" w:type="dxa"/>
              <w:end w:w="110" w:type="dxa"/>
            </w:tcMar>
            <w:vAlign w:val="center"/>
          </w:tcPr>
          <w:p>
            <w:r>
              <w:rPr>
                <w:rFonts w:ascii="Arial" w:hAnsi="Arial"/>
                <w:b/>
                <w:i w:val="0"/>
                <w:sz w:val="19"/>
              </w:rPr>
              <w:t>Variable pay</w:t>
            </w:r>
          </w:p>
        </w:tc>
        <w:tc>
          <w:tcPr>
            <w:tcW w:type="dxa" w:w="4734"/>
            <w:tcMar>
              <w:top w:w="90" w:type="dxa"/>
              <w:start w:w="110" w:type="dxa"/>
              <w:bottom w:w="90" w:type="dxa"/>
              <w:end w:w="110" w:type="dxa"/>
            </w:tcMar>
            <w:vAlign w:val="center"/>
          </w:tcPr>
          <w:p>
            <w:r>
              <w:rPr>
                <w:rFonts w:ascii="Arial" w:hAnsi="Arial"/>
                <w:b w:val="0"/>
                <w:i w:val="0"/>
                <w:sz w:val="19"/>
              </w:rPr>
              <w:t>₹{{annual_variable_pay}} subject to scheme</w:t>
            </w:r>
          </w:p>
        </w:tc>
      </w:tr>
      <w:tr>
        <w:tc>
          <w:tcPr>
            <w:tcW w:type="dxa" w:w="4734"/>
            <w:tcMar>
              <w:top w:w="90" w:type="dxa"/>
              <w:start w:w="110" w:type="dxa"/>
              <w:bottom w:w="90" w:type="dxa"/>
              <w:end w:w="110" w:type="dxa"/>
            </w:tcMar>
            <w:vAlign w:val="center"/>
          </w:tcPr>
          <w:p>
            <w:r>
              <w:rPr>
                <w:rFonts w:ascii="Arial" w:hAnsi="Arial"/>
                <w:b/>
                <w:i w:val="0"/>
                <w:sz w:val="19"/>
              </w:rPr>
              <w:t>Total annual CTC</w:t>
            </w:r>
          </w:p>
        </w:tc>
        <w:tc>
          <w:tcPr>
            <w:tcW w:type="dxa" w:w="4734"/>
            <w:tcMar>
              <w:top w:w="90" w:type="dxa"/>
              <w:start w:w="110" w:type="dxa"/>
              <w:bottom w:w="90" w:type="dxa"/>
              <w:end w:w="110" w:type="dxa"/>
            </w:tcMar>
            <w:vAlign w:val="center"/>
          </w:tcPr>
          <w:p>
            <w:r>
              <w:rPr>
                <w:rFonts w:ascii="Arial" w:hAnsi="Arial"/>
                <w:b w:val="0"/>
                <w:i w:val="0"/>
                <w:sz w:val="19"/>
              </w:rPr>
              <w:t>₹{{annual_ctc}}</w:t>
            </w:r>
          </w:p>
        </w:tc>
      </w:tr>
    </w:tbl>
    <w:p/>
    <w:p>
      <w:pPr>
        <w:pStyle w:val="Heading1"/>
        <w:keepNext/>
        <w:spacing w:before="160" w:after="80"/>
      </w:pPr>
      <w:r>
        <w:rPr>
          <w:rFonts w:ascii="Arial" w:hAnsi="Arial"/>
          <w:b/>
          <w:i w:val="0"/>
          <w:color w:val="18304B"/>
          <w:sz w:val="24"/>
        </w:rPr>
        <w:t>Annexure B: Broad Nature of Duties</w:t>
      </w:r>
    </w:p>
    <w:p>
      <w:pPr>
        <w:pStyle w:val="ListBullet"/>
        <w:ind w:left="397" w:hanging="198"/>
        <w:jc w:val="both"/>
      </w:pPr>
      <w:r>
        <w:rPr>
          <w:rFonts w:ascii="Arial" w:hAnsi="Arial"/>
          <w:b w:val="0"/>
          <w:i w:val="0"/>
          <w:sz w:val="21"/>
        </w:rPr>
        <w:t>{{primary_duty_1}}</w:t>
      </w:r>
    </w:p>
    <w:p>
      <w:pPr>
        <w:pStyle w:val="ListBullet"/>
        <w:ind w:left="397" w:hanging="198"/>
        <w:jc w:val="both"/>
      </w:pPr>
      <w:r>
        <w:rPr>
          <w:rFonts w:ascii="Arial" w:hAnsi="Arial"/>
          <w:b w:val="0"/>
          <w:i w:val="0"/>
          <w:sz w:val="21"/>
        </w:rPr>
        <w:t>{{primary_duty_2}}</w:t>
      </w:r>
    </w:p>
    <w:p>
      <w:pPr>
        <w:pStyle w:val="ListBullet"/>
        <w:ind w:left="397" w:hanging="198"/>
        <w:jc w:val="both"/>
      </w:pPr>
      <w:r>
        <w:rPr>
          <w:rFonts w:ascii="Arial" w:hAnsi="Arial"/>
          <w:b w:val="0"/>
          <w:i w:val="0"/>
          <w:sz w:val="21"/>
        </w:rPr>
        <w:t>{{primary_duty_3}}</w:t>
      </w:r>
    </w:p>
    <w:p>
      <w:pPr>
        <w:pStyle w:val="ListBullet"/>
        <w:ind w:left="397" w:hanging="198"/>
        <w:jc w:val="both"/>
      </w:pPr>
      <w:r>
        <w:rPr>
          <w:rFonts w:ascii="Arial" w:hAnsi="Arial"/>
          <w:b w:val="0"/>
          <w:i w:val="0"/>
          <w:sz w:val="21"/>
        </w:rPr>
        <w:t>Maintain accurate operational records and protect customer and Company information.</w:t>
      </w:r>
    </w:p>
    <w:p>
      <w:pPr>
        <w:pStyle w:val="ListBullet"/>
        <w:ind w:left="397" w:hanging="198"/>
        <w:jc w:val="both"/>
      </w:pPr>
      <w:r>
        <w:rPr>
          <w:rFonts w:ascii="Arial" w:hAnsi="Arial"/>
          <w:b w:val="0"/>
          <w:i w:val="0"/>
          <w:sz w:val="21"/>
        </w:rPr>
        <w:t>Perform other reasonable and lawful duties related to the position.</w:t>
      </w:r>
    </w:p>
    <w:p>
      <w:pPr>
        <w:pStyle w:val="Heading1"/>
        <w:keepNext/>
        <w:spacing w:before="160" w:after="80"/>
      </w:pPr>
      <w:r>
        <w:rPr>
          <w:rFonts w:ascii="Arial" w:hAnsi="Arial"/>
          <w:b/>
          <w:i w:val="0"/>
          <w:color w:val="18304B"/>
          <w:sz w:val="24"/>
        </w:rPr>
        <w:t>Employee Acceptance</w:t>
      </w:r>
    </w:p>
    <w:p>
      <w:pPr>
        <w:jc w:val="both"/>
      </w:pPr>
      <w:r>
        <w:rPr>
          <w:rFonts w:ascii="Arial" w:hAnsi="Arial"/>
          <w:b w:val="0"/>
          <w:i w:val="0"/>
          <w:sz w:val="21"/>
        </w:rPr>
        <w:t>I, {{employee_name}}, confirm that I have read and understood this Appointment Letter and its annexures, have had an opportunity to seek clarification, and accept the appointment on these terms. I understand that statutory rights prevail where any term conflicts with applicable law.</w:t>
      </w:r>
    </w:p>
    <w:p>
      <w:pPr>
        <w:spacing w:after="20"/>
      </w:pPr>
    </w:p>
    <w:tbl>
      <w:tblPr>
        <w:tblW w:type="auto" w:w="0"/>
        <w:jc w:val="center"/>
        <w:tblLayout w:type="fixed"/>
        <w:tblLook w:firstColumn="1" w:firstRow="1" w:lastColumn="0" w:lastRow="0" w:noHBand="0" w:noVBand="1" w:val="04A0"/>
      </w:tblPr>
      <w:tblGrid>
        <w:gridCol w:w="4734"/>
        <w:gridCol w:w="4734"/>
      </w:tblGrid>
      <w:tr>
        <w:tc>
          <w:tcPr>
            <w:tcW w:type="dxa" w:w="4309"/>
            <w:tcMar>
              <w:top w:w="70" w:type="dxa"/>
              <w:start w:w="90" w:type="dxa"/>
              <w:bottom w:w="70" w:type="dxa"/>
              <w:end w:w="90" w:type="dxa"/>
            </w:tcMar>
          </w:tcPr>
          <w:p>
            <w:pPr>
              <w:keepLines/>
            </w:pPr>
            <w:r>
              <w:rPr>
                <w:rFonts w:ascii="Arial" w:hAnsi="Arial"/>
                <w:b w:val="0"/>
                <w:i w:val="0"/>
                <w:sz w:val="19"/>
              </w:rPr>
              <w:t>For Adarsh Shipping and Services</w:t>
              <w:br/>
              <w:br/>
              <w:t>{{authorised_signatory_signature}}</w:t>
              <w:br/>
              <w:t>{{authorised_signatory_name}}</w:t>
              <w:br/>
              <w:t>{{authorised_signatory_designation}}</w:t>
            </w:r>
          </w:p>
        </w:tc>
        <w:tc>
          <w:tcPr>
            <w:tcW w:type="dxa" w:w="4309"/>
            <w:tcMar>
              <w:top w:w="70" w:type="dxa"/>
              <w:start w:w="90" w:type="dxa"/>
              <w:bottom w:w="70" w:type="dxa"/>
              <w:end w:w="90" w:type="dxa"/>
            </w:tcMar>
          </w:tcPr>
          <w:p>
            <w:pPr>
              <w:keepLines/>
            </w:pPr>
            <w:r>
              <w:rPr>
                <w:rFonts w:ascii="Arial" w:hAnsi="Arial"/>
                <w:b w:val="0"/>
                <w:i w:val="0"/>
                <w:sz w:val="19"/>
              </w:rPr>
              <w:t>Accepted and Agreed</w:t>
              <w:br/>
              <w:br/>
              <w:t>{{employee_signature}}</w:t>
              <w:br/>
              <w:t>{{employee_name}}</w:t>
              <w:br/>
              <w:t>Date: {{acceptance_date}}</w:t>
            </w:r>
          </w:p>
        </w:tc>
      </w:tr>
    </w:tbl>
    <w:sectPr w:rsidR="00FC693F" w:rsidRPr="0006063C" w:rsidSect="00034616">
      <w:headerReference w:type="default" r:id="rId9"/>
      <w:footerReference w:type="default" r:id="rId10"/>
      <w:pgSz w:w="11906" w:h="16838"/>
      <w:pgMar w:top="1531" w:right="113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26C"/>
        <w:sz w:val="16"/>
      </w:rPr>
      <w:t>Appointment Letter | {letter_number} | Private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i w:val="0"/>
        <w:color w:val="18304B"/>
        <w:sz w:val="22"/>
      </w:rPr>
      <w:t>ADARSH SHIPPING AND SERVICES</w:t>
    </w:r>
  </w:p>
  <w:p>
    <w:pPr>
      <w:jc w:val="center"/>
    </w:pPr>
    <w:r>
      <w:rPr>
        <w:rFonts w:ascii="Arial" w:hAnsi="Arial"/>
        <w:b w:val="0"/>
        <w:i w:val="0"/>
        <w:color w:val="5A626C"/>
        <w:sz w:val="16"/>
      </w:rPr>
      <w:t>{{registered_office_address}} | {{company_email}} | {{company_phone}}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0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0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04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