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5A626C"/>
          <w:sz w:val="18"/>
        </w:rPr>
        <w:t>PRIVATE AND CONFIDENTIAL</w:t>
      </w:r>
    </w:p>
    <w:p>
      <w:pPr>
        <w:spacing w:before="160" w:after="240"/>
        <w:jc w:val="center"/>
      </w:pPr>
      <w:r>
        <w:rPr>
          <w:rFonts w:ascii="Arial" w:hAnsi="Arial"/>
          <w:b/>
          <w:i w:val="0"/>
          <w:color w:val="18304B"/>
          <w:sz w:val="30"/>
        </w:rPr>
        <w:t>CONSULTANCY SERVICES AGREEMENT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Letter No.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{{letter_number}}</w:t>
            </w:r>
          </w:p>
        </w:tc>
      </w:tr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Date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{{issue_date}}</w:t>
            </w:r>
          </w:p>
        </w:tc>
      </w:tr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To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{{consultant_or_entity_name}}</w:t>
            </w:r>
          </w:p>
        </w:tc>
      </w:tr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Address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{{consultant_registered_address}}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 w:val="0"/>
          <w:sz w:val="21"/>
        </w:rPr>
        <w:t>This Consultancy Services Agreement is made on {{agreement_date}} between Adarsh Shipping and Services, having its registered office at {{company_registered_address}} (“Company”), and {{consultant_or_entity_name}}, having its address at {{consultant_registered_address}} (“Consultant”).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1. Engagement and scope. </w:t>
      </w:r>
      <w:r>
        <w:rPr>
          <w:rFonts w:ascii="Arial" w:hAnsi="Arial"/>
          <w:b w:val="0"/>
          <w:i w:val="0"/>
          <w:sz w:val="21"/>
        </w:rPr>
        <w:t>The Company engages the Consultant to provide the services and deliverables in Schedule A from {{contract_start_date}} to {{contract_end_date}}, unless extended or terminated in writing.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2. Independent contractor. </w:t>
      </w:r>
      <w:r>
        <w:rPr>
          <w:rFonts w:ascii="Arial" w:hAnsi="Arial"/>
          <w:b w:val="0"/>
          <w:i w:val="0"/>
          <w:sz w:val="21"/>
        </w:rPr>
        <w:t>The Consultant acts as an independent contractor and has no authority to bind the Company. The parties will administer the relationship consistently with its actual nature; this label will not defeat any mandatory legal classification.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3. Performance. </w:t>
      </w:r>
      <w:r>
        <w:rPr>
          <w:rFonts w:ascii="Arial" w:hAnsi="Arial"/>
          <w:b w:val="0"/>
          <w:i w:val="0"/>
          <w:sz w:val="21"/>
        </w:rPr>
        <w:t>The Consultant will perform professionally, meet agreed milestones, maintain qualified personnel and comply with laws and site policies relevant to the services.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4. Fees and invoicing. </w:t>
      </w:r>
      <w:r>
        <w:rPr>
          <w:rFonts w:ascii="Arial" w:hAnsi="Arial"/>
          <w:b w:val="0"/>
          <w:i w:val="0"/>
          <w:sz w:val="21"/>
        </w:rPr>
        <w:t>The Company will pay {{consultancy_fee_and_schedule}} against valid invoices and accepted deliverables. Fees are exclusive/inclusive of GST as stated in Schedule B.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5. Taxes. </w:t>
      </w:r>
      <w:r>
        <w:rPr>
          <w:rFonts w:ascii="Arial" w:hAnsi="Arial"/>
          <w:b w:val="0"/>
          <w:i w:val="0"/>
          <w:sz w:val="21"/>
        </w:rPr>
        <w:t>The Consultant is responsible for applicable registrations, invoices and taxes. The Company may deduct TDS or other withholding required by law and will provide the applicable certificate.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6. Expenses. </w:t>
      </w:r>
      <w:r>
        <w:rPr>
          <w:rFonts w:ascii="Arial" w:hAnsi="Arial"/>
          <w:b w:val="0"/>
          <w:i w:val="0"/>
          <w:sz w:val="21"/>
        </w:rPr>
        <w:t>Only expenses approved in writing in advance and supported by valid records are reimbursable.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7. Confidentiality. </w:t>
      </w:r>
      <w:r>
        <w:rPr>
          <w:rFonts w:ascii="Arial" w:hAnsi="Arial"/>
          <w:b w:val="0"/>
          <w:i w:val="0"/>
          <w:sz w:val="21"/>
        </w:rPr>
        <w:t>The Consultant must protect Company, customer and employee information, use it only for the services and apply reasonable security measures. Required legal disclosures remain permitted.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8. Data protection and security. </w:t>
      </w:r>
      <w:r>
        <w:rPr>
          <w:rFonts w:ascii="Arial" w:hAnsi="Arial"/>
          <w:b w:val="0"/>
          <w:i w:val="0"/>
          <w:sz w:val="21"/>
        </w:rPr>
        <w:t>The Consultant will process personal data only on documented instructions, limit access, report incidents promptly, assist with lawful requests and delete or return data at completion.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9. Intellectual property. </w:t>
      </w:r>
      <w:r>
        <w:rPr>
          <w:rFonts w:ascii="Arial" w:hAnsi="Arial"/>
          <w:b w:val="0"/>
          <w:i w:val="0"/>
          <w:sz w:val="21"/>
        </w:rPr>
        <w:t>Deliverables specially created and paid for under this Agreement will vest in the Company to the extent permitted by law. Pre-existing materials remain with their owner but are licensed as necessary for the Company to use the deliverables.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10. Warranties. </w:t>
      </w:r>
      <w:r>
        <w:rPr>
          <w:rFonts w:ascii="Arial" w:hAnsi="Arial"/>
          <w:b w:val="0"/>
          <w:i w:val="0"/>
          <w:sz w:val="21"/>
        </w:rPr>
        <w:t>The Consultant warrants authority, professional competence, originality or proper licensing of deliverables, compliance with law and absence of undisclosed conflicts.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11. Indemnity. </w:t>
      </w:r>
      <w:r>
        <w:rPr>
          <w:rFonts w:ascii="Arial" w:hAnsi="Arial"/>
          <w:b w:val="0"/>
          <w:i w:val="0"/>
          <w:sz w:val="21"/>
        </w:rPr>
        <w:t>Each party will indemnify the other for third-party claims arising from its fraud, wilful misconduct, material breach, infringement or violation of law, subject to applicable law and the agreed liability framework.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12. Limitation of liability. </w:t>
      </w:r>
      <w:r>
        <w:rPr>
          <w:rFonts w:ascii="Arial" w:hAnsi="Arial"/>
          <w:b w:val="0"/>
          <w:i w:val="0"/>
          <w:sz w:val="21"/>
        </w:rPr>
        <w:t>Except for fraud, wilful misconduct, confidentiality/data breach, IP infringement, unpaid fees or liabilities that cannot lawfully be limited, aggregate liability is limited to {{liability_cap}}.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13. Non-solicitation. </w:t>
      </w:r>
      <w:r>
        <w:rPr>
          <w:rFonts w:ascii="Arial" w:hAnsi="Arial"/>
          <w:b w:val="0"/>
          <w:i w:val="0"/>
          <w:sz w:val="21"/>
        </w:rPr>
        <w:t>For {{non_solicitation_period}}, the Consultant will not misuse confidential information to solicit personnel or customers materially involved in the engagement, to the extent enforceable. This is not a blanket restraint on lawful trade.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14. Termination. </w:t>
      </w:r>
      <w:r>
        <w:rPr>
          <w:rFonts w:ascii="Arial" w:hAnsi="Arial"/>
          <w:b w:val="0"/>
          <w:i w:val="0"/>
          <w:sz w:val="21"/>
        </w:rPr>
        <w:t>Either party may terminate with {{termination_notice}} notice. A material breach not cured within {{cure_period}} after written notice permits earlier termination. Immediate action may be taken for fraud, illegality or serious security risk.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15. Consequences of termination. </w:t>
      </w:r>
      <w:r>
        <w:rPr>
          <w:rFonts w:ascii="Arial" w:hAnsi="Arial"/>
          <w:b w:val="0"/>
          <w:i w:val="0"/>
          <w:sz w:val="21"/>
        </w:rPr>
        <w:t>The Consultant will stop representing the Company, deliver completed work, return property and data, submit a final invoice and reasonably assist transition. Accepted services up to termination remain payable.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16. Records and audit. </w:t>
      </w:r>
      <w:r>
        <w:rPr>
          <w:rFonts w:ascii="Arial" w:hAnsi="Arial"/>
          <w:b w:val="0"/>
          <w:i w:val="0"/>
          <w:sz w:val="21"/>
        </w:rPr>
        <w:t>The Consultant will retain records supporting invoices and compliance for {{record_retention_period}} and permit a reasonable, confidential audit relevant to the services.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17. Dispute resolution. </w:t>
      </w:r>
      <w:r>
        <w:rPr>
          <w:rFonts w:ascii="Arial" w:hAnsi="Arial"/>
          <w:b w:val="0"/>
          <w:i w:val="0"/>
          <w:sz w:val="21"/>
        </w:rPr>
        <w:t>The parties will first attempt good-faith resolution. Unresolved disputes will follow {{negotiation_mediation_arbitration_or_court_process}}, without restricting mandatory statutory remedies.</w:t>
      </w:r>
    </w:p>
    <w:p>
      <w:pPr>
        <w:ind w:left="113" w:hanging="113"/>
        <w:jc w:val="both"/>
      </w:pPr>
      <w:r>
        <w:rPr>
          <w:rFonts w:ascii="Arial" w:hAnsi="Arial"/>
          <w:b/>
          <w:i w:val="0"/>
          <w:sz w:val="21"/>
        </w:rPr>
        <w:t xml:space="preserve">18. General. </w:t>
      </w:r>
      <w:r>
        <w:rPr>
          <w:rFonts w:ascii="Arial" w:hAnsi="Arial"/>
          <w:b w:val="0"/>
          <w:i w:val="0"/>
          <w:sz w:val="21"/>
        </w:rPr>
        <w:t>This Agreement and schedules constitute the entire agreement. Assignment, amendment, waiver, force majeure, notices, severability and counterparts/e-signature will operate as detailed in Schedule C.</w:t>
      </w:r>
    </w:p>
    <w:p>
      <w:pPr>
        <w:pStyle w:val="Heading1"/>
        <w:keepNext/>
        <w:spacing w:before="160" w:after="80"/>
      </w:pPr>
      <w:r>
        <w:rPr>
          <w:rFonts w:ascii="Arial" w:hAnsi="Arial"/>
          <w:b/>
          <w:i w:val="0"/>
          <w:color w:val="18304B"/>
          <w:sz w:val="24"/>
        </w:rPr>
        <w:t>Schedule A: Services, Deliverables and Acceptance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4734"/>
            <w:shd w:fill="1830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Particular</w:t>
            </w:r>
          </w:p>
        </w:tc>
        <w:tc>
          <w:tcPr>
            <w:tcW w:type="dxa" w:w="4734"/>
            <w:shd w:fill="1830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Services</w:t>
            </w:r>
          </w:p>
        </w:tc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{{detailed_scope_of_services}}</w:t>
            </w:r>
          </w:p>
        </w:tc>
      </w:tr>
      <w:tr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Deliverables</w:t>
            </w:r>
          </w:p>
        </w:tc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{{deliverables}}</w:t>
            </w:r>
          </w:p>
        </w:tc>
      </w:tr>
      <w:tr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Milestones</w:t>
            </w:r>
          </w:p>
        </w:tc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{{milestones_and_due_dates}}</w:t>
            </w:r>
          </w:p>
        </w:tc>
      </w:tr>
      <w:tr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Acceptance criteria</w:t>
            </w:r>
          </w:p>
        </w:tc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{{objective_acceptance_criteria}}</w:t>
            </w:r>
          </w:p>
        </w:tc>
      </w:tr>
      <w:tr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Company owner</w:t>
            </w:r>
          </w:p>
        </w:tc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{{company_contract_owner}}</w:t>
            </w:r>
          </w:p>
        </w:tc>
      </w:tr>
      <w:tr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Consultant lead</w:t>
            </w:r>
          </w:p>
        </w:tc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{{consultant_lead}}</w:t>
            </w:r>
          </w:p>
        </w:tc>
      </w:tr>
    </w:tbl>
    <w:p/>
    <w:p>
      <w:pPr>
        <w:pStyle w:val="Heading1"/>
        <w:keepNext/>
        <w:spacing w:before="160" w:after="80"/>
      </w:pPr>
      <w:r>
        <w:rPr>
          <w:rFonts w:ascii="Arial" w:hAnsi="Arial"/>
          <w:b/>
          <w:i w:val="0"/>
          <w:color w:val="18304B"/>
          <w:sz w:val="24"/>
        </w:rPr>
        <w:t>Schedule B: Commercial Terms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4734"/>
            <w:shd w:fill="1830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Particular</w:t>
            </w:r>
          </w:p>
        </w:tc>
        <w:tc>
          <w:tcPr>
            <w:tcW w:type="dxa" w:w="4734"/>
            <w:shd w:fill="1830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Fees</w:t>
            </w:r>
          </w:p>
        </w:tc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{{fees}}</w:t>
            </w:r>
          </w:p>
        </w:tc>
      </w:tr>
      <w:tr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Invoice frequency</w:t>
            </w:r>
          </w:p>
        </w:tc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{{invoice_frequency}}</w:t>
            </w:r>
          </w:p>
        </w:tc>
      </w:tr>
      <w:tr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Payment term</w:t>
            </w:r>
          </w:p>
        </w:tc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{{payment_term}}</w:t>
            </w:r>
          </w:p>
        </w:tc>
      </w:tr>
      <w:tr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GST treatment</w:t>
            </w:r>
          </w:p>
        </w:tc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{{gst_terms}}</w:t>
            </w:r>
          </w:p>
        </w:tc>
      </w:tr>
      <w:tr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TDS</w:t>
            </w:r>
          </w:p>
        </w:tc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As required by applicable law</w:t>
            </w:r>
          </w:p>
        </w:tc>
      </w:tr>
      <w:tr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Approved expenses</w:t>
            </w:r>
          </w:p>
        </w:tc>
        <w:tc>
          <w:tcPr>
            <w:tcW w:type="dxa" w:w="47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{{expense_terms}}</w:t>
            </w:r>
          </w:p>
        </w:tc>
      </w:tr>
    </w:tbl>
    <w:p/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 w:val="0"/>
                <w:i w:val="0"/>
                <w:sz w:val="19"/>
              </w:rPr>
              <w:t>For Adarsh Shipping and Services</w:t>
              <w:br/>
              <w:br/>
              <w:t>{{authorised_signatory_signature}}</w:t>
              <w:br/>
              <w:t>{{authorised_signatory_name}}</w:t>
              <w:br/>
              <w:t>{{authorised_signatory_designation}}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 w:val="0"/>
                <w:i w:val="0"/>
                <w:sz w:val="19"/>
              </w:rPr>
              <w:t>Accepted and Agreed</w:t>
              <w:br/>
              <w:br/>
              <w:t>{{employee_signature}}</w:t>
              <w:br/>
              <w:t>{{employee_name}}</w:t>
              <w:br/>
              <w:t>Date: {{acceptance_date}}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531" w:right="1134" w:bottom="1134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A626C"/>
        <w:sz w:val="16"/>
      </w:rPr>
      <w:t>Consultancy Agreement | {letter_number} | Private and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i w:val="0"/>
        <w:color w:val="18304B"/>
        <w:sz w:val="22"/>
      </w:rPr>
      <w:t>ADARSH SHIPPING AND SERVICES</w:t>
    </w:r>
  </w:p>
  <w:p>
    <w:pPr>
      <w:jc w:val="center"/>
    </w:pPr>
    <w:r>
      <w:rPr>
        <w:rFonts w:ascii="Arial" w:hAnsi="Arial"/>
        <w:b w:val="0"/>
        <w:i w:val="0"/>
        <w:color w:val="5A626C"/>
        <w:sz w:val="16"/>
      </w:rPr>
      <w:t>{{registered_office_address}} | {{company_email}} | {{company_phone}}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04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0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04B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