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mbria" w:cs="Cambria" w:eastAsia="Cambria" w:hAnsi="Cambria"/>
          <w:b/>
          <w:bCs/>
          <w:color w:val="0A2A43"/>
          <w:sz w:val="96"/>
          <w:szCs w:val="96"/>
        </w:rPr>
        <w:t xml:space="preserve">EGPA</w:t>
      </w:r>
    </w:p>
    <w:p>
      <w:pPr>
        <w:spacing w:after="60" w:before="120"/>
        <w:jc w:val="center"/>
      </w:pPr>
      <w:r>
        <w:rPr>
          <w:rFonts w:ascii="Calibri" w:cs="Calibri" w:eastAsia="Calibri" w:hAnsi="Calibri"/>
          <w:b/>
          <w:bCs/>
          <w:color w:val="1A9C94"/>
          <w:sz w:val="30"/>
          <w:szCs w:val="30"/>
        </w:rPr>
        <w:t xml:space="preserve">ENTERPRISE GOVERNANCE PLATFORM FOR AI</w:t>
      </w:r>
    </w:p>
    <w:p>
      <w:pPr>
        <w:spacing w:before="400"/>
        <w:jc w:val="center"/>
      </w:pPr>
      <w:r>
        <w:rPr>
          <w:rFonts w:ascii="Calibri" w:cs="Calibri" w:eastAsia="Calibri" w:hAnsi="Calibri"/>
          <w:i/>
          <w:iCs/>
          <w:color w:val="5B6472"/>
          <w:sz w:val="24"/>
          <w:szCs w:val="24"/>
        </w:rPr>
        <w:t xml:space="preserve">A real, working control plane that takes an AI use case from problem statement to governed, running agent — with enforced risk assessment, sign-off, audit trail, and runtime kill-switch at every stage.</w:t>
      </w:r>
    </w:p>
    <w:p>
      <w:pPr>
        <w:spacing w:before="3200"/>
      </w:pPr>
    </w:p>
    <w:p>
      <w:pPr>
        <w:pBdr>
          <w:top w:val="single" w:color="1A9C94" w:sz="6" w:space="12"/>
        </w:pBdr>
        <w:spacing w:before="0"/>
        <w:jc w:val="center"/>
      </w:pPr>
    </w:p>
    <w:p>
      <w:pPr>
        <w:spacing w:before="200"/>
        <w:jc w:val="center"/>
      </w:pPr>
      <w:r>
        <w:rPr>
          <w:rFonts w:ascii="Calibri" w:cs="Calibri" w:eastAsia="Calibri" w:hAnsi="Calibri"/>
          <w:b/>
          <w:bCs/>
          <w:color w:val="0A2A43"/>
          <w:sz w:val="22"/>
          <w:szCs w:val="22"/>
        </w:rPr>
        <w:t xml:space="preserve">Product &amp; Architecture Overview</w:t>
      </w:r>
    </w:p>
    <w:p>
      <w:pPr>
        <w:spacing w:before="80"/>
        <w:jc w:val="center"/>
      </w:pPr>
      <w:r>
        <w:rPr>
          <w:rFonts w:ascii="Calibri" w:cs="Calibri" w:eastAsia="Calibri" w:hAnsi="Calibri"/>
          <w:color w:val="5B6472"/>
          <w:sz w:val="20"/>
          <w:szCs w:val="20"/>
        </w:rPr>
        <w:t xml:space="preserve">August 2026</w:t>
      </w:r>
    </w:p>
    <w:p>
      <w:pPr>
        <w:sectPr>
          <w:pgSz w:w="12240" w:h="15840" w:orient="portrait"/>
          <w:pgMar w:top="1296" w:right="1296" w:bottom="1296" w:left="1296" w:header="708" w:footer="708" w:gutter="0"/>
          <w:pgNumType/>
          <w:docGrid w:linePitch="360"/>
        </w:sectPr>
      </w:pPr>
    </w:p>
    <w:p>
      <w:pPr>
        <w:pStyle w:val="Heading1"/>
        <w:pBdr>
          <w:bottom w:val="single" w:color="1A9C94" w:sz="8" w:space="6"/>
        </w:pBdr>
        <w:spacing w:after="200" w:before="480"/>
      </w:pPr>
      <w:r>
        <w:rPr>
          <w:rFonts w:ascii="Cambria" w:cs="Cambria" w:eastAsia="Cambria" w:hAnsi="Cambria"/>
          <w:b/>
          <w:bCs/>
          <w:color w:val="0A2A43"/>
          <w:sz w:val="30"/>
          <w:szCs w:val="30"/>
        </w:rPr>
        <w:t xml:space="preserve">Executive Summary</w:t>
      </w:r>
    </w:p>
    <w:p>
      <w:pPr>
        <w:spacing w:after="160" w:line="288"/>
      </w:pPr>
      <w:r>
        <w:rPr>
          <w:rFonts w:ascii="Calibri" w:cs="Calibri" w:eastAsia="Calibri" w:hAnsi="Calibri"/>
          <w:color w:val="1F2937"/>
          <w:sz w:val="21"/>
          <w:szCs w:val="21"/>
        </w:rPr>
        <w:t xml:space="preserve">EGPA is a real, working governance and control-plane platform for AI and agentic use cases — not a mockup or a slide deck of intentions. An organization submits a use case, and the platform computes a risk tier, generates a real LLM-backed architecture recommendation, enforces a governance gate with genuine sign-off and segregation of duties, auto-assembles a versioned Architecture Decision Record, and — once approved — runs a real multi-agent execution with full audit lineage through a self-hosted AI Gateway.</w:t>
      </w:r>
    </w:p>
    <w:p>
      <w:pPr>
        <w:spacing w:after="160" w:line="288"/>
      </w:pPr>
      <w:r>
        <w:rPr>
          <w:rFonts w:ascii="Calibri" w:cs="Calibri" w:eastAsia="Calibri" w:hAnsi="Calibri"/>
          <w:color w:val="1F2937"/>
          <w:sz w:val="21"/>
          <w:szCs w:val="21"/>
        </w:rPr>
        <w:t xml:space="preserve">It exists to solve a specific, federated-organization problem: business units want to build AI agents faster than central governance can review them by hand. EGPA makes governance the fast path, not the bottleneck, by turning policy into enforced code — risk scoring, required controls, and audit trails that happen automatically as part of building the agent, not as a separate compliance chore bolted on afterward.</w:t>
      </w:r>
    </w:p>
    <w:p>
      <w:pPr>
        <w:spacing w:after="160" w:line="288"/>
      </w:pPr>
      <w:r>
        <w:rPr>
          <w:rFonts w:ascii="Calibri" w:cs="Calibri" w:eastAsia="Calibri" w:hAnsi="Calibri"/>
          <w:color w:val="1F2937"/>
          <w:sz w:val="21"/>
          <w:szCs w:val="21"/>
        </w:rPr>
        <w:t xml:space="preserve">Every capability described in this document is live and independently verifiable in production: real database, real authentication, real multi-agent tool-calling, real deployment across Vercel, Google Cloud Run, and Neon Postgres, and a tamper-evident, hash-chained audit log. Where something is deliberately out of scope, this document says so explicitly — see “Honest Scope” on page 6.</w:t>
      </w:r>
    </w:p>
    <w:p>
      <w:pPr>
        <w:pStyle w:val="Heading1"/>
        <w:pBdr>
          <w:bottom w:val="single" w:color="1A9C94" w:sz="8" w:space="6"/>
        </w:pBdr>
        <w:spacing w:after="200" w:before="480"/>
      </w:pPr>
      <w:r>
        <w:rPr>
          <w:rFonts w:ascii="Cambria" w:cs="Cambria" w:eastAsia="Cambria" w:hAnsi="Cambria"/>
          <w:b/>
          <w:bCs/>
          <w:color w:val="0A2A43"/>
          <w:sz w:val="30"/>
          <w:szCs w:val="30"/>
        </w:rPr>
        <w:t xml:space="preserve">The Problem</w:t>
      </w:r>
    </w:p>
    <w:p>
      <w:pPr>
        <w:spacing w:after="160" w:line="288"/>
      </w:pPr>
      <w:r>
        <w:rPr>
          <w:rFonts w:ascii="Calibri" w:cs="Calibri" w:eastAsia="Calibri" w:hAnsi="Calibri"/>
          <w:color w:val="1F2937"/>
          <w:sz w:val="21"/>
          <w:szCs w:val="21"/>
        </w:rPr>
        <w:t xml:space="preserve">Federated organizations — banks, insurers, and other regulated enterprises with many semi-autonomous business units — face a structural tension: individual teams want to build AI agents quickly, using whatever framework and tool stack fits their problem, while central risk and compliance functions need every agent reviewed against a consistent bar before it touches real systems or real customer data.</w:t>
      </w:r>
    </w:p>
    <w:p>
      <w:pPr>
        <w:spacing w:after="160" w:line="288"/>
      </w:pPr>
      <w:r>
        <w:rPr>
          <w:rFonts w:ascii="Calibri" w:cs="Calibri" w:eastAsia="Calibri" w:hAnsi="Calibri"/>
          <w:color w:val="1F2937"/>
          <w:sz w:val="21"/>
          <w:szCs w:val="21"/>
        </w:rPr>
        <w:t xml:space="preserve">Manual review does not scale to that volume, and informal governance — a wiki page of guidelines, a Slack approval thread — leaves no enforceable record and no way to prove, after the fact, that a control was actually satisfied rather than merely acknowledged. The result is either a governance bottleneck that pushes teams to build outside the process entirely, or a paper-thin governance layer that does not hold up under audit.</w:t>
      </w:r>
    </w:p>
    <w:p>
      <w:pPr>
        <w:pStyle w:val="Heading1"/>
        <w:pBdr>
          <w:bottom w:val="single" w:color="1A9C94" w:sz="8" w:space="6"/>
        </w:pBdr>
        <w:spacing w:after="200" w:before="480"/>
      </w:pPr>
      <w:r>
        <w:rPr>
          <w:rFonts w:ascii="Cambria" w:cs="Cambria" w:eastAsia="Cambria" w:hAnsi="Cambria"/>
          <w:b/>
          <w:bCs/>
          <w:color w:val="0A2A43"/>
          <w:sz w:val="30"/>
          <w:szCs w:val="30"/>
        </w:rPr>
        <w:t xml:space="preserve">What EGPA Is: Control Plane, Not Data Plane</w:t>
      </w:r>
    </w:p>
    <w:p>
      <w:pPr>
        <w:spacing w:after="160" w:line="288"/>
      </w:pPr>
      <w:r>
        <w:rPr>
          <w:rFonts w:ascii="Calibri" w:cs="Calibri" w:eastAsia="Calibri" w:hAnsi="Calibri"/>
          <w:color w:val="1F2937"/>
          <w:sz w:val="21"/>
          <w:szCs w:val="21"/>
        </w:rPr>
        <w:t xml:space="preserve">EGPA deliberately separates two layers with two different jobs. EGPA itself is the Control Plane: policy becomes code here — risk templates, approval workflows, the model registry, and Architecture Decision Records all live here as the single source of truth for what is allowed to run. The AI Gateway (a self-hosted LiteLLM Proxy on Google Cloud Run) is the separate Data Plane underneath it — the layer that actually routes every live LLM call, with automatic multi-provider fallback. EGPA configures and observes the Gateway; it does not sit in that live traffic path itself.</w:t>
      </w:r>
    </w:p>
    <w:p>
      <w:pPr>
        <w:spacing w:after="160" w:line="288"/>
      </w:pPr>
      <w:r>
        <w:rPr>
          <w:rFonts w:ascii="Calibri" w:cs="Calibri" w:eastAsia="Calibri" w:hAnsi="Calibri"/>
          <w:color w:val="1F2937"/>
          <w:sz w:val="21"/>
          <w:szCs w:val="21"/>
        </w:rPr>
        <w:t xml:space="preserve">This separation is what lets EGPA govern agents it did not build. A preflight policy-check API and a declared-vs-actual reconciliation API mean an agent built and run entirely outside this platform — with real production integrations — can still be governed: checked in real time against what was declared, and reconciled after the fact against what it actually did, with any deviation caught, audited, and alerted.</w:t>
      </w:r>
    </w:p>
    <w:p>
      <w:r>
        <w:br w:type="page"/>
      </w:r>
    </w:p>
    <w:p>
      <w:pPr>
        <w:pStyle w:val="Heading1"/>
        <w:pBdr>
          <w:bottom w:val="single" w:color="1A9C94" w:sz="8" w:space="6"/>
        </w:pBdr>
        <w:spacing w:after="200" w:before="480"/>
      </w:pPr>
      <w:r>
        <w:rPr>
          <w:rFonts w:ascii="Cambria" w:cs="Cambria" w:eastAsia="Cambria" w:hAnsi="Cambria"/>
          <w:b/>
          <w:bCs/>
          <w:color w:val="0A2A43"/>
          <w:sz w:val="30"/>
          <w:szCs w:val="30"/>
        </w:rPr>
        <w:t xml:space="preserve">The Pipeline: Seven Real Stages</w:t>
      </w:r>
    </w:p>
    <w:p>
      <w:pPr>
        <w:spacing w:after="200" w:line="300"/>
      </w:pPr>
      <w:r>
        <w:rPr>
          <w:rFonts w:ascii="Calibri" w:cs="Calibri" w:eastAsia="Calibri" w:hAnsi="Calibri"/>
          <w:i/>
          <w:iCs/>
          <w:color w:val="5B6472"/>
          <w:sz w:val="23"/>
          <w:szCs w:val="23"/>
        </w:rPr>
        <w:t xml:space="preserve">Every use case moves through the same enforced sequence — nothing skips a stage, and every stage leaves a real, persisted record.</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6700"/>
      </w:tblGrid>
      <w:tr>
        <w:trPr>
          <w:tblHeader/>
        </w:trPr>
        <w:tc>
          <w:tcPr>
            <w:tcW w:type="dxa" w:w="1900"/>
            <w:shd w:fill="0A2A43"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Stage</w:t>
            </w:r>
          </w:p>
        </w:tc>
        <w:tc>
          <w:tcPr>
            <w:tcW w:type="dxa" w:w="2000"/>
            <w:shd w:fill="0A2A43"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Who</w:t>
            </w:r>
          </w:p>
        </w:tc>
        <w:tc>
          <w:tcPr>
            <w:tcW w:type="dxa" w:w="6700"/>
            <w:shd w:fill="0A2A43"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What actually happens</w:t>
            </w:r>
          </w:p>
        </w:tc>
      </w:tr>
      <w:tr>
        <w:tc>
          <w:tcPr>
            <w:tcW w:type="dxa" w:w="19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1. Discovery</w:t>
            </w:r>
          </w:p>
        </w:tc>
        <w:tc>
          <w:tcPr>
            <w:tcW w:type="dxa" w:w="20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Anyone signed in</w:t>
            </w:r>
          </w:p>
        </w:tc>
        <w:tc>
          <w:tcPr>
            <w:tcW w:type="dxa" w:w="67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 real chat (Discovery Advisor) asks clarifying questions and searches the org's existing use cases before anyone commits to “build an agent.” Concludes with one of four honest paths: fix the process, extend something that exists, research first, or build.</w:t>
            </w:r>
          </w:p>
        </w:tc>
      </w:tr>
      <w:tr>
        <w:tc>
          <w:tcPr>
            <w:tcW w:type="dxa" w:w="19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2. Intake</w:t>
            </w:r>
          </w:p>
        </w:tc>
        <w:tc>
          <w:tcPr>
            <w:tcW w:type="dxa" w:w="20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Requester</w:t>
            </w:r>
          </w:p>
        </w:tc>
        <w:tc>
          <w:tcPr>
            <w:tcW w:type="dxa" w:w="67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Two-step questionnaire — data sensitivity, autonomy level, integration surface, expected users, then a deeper Risk &amp; Compliance Profile (human oversight frequency, customer-impact decision) that finalizes a live-computed risk tier.</w:t>
            </w:r>
          </w:p>
        </w:tc>
      </w:tr>
      <w:tr>
        <w:tc>
          <w:tcPr>
            <w:tcW w:type="dxa" w:w="19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3. Recommendation</w:t>
            </w:r>
          </w:p>
        </w:tc>
        <w:tc>
          <w:tcPr>
            <w:tcW w:type="dxa" w:w="20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Steward / Architect</w:t>
            </w:r>
          </w:p>
        </w:tc>
        <w:tc>
          <w:tcPr>
            <w:tcW w:type="dxa" w:w="67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 real LLM call proposes a framework, tool stack, harness pattern, loop pattern, and context strategy — plus the real alternatives it considered and why they lost.</w:t>
            </w:r>
          </w:p>
        </w:tc>
      </w:tr>
      <w:tr>
        <w:tc>
          <w:tcPr>
            <w:tcW w:type="dxa" w:w="19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4. Governance Gate</w:t>
            </w:r>
          </w:p>
        </w:tc>
        <w:tc>
          <w:tcPr>
            <w:tcW w:type="dxa" w:w="20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Governance Owner</w:t>
            </w:r>
          </w:p>
        </w:tc>
        <w:tc>
          <w:tcPr>
            <w:tcW w:type="dxa" w:w="67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Every control required for the computed risk tier must be checked off before proceeding. Critical tier also requires a named Architecture Review Board member's real written reasoning. A server-enforced kill-switch is available here at any time.</w:t>
            </w:r>
          </w:p>
        </w:tc>
      </w:tr>
      <w:tr>
        <w:tc>
          <w:tcPr>
            <w:tcW w:type="dxa" w:w="19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5. ADR</w:t>
            </w:r>
          </w:p>
        </w:tc>
        <w:tc>
          <w:tcPr>
            <w:tcW w:type="dxa" w:w="20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Governance Owner</w:t>
            </w:r>
          </w:p>
        </w:tc>
        <w:tc>
          <w:tcPr>
            <w:tcW w:type="dxa" w:w="67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 versioned Architecture Decision Record assembles automatically once the gate clears — downloadable, traceable to every prior decision, and the real specification for what gets built.</w:t>
            </w:r>
          </w:p>
        </w:tc>
      </w:tr>
      <w:tr>
        <w:tc>
          <w:tcPr>
            <w:tcW w:type="dxa" w:w="19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6. Agentic System</w:t>
            </w:r>
          </w:p>
        </w:tc>
        <w:tc>
          <w:tcPr>
            <w:tcW w:type="dxa" w:w="20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Developer / Admin</w:t>
            </w:r>
          </w:p>
        </w:tc>
        <w:tc>
          <w:tcPr>
            <w:tcW w:type="dxa" w:w="67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 real master agent plans steps; real sub-agent LLM calls execute each one live, streamed token-by-token, with one genuine callable tool (a Pinecone/Cohere RAG lookup) and full cost/token tracking.</w:t>
            </w:r>
          </w:p>
        </w:tc>
      </w:tr>
      <w:tr>
        <w:tc>
          <w:tcPr>
            <w:tcW w:type="dxa" w:w="19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7. Observability</w:t>
            </w:r>
          </w:p>
        </w:tc>
        <w:tc>
          <w:tcPr>
            <w:tcW w:type="dxa" w:w="20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All roles</w:t>
            </w:r>
          </w:p>
        </w:tc>
        <w:tc>
          <w:tcPr>
            <w:tcW w:type="dxa" w:w="67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Portfolio-wide cost, usage, and decision-trail data — nothing simulated. Per-use-case token/cost/duration and full step-by-step trace.</w:t>
            </w:r>
          </w:p>
        </w:tc>
      </w:tr>
    </w:tbl>
    <w:p>
      <w:pPr>
        <w:pStyle w:val="Heading1"/>
        <w:pBdr>
          <w:bottom w:val="single" w:color="1A9C94" w:sz="8" w:space="6"/>
        </w:pBdr>
        <w:spacing w:after="200" w:before="480"/>
      </w:pPr>
      <w:r>
        <w:rPr>
          <w:rFonts w:ascii="Cambria" w:cs="Cambria" w:eastAsia="Cambria" w:hAnsi="Cambria"/>
          <w:b/>
          <w:bCs/>
          <w:color w:val="0A2A43"/>
          <w:sz w:val="30"/>
          <w:szCs w:val="30"/>
        </w:rPr>
        <w:t xml:space="preserve">Governance &amp; Security Controls</w:t>
      </w:r>
    </w:p>
    <w:p>
      <w:pPr>
        <w:spacing w:after="200" w:line="300"/>
      </w:pPr>
      <w:r>
        <w:rPr>
          <w:rFonts w:ascii="Calibri" w:cs="Calibri" w:eastAsia="Calibri" w:hAnsi="Calibri"/>
          <w:i/>
          <w:iCs/>
          <w:color w:val="5B6472"/>
          <w:sz w:val="23"/>
          <w:szCs w:val="23"/>
        </w:rPr>
        <w:t xml:space="preserve">Enforced at runtime, not declared in a policy document.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7400"/>
      </w:tblGrid>
      <w:tr>
        <w:trPr>
          <w:tblHeader/>
        </w:trPr>
        <w:tc>
          <w:tcPr>
            <w:tcW w:type="dxa" w:w="3200"/>
            <w:shd w:fill="0A2A43"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Control</w:t>
            </w:r>
          </w:p>
        </w:tc>
        <w:tc>
          <w:tcPr>
            <w:tcW w:type="dxa" w:w="7400"/>
            <w:shd w:fill="0A2A43"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What makes it real</w:t>
            </w:r>
          </w:p>
        </w:tc>
      </w:tr>
      <w:tr>
        <w:tc>
          <w:tcPr>
            <w:tcW w:type="dxa" w:w="32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Kill-switch</w:t>
            </w:r>
          </w:p>
        </w:tc>
        <w:tc>
          <w:tcPr>
            <w:tcW w:type="dxa" w:w="74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Server-enforced; actually blocks the next execution step, not a UI checkbox.</w:t>
            </w:r>
          </w:p>
        </w:tc>
      </w:tr>
      <w:tr>
        <w:tc>
          <w:tcPr>
            <w:tcW w:type="dxa" w:w="32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Segregation of duties</w:t>
            </w:r>
          </w:p>
        </w:tc>
        <w:tc>
          <w:tcPr>
            <w:tcW w:type="dxa" w:w="74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 use case owner can never clear their own Architecture Review Board sign-off, even while holding the ARB role.</w:t>
            </w:r>
          </w:p>
        </w:tc>
      </w:tr>
      <w:tr>
        <w:tc>
          <w:tcPr>
            <w:tcW w:type="dxa" w:w="32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Tamper-evident audit log</w:t>
            </w:r>
          </w:p>
        </w:tc>
        <w:tc>
          <w:tcPr>
            <w:tcW w:type="dxa" w:w="74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SHA-256 hash chain over every entry; editing history breaks verification, checkable on demand.</w:t>
            </w:r>
          </w:p>
        </w:tc>
      </w:tr>
      <w:tr>
        <w:tc>
          <w:tcPr>
            <w:tcW w:type="dxa" w:w="32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PII detection &amp; redaction</w:t>
            </w:r>
          </w:p>
        </w:tc>
        <w:tc>
          <w:tcPr>
            <w:tcW w:type="dxa" w:w="74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Regex-based detection run against every real sub-agent step output, including region-specific ID patterns — not a one-time checkbox.</w:t>
            </w:r>
          </w:p>
        </w:tc>
      </w:tr>
      <w:tr>
        <w:tc>
          <w:tcPr>
            <w:tcW w:type="dxa" w:w="32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Tool allowlist enforcement</w:t>
            </w:r>
          </w:p>
        </w:tc>
        <w:tc>
          <w:tcPr>
            <w:tcW w:type="dxa" w:w="74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Enforced server-side against what each sub-agent can actually call, not just documented as a plan.</w:t>
            </w:r>
          </w:p>
        </w:tc>
      </w:tr>
      <w:tr>
        <w:tc>
          <w:tcPr>
            <w:tcW w:type="dxa" w:w="32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Data retention enforcement</w:t>
            </w:r>
          </w:p>
        </w:tc>
        <w:tc>
          <w:tcPr>
            <w:tcW w:type="dxa" w:w="74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 scheduled purge job deletes rows once they pass each use case's own declared retention window, logged for audit.</w:t>
            </w:r>
          </w:p>
        </w:tc>
      </w:tr>
      <w:tr>
        <w:tc>
          <w:tcPr>
            <w:tcW w:type="dxa" w:w="32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Preflight policy-check API</w:t>
            </w:r>
          </w:p>
        </w:tc>
        <w:tc>
          <w:tcPr>
            <w:tcW w:type="dxa" w:w="74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Real-time “am I allowed to do this” check for agents running outside this platform.</w:t>
            </w:r>
          </w:p>
        </w:tc>
      </w:tr>
      <w:tr>
        <w:tc>
          <w:tcPr>
            <w:tcW w:type="dxa" w:w="32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Declared-vs-actual reconciliation</w:t>
            </w:r>
          </w:p>
        </w:tc>
        <w:tc>
          <w:tcPr>
            <w:tcW w:type="dxa" w:w="74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After-the-fact usage reporting that flags any deviation from what was declared — the mechanism that closes the loop with the preflight API.</w:t>
            </w:r>
          </w:p>
        </w:tc>
      </w:tr>
      <w:tr>
        <w:tc>
          <w:tcPr>
            <w:tcW w:type="dxa" w:w="32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Multi-tenancy</w:t>
            </w:r>
          </w:p>
        </w:tc>
        <w:tc>
          <w:tcPr>
            <w:tcW w:type="dxa" w:w="74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Real Organization and business-unit scoped visibility, enforced server-side on every query.</w:t>
            </w:r>
          </w:p>
        </w:tc>
      </w:tr>
      <w:tr>
        <w:tc>
          <w:tcPr>
            <w:tcW w:type="dxa" w:w="32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SSO</w:t>
            </w:r>
          </w:p>
        </w:tc>
        <w:tc>
          <w:tcPr>
            <w:tcW w:type="dxa" w:w="74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Google OIDC alongside local credentials authentication.</w:t>
            </w:r>
          </w:p>
        </w:tc>
      </w:tr>
      <w:tr>
        <w:tc>
          <w:tcPr>
            <w:tcW w:type="dxa" w:w="32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Recertification &amp; delegation</w:t>
            </w:r>
          </w:p>
        </w:tc>
        <w:tc>
          <w:tcPr>
            <w:tcW w:type="dxa" w:w="74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Time-boxed recertification reminders, approval delegation, and stale-approval escalation.</w:t>
            </w:r>
          </w:p>
        </w:tc>
      </w:tr>
      <w:tr>
        <w:tc>
          <w:tcPr>
            <w:tcW w:type="dxa" w:w="32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Real webhook trigger</w:t>
            </w:r>
          </w:p>
        </w:tc>
        <w:tc>
          <w:tcPr>
            <w:tcW w:type="dxa" w:w="74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An external caller can start a governed execution with zero human click, under identical checks.</w:t>
            </w:r>
          </w:p>
        </w:tc>
      </w:tr>
    </w:tbl>
    <w:p>
      <w:pPr>
        <w:pStyle w:val="Heading1"/>
        <w:pBdr>
          <w:bottom w:val="single" w:color="1A9C94" w:sz="8" w:space="6"/>
        </w:pBdr>
        <w:spacing w:after="200" w:before="480"/>
      </w:pPr>
      <w:r>
        <w:rPr>
          <w:rFonts w:ascii="Cambria" w:cs="Cambria" w:eastAsia="Cambria" w:hAnsi="Cambria"/>
          <w:b/>
          <w:bCs/>
          <w:color w:val="0A2A43"/>
          <w:sz w:val="30"/>
          <w:szCs w:val="30"/>
        </w:rPr>
        <w:t xml:space="preserve">Architecture</w:t>
      </w:r>
    </w:p>
    <w:p>
      <w:pPr>
        <w:spacing w:after="160" w:line="288"/>
      </w:pPr>
      <w:r>
        <w:rPr>
          <w:rFonts w:ascii="Calibri" w:cs="Calibri" w:eastAsia="Calibri" w:hAnsi="Calibri"/>
          <w:color w:val="1F2937"/>
          <w:sz w:val="21"/>
          <w:szCs w:val="21"/>
        </w:rPr>
        <w:t xml:space="preserve">The platform is a real, deployed three-tier system. The client is a Next.js 16 (App Router, Turbopack) application on Vercel. Server-side API routes handle each pipeline stage — discovery sessions, recommendations, gate decisions, execution steps — backed by Prisma against a Neon Postgres database that is the single source of truth, shared across every signed-in reviewer in an organization.</w:t>
      </w:r>
    </w:p>
    <w:p>
      <w:pPr>
        <w:spacing w:after="160" w:line="288"/>
      </w:pPr>
      <w:r>
        <w:rPr>
          <w:rFonts w:ascii="Calibri" w:cs="Calibri" w:eastAsia="Calibri" w:hAnsi="Calibri"/>
          <w:color w:val="1F2937"/>
          <w:sz w:val="21"/>
          <w:szCs w:val="21"/>
        </w:rPr>
        <w:t xml:space="preserve">Every real LLM call — Discovery's chat, Recommendation's architecture proposal, and each Agentic System sub-agent step — routes through one shared AI Gateway: a self-hosted LiteLLM Proxy on Google Cloud Run, configured with a primary model and an automatic multi-provider fallback chain (Anthropic, Groq, Gemini). The application itself holds one scoped virtual key and never touches a raw provider key directly.</w:t>
      </w:r>
    </w:p>
    <w:p>
      <w:pPr>
        <w:spacing w:after="160" w:line="288"/>
      </w:pPr>
      <w:r>
        <w:rPr>
          <w:rFonts w:ascii="Calibri" w:cs="Calibri" w:eastAsia="Calibri" w:hAnsi="Calibri"/>
          <w:color w:val="1F2937"/>
          <w:sz w:val="21"/>
          <w:szCs w:val="21"/>
        </w:rPr>
        <w:t xml:space="preserve">Retrieval-augmented generation is backed by Pinecone (vector index) and Cohere (embeddings), split into separate namespaces for governance reference documents an admin uploads versus the platform's own in-app documentation that the Help Assistant searches — kept apart so one never contaminates the other. Redis (Upstash) backs rate limiting, live presence indicators, usage quotas, and the Server-Sent Events channel that broadcasts real-time activity — including a live, filterable architecture diagram that shows actual request traffic moving through the system as it happens, visible to Developer and Admin roles.</w:t>
      </w:r>
    </w:p>
    <w:p>
      <w:r>
        <w:br w:type="page"/>
      </w:r>
    </w:p>
    <w:p>
      <w:pPr>
        <w:pStyle w:val="Heading1"/>
        <w:pBdr>
          <w:bottom w:val="single" w:color="1A9C94" w:sz="8" w:space="6"/>
        </w:pBdr>
        <w:spacing w:after="200" w:before="480"/>
      </w:pPr>
      <w:r>
        <w:rPr>
          <w:rFonts w:ascii="Cambria" w:cs="Cambria" w:eastAsia="Cambria" w:hAnsi="Cambria"/>
          <w:b/>
          <w:bCs/>
          <w:color w:val="0A2A43"/>
          <w:sz w:val="30"/>
          <w:szCs w:val="30"/>
        </w:rPr>
        <w:t xml:space="preserve">Roles &amp; Access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6100"/>
      </w:tblGrid>
      <w:tr>
        <w:trPr>
          <w:tblHeader/>
        </w:trPr>
        <w:tc>
          <w:tcPr>
            <w:tcW w:type="dxa" w:w="1900"/>
            <w:shd w:fill="0A2A43"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Role</w:t>
            </w:r>
          </w:p>
        </w:tc>
        <w:tc>
          <w:tcPr>
            <w:tcW w:type="dxa" w:w="2600"/>
            <w:shd w:fill="0A2A43"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Primary pages</w:t>
            </w:r>
          </w:p>
        </w:tc>
        <w:tc>
          <w:tcPr>
            <w:tcW w:type="dxa" w:w="6100"/>
            <w:shd w:fill="0A2A43"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What they get</w:t>
            </w:r>
          </w:p>
        </w:tc>
      </w:tr>
      <w:tr>
        <w:tc>
          <w:tcPr>
            <w:tcW w:type="dxa" w:w="19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Requester</w:t>
            </w:r>
          </w:p>
        </w:tc>
        <w:tc>
          <w:tcPr>
            <w:tcW w:type="dxa" w:w="26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Intake, Portfolio</w:t>
            </w:r>
          </w:p>
        </w:tc>
        <w:tc>
          <w:tcPr>
            <w:tcW w:type="dxa" w:w="61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Turn a business idea into a governed, documented use case without needing AI architecture expertise.</w:t>
            </w:r>
          </w:p>
        </w:tc>
      </w:tr>
      <w:tr>
        <w:tc>
          <w:tcPr>
            <w:tcW w:type="dxa" w:w="19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Steward / Architect</w:t>
            </w:r>
          </w:p>
        </w:tc>
        <w:tc>
          <w:tcPr>
            <w:tcW w:type="dxa" w:w="26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Recommendation, Guide</w:t>
            </w:r>
          </w:p>
        </w:tc>
        <w:tc>
          <w:tcPr>
            <w:tcW w:type="dxa" w:w="61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Validate the recommended architecture against real technical constraints.</w:t>
            </w:r>
          </w:p>
        </w:tc>
      </w:tr>
      <w:tr>
        <w:tc>
          <w:tcPr>
            <w:tcW w:type="dxa" w:w="19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Governance Owner</w:t>
            </w:r>
          </w:p>
        </w:tc>
        <w:tc>
          <w:tcPr>
            <w:tcW w:type="dxa" w:w="26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Governance Gate, ADR</w:t>
            </w:r>
          </w:p>
        </w:tc>
        <w:tc>
          <w:tcPr>
            <w:tcW w:type="dxa" w:w="61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Enforce required controls are actually satisfied; can halt a running execution in real time.</w:t>
            </w:r>
          </w:p>
        </w:tc>
      </w:tr>
      <w:tr>
        <w:tc>
          <w:tcPr>
            <w:tcW w:type="dxa" w:w="19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Developer</w:t>
            </w:r>
          </w:p>
        </w:tc>
        <w:tc>
          <w:tcPr>
            <w:tcW w:type="dxa" w:w="26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Agentic System, Model Builder, Observability</w:t>
            </w:r>
          </w:p>
        </w:tc>
        <w:tc>
          <w:tcPr>
            <w:tcW w:type="dxa" w:w="61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The only role that can run an approved use case or wire up an automated webhook trigger.</w:t>
            </w:r>
          </w:p>
        </w:tc>
      </w:tr>
      <w:tr>
        <w:tc>
          <w:tcPr>
            <w:tcW w:type="dxa" w:w="19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Review Board (ARB)</w:t>
            </w:r>
          </w:p>
        </w:tc>
        <w:tc>
          <w:tcPr>
            <w:tcW w:type="dxa" w:w="26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Governance Gate (Critical tier)</w:t>
            </w:r>
          </w:p>
        </w:tc>
        <w:tc>
          <w:tcPr>
            <w:tcW w:type="dxa" w:w="61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The one sign-off no other role can substitute for on Critical-tier use cases.</w:t>
            </w:r>
          </w:p>
        </w:tc>
      </w:tr>
      <w:tr>
        <w:tc>
          <w:tcPr>
            <w:tcW w:type="dxa" w:w="19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Admin</w:t>
            </w:r>
          </w:p>
        </w:tc>
        <w:tc>
          <w:tcPr>
            <w:tcW w:type="dxa" w:w="26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Everything</w:t>
            </w:r>
          </w:p>
        </w:tc>
        <w:tc>
          <w:tcPr>
            <w:tcW w:type="dxa" w:w="61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Full access — platform configuration, every role's view, and the org-wide architecture diagram.</w:t>
            </w:r>
          </w:p>
        </w:tc>
      </w:tr>
    </w:tbl>
    <w:p>
      <w:pPr>
        <w:pStyle w:val="Heading1"/>
        <w:pBdr>
          <w:bottom w:val="single" w:color="1A9C94" w:sz="8" w:space="6"/>
        </w:pBdr>
        <w:spacing w:after="200" w:before="480"/>
      </w:pPr>
      <w:r>
        <w:rPr>
          <w:rFonts w:ascii="Cambria" w:cs="Cambria" w:eastAsia="Cambria" w:hAnsi="Cambria"/>
          <w:b/>
          <w:bCs/>
          <w:color w:val="0A2A43"/>
          <w:sz w:val="30"/>
          <w:szCs w:val="30"/>
        </w:rPr>
        <w:t xml:space="preserve">Real Business Value, Not a Projection</w:t>
      </w:r>
    </w:p>
    <w:p>
      <w:pPr>
        <w:spacing w:after="160" w:line="288"/>
      </w:pPr>
      <w:r>
        <w:rPr>
          <w:rFonts w:ascii="Calibri" w:cs="Calibri" w:eastAsia="Calibri" w:hAnsi="Calibri"/>
          <w:color w:val="1F2937"/>
          <w:sz w:val="21"/>
          <w:szCs w:val="21"/>
        </w:rPr>
        <w:t xml:space="preserve">Observability tracks actual time and cost saved against an honestly declared baseline for each use case — not a marketing estimate. Every number on the platform's own dashboard is a live aggregate straight from Postgres, computed the same moment it is displayed. As of this document, the production instance had processed real executions with the following genuine, measured totals:</w:t>
      </w:r>
    </w:p>
    <w:p>
      <w:pPr>
        <w:spacing w:after="60"/>
      </w:pPr>
      <w:r>
        <w:rPr>
          <w:rFonts w:ascii="Calibri" w:cs="Calibri" w:eastAsia="Calibri" w:hAnsi="Calibri"/>
          <w:b/>
          <w:bCs/>
          <w:color w:val="1A9C94"/>
          <w:sz w:val="26"/>
          <w:szCs w:val="26"/>
        </w:rPr>
        <w:t xml:space="preserve">16  </w:t>
      </w:r>
      <w:r>
        <w:rPr>
          <w:rFonts w:ascii="Calibri" w:cs="Calibri" w:eastAsia="Calibri" w:hAnsi="Calibri"/>
          <w:color w:val="5B6472"/>
          <w:sz w:val="19"/>
          <w:szCs w:val="19"/>
        </w:rPr>
        <w:t xml:space="preserve">real agent executions run, spanning every risk tier</w:t>
      </w:r>
    </w:p>
    <w:p>
      <w:pPr>
        <w:spacing w:after="60"/>
      </w:pPr>
      <w:r>
        <w:rPr>
          <w:rFonts w:ascii="Calibri" w:cs="Calibri" w:eastAsia="Calibri" w:hAnsi="Calibri"/>
          <w:b/>
          <w:bCs/>
          <w:color w:val="1A9C94"/>
          <w:sz w:val="26"/>
          <w:szCs w:val="26"/>
        </w:rPr>
        <w:t xml:space="preserve">58  </w:t>
      </w:r>
      <w:r>
        <w:rPr>
          <w:rFonts w:ascii="Calibri" w:cs="Calibri" w:eastAsia="Calibri" w:hAnsi="Calibri"/>
          <w:color w:val="5B6472"/>
          <w:sz w:val="19"/>
          <w:szCs w:val="19"/>
        </w:rPr>
        <w:t xml:space="preserve">individual sub-agent steps, 100% settled successfully</w:t>
      </w:r>
    </w:p>
    <w:p>
      <w:pPr>
        <w:spacing w:after="60"/>
      </w:pPr>
      <w:r>
        <w:rPr>
          <w:rFonts w:ascii="Calibri" w:cs="Calibri" w:eastAsia="Calibri" w:hAnsi="Calibri"/>
          <w:b/>
          <w:bCs/>
          <w:color w:val="1A9C94"/>
          <w:sz w:val="26"/>
          <w:szCs w:val="26"/>
        </w:rPr>
        <w:t xml:space="preserve">13  </w:t>
      </w:r>
      <w:r>
        <w:rPr>
          <w:rFonts w:ascii="Calibri" w:cs="Calibri" w:eastAsia="Calibri" w:hAnsi="Calibri"/>
          <w:color w:val="5B6472"/>
          <w:sz w:val="19"/>
          <w:szCs w:val="19"/>
        </w:rPr>
        <w:t xml:space="preserve">real RAG searches against the knowledge base, 100% hit rate</w:t>
      </w:r>
    </w:p>
    <w:p>
      <w:pPr>
        <w:spacing w:after="60"/>
      </w:pPr>
      <w:r>
        <w:rPr>
          <w:rFonts w:ascii="Calibri" w:cs="Calibri" w:eastAsia="Calibri" w:hAnsi="Calibri"/>
          <w:b/>
          <w:bCs/>
          <w:color w:val="1A9C94"/>
          <w:sz w:val="26"/>
          <w:szCs w:val="26"/>
        </w:rPr>
        <w:t xml:space="preserve">$0.03  </w:t>
      </w:r>
      <w:r>
        <w:rPr>
          <w:rFonts w:ascii="Calibri" w:cs="Calibri" w:eastAsia="Calibri" w:hAnsi="Calibri"/>
          <w:color w:val="5B6472"/>
          <w:sz w:val="19"/>
          <w:szCs w:val="19"/>
        </w:rPr>
        <w:t xml:space="preserve">in real, metered spend across every model provider used</w:t>
      </w:r>
    </w:p>
    <w:p>
      <w:pPr>
        <w:spacing w:after="160" w:line="288"/>
      </w:pPr>
      <w:r>
        <w:rPr>
          <w:rFonts w:ascii="Calibri" w:cs="Calibri" w:eastAsia="Calibri" w:hAnsi="Calibri"/>
          <w:i/>
          <w:iCs/>
          <w:color w:val="5B6472"/>
          <w:sz w:val="19"/>
          <w:szCs w:val="19"/>
        </w:rPr>
        <w:t xml:space="preserve">These figures grow with every real use case the organization runs through the platform — they are not reset or curated for presentation.</w:t>
      </w:r>
    </w:p>
    <w:p>
      <w:pPr>
        <w:pStyle w:val="Heading1"/>
        <w:pBdr>
          <w:bottom w:val="single" w:color="1A9C94" w:sz="8" w:space="6"/>
        </w:pBdr>
        <w:spacing w:after="200" w:before="480"/>
      </w:pPr>
      <w:r>
        <w:rPr>
          <w:rFonts w:ascii="Cambria" w:cs="Cambria" w:eastAsia="Cambria" w:hAnsi="Cambria"/>
          <w:b/>
          <w:bCs/>
          <w:color w:val="0A2A43"/>
          <w:sz w:val="30"/>
          <w:szCs w:val="30"/>
        </w:rPr>
        <w:t xml:space="preserve">Honest Scope: What's Real, and What Isn't</w:t>
      </w:r>
    </w:p>
    <w:p>
      <w:pPr>
        <w:spacing w:after="200" w:line="300"/>
      </w:pPr>
      <w:r>
        <w:rPr>
          <w:rFonts w:ascii="Calibri" w:cs="Calibri" w:eastAsia="Calibri" w:hAnsi="Calibri"/>
          <w:i/>
          <w:iCs/>
          <w:color w:val="5B6472"/>
          <w:sz w:val="23"/>
          <w:szCs w:val="23"/>
        </w:rPr>
        <w:t xml:space="preserve">Consistent with the platform's own governing principle — a control that is not real should say so, not be quietly implied.</w:t>
      </w:r>
    </w:p>
    <w:p>
      <w:pPr>
        <w:pStyle w:val="Heading2"/>
        <w:spacing w:after="140" w:before="320"/>
      </w:pPr>
      <w:r>
        <w:rPr>
          <w:rFonts w:ascii="Cambria" w:cs="Cambria" w:eastAsia="Cambria" w:hAnsi="Cambria"/>
          <w:b/>
          <w:bCs/>
          <w:color w:val="0A2A43"/>
          <w:sz w:val="24"/>
          <w:szCs w:val="24"/>
        </w:rPr>
        <w:t xml:space="preserve">What's genuinely real</w:t>
      </w:r>
    </w:p>
    <w:p>
      <w:pPr>
        <w:pStyle w:val="ListParagraph"/>
        <w:numPr>
          <w:ilvl w:val="0"/>
          <w:numId w:val="2"/>
        </w:numPr>
        <w:spacing w:after="90" w:line="276"/>
      </w:pPr>
      <w:r>
        <w:rPr>
          <w:rFonts w:ascii="Calibri" w:cs="Calibri" w:eastAsia="Calibri" w:hAnsi="Calibri"/>
          <w:color w:val="1F2937"/>
          <w:sz w:val="21"/>
          <w:szCs w:val="21"/>
        </w:rPr>
        <w:t xml:space="preserve">A real database, real authentication (local credentials plus Google SSO), and a real multi-tenant, business-unit-scoped data model.</w:t>
      </w:r>
    </w:p>
    <w:p>
      <w:pPr>
        <w:pStyle w:val="ListParagraph"/>
        <w:numPr>
          <w:ilvl w:val="0"/>
          <w:numId w:val="2"/>
        </w:numPr>
        <w:spacing w:after="90" w:line="276"/>
      </w:pPr>
      <w:r>
        <w:rPr>
          <w:rFonts w:ascii="Calibri" w:cs="Calibri" w:eastAsia="Calibri" w:hAnsi="Calibri"/>
          <w:color w:val="1F2937"/>
          <w:sz w:val="21"/>
          <w:szCs w:val="21"/>
        </w:rPr>
        <w:t xml:space="preserve">Real tool-calling agents (LangGraph + Pinecone + Cohere), with token-by-token streaming and a genuine retrieval tool, not narrated output.</w:t>
      </w:r>
    </w:p>
    <w:p>
      <w:pPr>
        <w:pStyle w:val="ListParagraph"/>
        <w:numPr>
          <w:ilvl w:val="0"/>
          <w:numId w:val="2"/>
        </w:numPr>
        <w:spacing w:after="90" w:line="276"/>
      </w:pPr>
      <w:r>
        <w:rPr>
          <w:rFonts w:ascii="Calibri" w:cs="Calibri" w:eastAsia="Calibri" w:hAnsi="Calibri"/>
          <w:color w:val="1F2937"/>
          <w:sz w:val="21"/>
          <w:szCs w:val="21"/>
        </w:rPr>
        <w:t xml:space="preserve">Real live multi-user sync — one person's action appears on another reviewer's screen within about a second, no refresh.</w:t>
      </w:r>
    </w:p>
    <w:p>
      <w:pPr>
        <w:pStyle w:val="ListParagraph"/>
        <w:numPr>
          <w:ilvl w:val="0"/>
          <w:numId w:val="2"/>
        </w:numPr>
        <w:spacing w:after="90" w:line="276"/>
      </w:pPr>
      <w:r>
        <w:rPr>
          <w:rFonts w:ascii="Calibri" w:cs="Calibri" w:eastAsia="Calibri" w:hAnsi="Calibri"/>
          <w:color w:val="1F2937"/>
          <w:sz w:val="21"/>
          <w:szCs w:val="21"/>
        </w:rPr>
        <w:t xml:space="preserve">Real runtime governance: audit log, enforced tool allowlist, and a kill-switch that actually blocks the next step.</w:t>
      </w:r>
    </w:p>
    <w:p>
      <w:pPr>
        <w:pStyle w:val="ListParagraph"/>
        <w:numPr>
          <w:ilvl w:val="0"/>
          <w:numId w:val="2"/>
        </w:numPr>
        <w:spacing w:after="90" w:line="276"/>
      </w:pPr>
      <w:r>
        <w:rPr>
          <w:rFonts w:ascii="Calibri" w:cs="Calibri" w:eastAsia="Calibri" w:hAnsi="Calibri"/>
          <w:color w:val="1F2937"/>
          <w:sz w:val="21"/>
          <w:szCs w:val="21"/>
        </w:rPr>
        <w:t xml:space="preserve">Real deployment: Vercel (app), Google Cloud Run (AI Gateway), Neon (database), Redis (rate limiting / presence / SSE state) — all live in production, not local-only.</w:t>
      </w:r>
    </w:p>
    <w:p>
      <w:pPr>
        <w:pStyle w:val="Heading2"/>
        <w:spacing w:after="140" w:before="320"/>
      </w:pPr>
      <w:r>
        <w:rPr>
          <w:rFonts w:ascii="Cambria" w:cs="Cambria" w:eastAsia="Cambria" w:hAnsi="Cambria"/>
          <w:b/>
          <w:bCs/>
          <w:color w:val="0A2A43"/>
          <w:sz w:val="24"/>
          <w:szCs w:val="24"/>
        </w:rPr>
        <w:t xml:space="preserve">What's deliberately out of scope</w:t>
      </w:r>
    </w:p>
    <w:p>
      <w:pPr>
        <w:pStyle w:val="ListParagraph"/>
        <w:numPr>
          <w:ilvl w:val="0"/>
          <w:numId w:val="2"/>
        </w:numPr>
        <w:spacing w:after="90" w:line="276"/>
      </w:pPr>
      <w:r>
        <w:rPr>
          <w:rFonts w:ascii="Calibri" w:cs="Calibri" w:eastAsia="Calibri" w:hAnsi="Calibri"/>
          <w:color w:val="1F2937"/>
          <w:sz w:val="21"/>
          <w:szCs w:val="21"/>
        </w:rPr>
        <w:t xml:space="preserve">No real external system integrations. The platform enforces a declared tool allowlist and reconciles actual usage, but building the real integration — a real wire-transfer system, a real ticketing API — is intentionally the organization's own engineering work, informed by the ADR this platform produces.</w:t>
      </w:r>
    </w:p>
    <w:p>
      <w:pPr>
        <w:pStyle w:val="ListParagraph"/>
        <w:numPr>
          <w:ilvl w:val="0"/>
          <w:numId w:val="2"/>
        </w:numPr>
        <w:spacing w:after="90" w:line="276"/>
      </w:pPr>
      <w:r>
        <w:rPr>
          <w:rFonts w:ascii="Calibri" w:cs="Calibri" w:eastAsia="Calibri" w:hAnsi="Calibri"/>
          <w:color w:val="1F2937"/>
          <w:sz w:val="21"/>
          <w:szCs w:val="21"/>
        </w:rPr>
        <w:t xml:space="preserve">EGPA's own execution engine is a validation sandbox, not a production host. It runs a real LLM against a real Gateway, but its only real callable tool is an internal knowledge-base search — it validates the recommended pattern and governance behavior, not a live production workload.</w:t>
      </w:r>
    </w:p>
    <w:p>
      <w:pPr>
        <w:pStyle w:val="Heading1"/>
        <w:pBdr>
          <w:bottom w:val="single" w:color="1A9C94" w:sz="8" w:space="6"/>
        </w:pBdr>
        <w:spacing w:after="200" w:before="480"/>
      </w:pPr>
      <w:r>
        <w:rPr>
          <w:rFonts w:ascii="Cambria" w:cs="Cambria" w:eastAsia="Cambria" w:hAnsi="Cambria"/>
          <w:b/>
          <w:bCs/>
          <w:color w:val="0A2A43"/>
          <w:sz w:val="30"/>
          <w:szCs w:val="30"/>
        </w:rPr>
        <w:t xml:space="preserve">Technology Stack</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8000"/>
      </w:tblGrid>
      <w:tr>
        <w:trPr>
          <w:tblHeader/>
        </w:trPr>
        <w:tc>
          <w:tcPr>
            <w:tcW w:type="dxa" w:w="2600"/>
            <w:shd w:fill="0A2A43"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Layer</w:t>
            </w:r>
          </w:p>
        </w:tc>
        <w:tc>
          <w:tcPr>
            <w:tcW w:type="dxa" w:w="8000"/>
            <w:shd w:fill="0A2A43"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Technology</w:t>
            </w:r>
          </w:p>
        </w:tc>
      </w:tr>
      <w:tr>
        <w:tc>
          <w:tcPr>
            <w:tcW w:type="dxa" w:w="26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Frontend</w:t>
            </w:r>
          </w:p>
        </w:tc>
        <w:tc>
          <w:tcPr>
            <w:tcW w:type="dxa" w:w="80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Next.js 16 (App Router, Turbopack), React 19, TypeScript, Tailwind v4</w:t>
            </w:r>
          </w:p>
        </w:tc>
      </w:tr>
      <w:tr>
        <w:tc>
          <w:tcPr>
            <w:tcW w:type="dxa" w:w="26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Backend / data</w:t>
            </w:r>
          </w:p>
        </w:tc>
        <w:tc>
          <w:tcPr>
            <w:tcW w:type="dxa" w:w="80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Prisma 7 + Neon Postgres, Auth.js v5 (credentials + Google OIDC)</w:t>
            </w:r>
          </w:p>
        </w:tc>
      </w:tr>
      <w:tr>
        <w:tc>
          <w:tcPr>
            <w:tcW w:type="dxa" w:w="26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Agent orchestration</w:t>
            </w:r>
          </w:p>
        </w:tc>
        <w:tc>
          <w:tcPr>
            <w:tcW w:type="dxa" w:w="80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LangGraph + LangChain, token-by-token streaming via Server-Sent Events</w:t>
            </w:r>
          </w:p>
        </w:tc>
      </w:tr>
      <w:tr>
        <w:tc>
          <w:tcPr>
            <w:tcW w:type="dxa" w:w="26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Retrieval / RAG</w:t>
            </w:r>
          </w:p>
        </w:tc>
        <w:tc>
          <w:tcPr>
            <w:tcW w:type="dxa" w:w="80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Pinecone (vector index) + Cohere (embeddings)</w:t>
            </w:r>
          </w:p>
        </w:tc>
      </w:tr>
      <w:tr>
        <w:tc>
          <w:tcPr>
            <w:tcW w:type="dxa" w:w="26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AI Gateway</w:t>
            </w:r>
          </w:p>
        </w:tc>
        <w:tc>
          <w:tcPr>
            <w:tcW w:type="dxa" w:w="80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Self-hosted LiteLLM Proxy on Google Cloud Run, multi-provider automatic fallback</w:t>
            </w:r>
          </w:p>
        </w:tc>
      </w:tr>
      <w:tr>
        <w:tc>
          <w:tcPr>
            <w:tcW w:type="dxa" w:w="26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Real-time / caching</w:t>
            </w:r>
          </w:p>
        </w:tc>
        <w:tc>
          <w:tcPr>
            <w:tcW w:type="dxa" w:w="8000"/>
            <w:shd w:fill="F3F6F8"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Redis (Upstash) — rate limiting, live presence, quotas, SSE broadcast</w:t>
            </w:r>
          </w:p>
        </w:tc>
      </w:tr>
      <w:tr>
        <w:tc>
          <w:tcPr>
            <w:tcW w:type="dxa" w:w="26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Deployment</w:t>
            </w:r>
          </w:p>
        </w:tc>
        <w:tc>
          <w:tcPr>
            <w:tcW w:type="dxa" w:w="8000"/>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7"/>
                <w:sz w:val="20"/>
                <w:szCs w:val="20"/>
              </w:rPr>
              <w:t xml:space="preserve">Vercel (application) + Google Cloud Run (AI Gateway) + Neon (database)</w:t>
            </w:r>
          </w:p>
        </w:tc>
      </w:tr>
    </w:tbl>
    <w:p>
      <w:pPr>
        <w:pStyle w:val="Heading1"/>
        <w:pBdr>
          <w:bottom w:val="single" w:color="1A9C94" w:sz="8" w:space="6"/>
        </w:pBdr>
        <w:spacing w:after="200" w:before="480"/>
      </w:pPr>
      <w:r>
        <w:rPr>
          <w:rFonts w:ascii="Cambria" w:cs="Cambria" w:eastAsia="Cambria" w:hAnsi="Cambria"/>
          <w:b/>
          <w:bCs/>
          <w:color w:val="0A2A43"/>
          <w:sz w:val="30"/>
          <w:szCs w:val="30"/>
        </w:rPr>
        <w:t xml:space="preserve">Closing</w:t>
      </w:r>
    </w:p>
    <w:p>
      <w:pPr>
        <w:spacing w:after="160" w:line="288"/>
      </w:pPr>
      <w:r>
        <w:rPr>
          <w:rFonts w:ascii="Calibri" w:cs="Calibri" w:eastAsia="Calibri" w:hAnsi="Calibri"/>
          <w:color w:val="1F2937"/>
          <w:sz w:val="21"/>
          <w:szCs w:val="21"/>
        </w:rPr>
        <w:t xml:space="preserve">EGPA demonstrates that AI governance does not have to be a bottleneck bolted onto the end of a build process. By turning risk assessment, sign-off, and audit into enforced, automatic parts of the same pipeline a team already uses to design their agent, governance becomes the fast, well-lit path — not the reason teams go around it.</w:t>
      </w:r>
    </w:p>
    <w:p>
      <w:pPr>
        <w:spacing w:after="160" w:line="288"/>
      </w:pPr>
      <w:r>
        <w:rPr>
          <w:rFonts w:ascii="Calibri" w:cs="Calibri" w:eastAsia="Calibri" w:hAnsi="Calibri"/>
          <w:b/>
          <w:bCs/>
          <w:color w:val="0A2A43"/>
          <w:sz w:val="21"/>
          <w:szCs w:val="21"/>
        </w:rPr>
        <w:t xml:space="preserve">This document reflects a real, running system, independently verifiable end to end — from the first Discovery conversation through a live, streamed, multi-agent execution with real cost and token accounting.</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5"/>
        <w:szCs w:val="15"/>
      </w:rPr>
      <w:t xml:space="preserve">Page </w:t>
    </w:r>
    <w:r>
      <w:rPr>
        <w:rFonts w:ascii="Calibri" w:cs="Calibri" w:eastAsia="Calibri" w:hAnsi="Calibri"/>
        <w:color w:val="5B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472"/>
        <w:sz w:val="15"/>
        <w:szCs w:val="15"/>
      </w:rPr>
      <w:t xml:space="preserve">EGPA — Enterprise Governance Platform for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2026-08-16T07:57:30.966Z</dcterms:created>
  <dcterms:modified xsi:type="dcterms:W3CDTF">2026-08-16T07:57:30.967Z</dcterms:modified>
</cp:coreProperties>
</file>

<file path=docProps/custom.xml><?xml version="1.0" encoding="utf-8"?>
<Properties xmlns="http://schemas.openxmlformats.org/officeDocument/2006/custom-properties" xmlns:vt="http://schemas.openxmlformats.org/officeDocument/2006/docPropsVTypes"/>
</file>