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A43"/>
          <w:sz w:val="96"/>
          <w:szCs w:val="96"/>
        </w:rPr>
        <w:t xml:space="preserve">EGPA</w:t>
      </w:r>
    </w:p>
    <w:p>
      <w:pPr>
        <w:spacing w:after="60" w:before="120"/>
        <w:jc w:val="center"/>
      </w:pPr>
      <w:r>
        <w:rPr>
          <w:rFonts w:ascii="Calibri" w:cs="Calibri" w:eastAsia="Calibri" w:hAnsi="Calibri"/>
          <w:b/>
          <w:bCs/>
          <w:color w:val="1A9C94"/>
          <w:sz w:val="30"/>
          <w:szCs w:val="30"/>
        </w:rPr>
        <w:t xml:space="preserve">ENTERPRISE GOVERNANCE PLATFORM FOR AI</w:t>
      </w:r>
    </w:p>
    <w:p>
      <w:pPr>
        <w:spacing w:before="400"/>
        <w:jc w:val="center"/>
      </w:pPr>
      <w:r>
        <w:rPr>
          <w:rFonts w:ascii="Calibri" w:cs="Calibri" w:eastAsia="Calibri" w:hAnsi="Calibri"/>
          <w:i/>
          <w:iCs/>
          <w:color w:val="5B6472"/>
          <w:sz w:val="24"/>
          <w:szCs w:val="24"/>
        </w:rPr>
        <w:t xml:space="preserve">A real, working control plane that takes an AI use case from problem statement to governed, running agent — with enforced risk assessment, sign-off, audit trail, and runtime kill-switch at every stage.</w:t>
      </w:r>
    </w:p>
    <w:p>
      <w:pPr>
        <w:spacing w:before="3200"/>
      </w:pPr>
    </w:p>
    <w:p>
      <w:pPr>
        <w:pBdr>
          <w:top w:val="single" w:color="1A9C94" w:sz="6" w:space="12"/>
        </w:pBdr>
        <w:spacing w:before="0"/>
        <w:jc w:val="center"/>
      </w:pPr>
    </w:p>
    <w:p>
      <w:pPr>
        <w:spacing w:before="200"/>
        <w:jc w:val="center"/>
      </w:pPr>
      <w:r>
        <w:rPr>
          <w:rFonts w:ascii="Calibri" w:cs="Calibri" w:eastAsia="Calibri" w:hAnsi="Calibri"/>
          <w:b/>
          <w:bCs/>
          <w:color w:val="0A2A43"/>
          <w:sz w:val="22"/>
          <w:szCs w:val="22"/>
        </w:rPr>
        <w:t xml:space="preserve">Product &amp; Architecture Overview</w:t>
      </w:r>
    </w:p>
    <w:p>
      <w:pPr>
        <w:spacing w:before="80"/>
        <w:jc w:val="center"/>
      </w:pPr>
      <w:r>
        <w:rPr>
          <w:rFonts w:ascii="Calibri" w:cs="Calibri" w:eastAsia="Calibri" w:hAnsi="Calibri"/>
          <w:color w:val="5B6472"/>
          <w:sz w:val="20"/>
          <w:szCs w:val="20"/>
        </w:rPr>
        <w:t xml:space="preserve">August 2026</w:t>
      </w:r>
    </w:p>
    <w:p>
      <w:pPr>
        <w:sectPr>
          <w:pgSz w:w="12240" w:h="15840" w:orient="portrait"/>
          <w:pgMar w:top="1296" w:right="1296" w:bottom="1296" w:left="1296" w:header="708" w:footer="708" w:gutter="0"/>
          <w:pgNumType/>
          <w:docGrid w:linePitch="360"/>
        </w:sectPr>
      </w:pPr>
    </w:p>
    <w:p>
      <w:pPr>
        <w:pStyle w:val="Heading1"/>
        <w:pBdr>
          <w:bottom w:val="single" w:color="1A9C94" w:sz="8" w:space="6"/>
        </w:pBdr>
        <w:spacing w:after="200" w:before="480"/>
      </w:pPr>
      <w:r>
        <w:rPr>
          <w:rFonts w:ascii="Cambria" w:cs="Cambria" w:eastAsia="Cambria" w:hAnsi="Cambria"/>
          <w:b/>
          <w:bCs/>
          <w:color w:val="0A2A43"/>
          <w:sz w:val="30"/>
          <w:szCs w:val="30"/>
        </w:rPr>
        <w:t xml:space="preserve">Executive Summary</w:t>
      </w:r>
    </w:p>
    <w:p>
      <w:pPr>
        <w:spacing w:after="160" w:line="288"/>
      </w:pPr>
      <w:r>
        <w:rPr>
          <w:rFonts w:ascii="Calibri" w:cs="Calibri" w:eastAsia="Calibri" w:hAnsi="Calibri"/>
          <w:color w:val="1F2937"/>
          <w:sz w:val="21"/>
          <w:szCs w:val="21"/>
        </w:rPr>
        <w:t xml:space="preserve">EGPA is a real, working governance and control-plane platform for AI and agentic use cases — not a mockup or a slide deck of intentions. An organization submits a use case, and the platform computes a risk tier, generates a real LLM-backed architecture recommendation, enforces a governance gate with genuine sign-off and segregation of duties, auto-assembles a versioned Architecture Decision Record, and — once approved — runs a real multi-agent execution with full audit lineage through a self-hosted AI Gateway.</w:t>
      </w:r>
    </w:p>
    <w:p>
      <w:pPr>
        <w:spacing w:after="160" w:line="288"/>
      </w:pPr>
      <w:r>
        <w:rPr>
          <w:rFonts w:ascii="Calibri" w:cs="Calibri" w:eastAsia="Calibri" w:hAnsi="Calibri"/>
          <w:color w:val="1F2937"/>
          <w:sz w:val="21"/>
          <w:szCs w:val="21"/>
        </w:rPr>
        <w:t xml:space="preserve">It exists to solve a specific, federated-organization problem: business units want to build AI agents faster than central governance can review them by hand. EGPA makes governance the fast path, not the bottleneck, by turning policy into enforced code — risk scoring, required controls, and audit trails that happen automatically as part of building the agent, not as a separate compliance chore bolted on afterward.</w:t>
      </w:r>
    </w:p>
    <w:p>
      <w:pPr>
        <w:spacing w:after="160" w:line="288"/>
      </w:pPr>
      <w:r>
        <w:rPr>
          <w:rFonts w:ascii="Calibri" w:cs="Calibri" w:eastAsia="Calibri" w:hAnsi="Calibri"/>
          <w:color w:val="1F2937"/>
          <w:sz w:val="21"/>
          <w:szCs w:val="21"/>
        </w:rPr>
        <w:t xml:space="preserve">Every capability described in this document is live and independently verifiable in production: real database, real authentication, real multi-agent tool-calling, real deployment across Vercel, Google Cloud Run, and Neon Postgres, and a tamper-evident, hash-chained audit log. Where something is deliberately out of scope, this document says so explicitly — see “Honest Scope” later in this document.</w:t>
      </w:r>
    </w:p>
    <w:p>
      <w:pPr>
        <w:pStyle w:val="Heading1"/>
        <w:pBdr>
          <w:bottom w:val="single" w:color="1A9C94" w:sz="8" w:space="6"/>
        </w:pBdr>
        <w:spacing w:after="200" w:before="480"/>
      </w:pPr>
      <w:r>
        <w:rPr>
          <w:rFonts w:ascii="Cambria" w:cs="Cambria" w:eastAsia="Cambria" w:hAnsi="Cambria"/>
          <w:b/>
          <w:bCs/>
          <w:color w:val="0A2A43"/>
          <w:sz w:val="30"/>
          <w:szCs w:val="30"/>
        </w:rPr>
        <w:t xml:space="preserve">The Problem</w:t>
      </w:r>
    </w:p>
    <w:p>
      <w:pPr>
        <w:spacing w:after="160" w:line="288"/>
      </w:pPr>
      <w:r>
        <w:rPr>
          <w:rFonts w:ascii="Calibri" w:cs="Calibri" w:eastAsia="Calibri" w:hAnsi="Calibri"/>
          <w:color w:val="1F2937"/>
          <w:sz w:val="21"/>
          <w:szCs w:val="21"/>
        </w:rPr>
        <w:t xml:space="preserve">Federated organizations — banks, insurers, and other regulated enterprises with many semi-autonomous business units — face a structural tension: individual teams want to build AI agents quickly, using whatever framework and tool stack fits their problem, while central risk and compliance functions need every agent reviewed against a consistent bar before it touches real systems or real customer data.</w:t>
      </w:r>
    </w:p>
    <w:p>
      <w:pPr>
        <w:spacing w:after="160" w:line="288"/>
      </w:pPr>
      <w:r>
        <w:rPr>
          <w:rFonts w:ascii="Calibri" w:cs="Calibri" w:eastAsia="Calibri" w:hAnsi="Calibri"/>
          <w:color w:val="1F2937"/>
          <w:sz w:val="21"/>
          <w:szCs w:val="21"/>
        </w:rPr>
        <w:t xml:space="preserve">Manual review does not scale to that volume, and informal governance — a wiki page of guidelines, a Slack approval thread — leaves no enforceable record and no way to prove, after the fact, that a control was actually satisfied rather than merely acknowledged. The result is either a governance bottleneck that pushes teams to build outside the process entirely, or a paper-thin governance layer that does not hold up under audit.</w:t>
      </w:r>
    </w:p>
    <w:p>
      <w:pPr>
        <w:pStyle w:val="Heading1"/>
        <w:pBdr>
          <w:bottom w:val="single" w:color="1A9C94" w:sz="8" w:space="6"/>
        </w:pBdr>
        <w:spacing w:after="200" w:before="480"/>
      </w:pPr>
      <w:r>
        <w:rPr>
          <w:rFonts w:ascii="Cambria" w:cs="Cambria" w:eastAsia="Cambria" w:hAnsi="Cambria"/>
          <w:b/>
          <w:bCs/>
          <w:color w:val="0A2A43"/>
          <w:sz w:val="30"/>
          <w:szCs w:val="30"/>
        </w:rPr>
        <w:t xml:space="preserve">How We Arrived at EGPA: Problem Validation &amp; Option Analysis</w:t>
      </w:r>
    </w:p>
    <w:p>
      <w:pPr>
        <w:spacing w:after="200" w:line="300"/>
      </w:pPr>
      <w:r>
        <w:rPr>
          <w:rFonts w:ascii="Calibri" w:cs="Calibri" w:eastAsia="Calibri" w:hAnsi="Calibri"/>
          <w:i/>
          <w:iCs/>
          <w:color w:val="5B6472"/>
          <w:sz w:val="23"/>
          <w:szCs w:val="23"/>
        </w:rPr>
        <w:t xml:space="preserve">What follows is the reasoning that precedes the product, not the product itself — included so the decision is auditable, not just the outcome.</w:t>
      </w:r>
    </w:p>
    <w:p>
      <w:pPr>
        <w:pStyle w:val="Heading2"/>
        <w:spacing w:after="140" w:before="320"/>
      </w:pPr>
      <w:r>
        <w:rPr>
          <w:rFonts w:ascii="Cambria" w:cs="Cambria" w:eastAsia="Cambria" w:hAnsi="Cambria"/>
          <w:b/>
          <w:bCs/>
          <w:color w:val="0A2A43"/>
          <w:sz w:val="24"/>
          <w:szCs w:val="24"/>
        </w:rPr>
        <w:t xml:space="preserve">Problem discovery and validation</w:t>
      </w:r>
    </w:p>
    <w:p>
      <w:pPr>
        <w:spacing w:after="160" w:line="288"/>
      </w:pPr>
      <w:r>
        <w:rPr>
          <w:rFonts w:ascii="Calibri" w:cs="Calibri" w:eastAsia="Calibri" w:hAnsi="Calibri"/>
          <w:color w:val="1F2937"/>
          <w:sz w:val="21"/>
          <w:szCs w:val="21"/>
        </w:rPr>
        <w:t xml:space="preserve">Before any platform is the right answer, the underlying business problem needs to be established, not assumed. For a federated organization, that means talking to the people on both sides of the tension described above: Enterprise Architecture and platform engineering (who own whatever gets built), Risk, Compliance, and Legal (who own what "acceptable" means), individual business-unit technology leads (who own the actual demand for AI use cases), Information Security, and the owners of whatever GRC and ITSM tooling already exists — plus a representative sample of the requesters themselves, since a governance process nobody uses is not a governance process.</w:t>
      </w:r>
    </w:p>
    <w:p>
      <w:pPr>
        <w:spacing w:after="160" w:line="288"/>
      </w:pPr>
      <w:r>
        <w:rPr>
          <w:rFonts w:ascii="Calibri" w:cs="Calibri" w:eastAsia="Calibri" w:hAnsi="Calibri"/>
          <w:color w:val="1F2937"/>
          <w:sz w:val="21"/>
          <w:szCs w:val="21"/>
        </w:rPr>
        <w:t xml:space="preserve">A handful of assumptions would need real testing before any solution — including EGPA — is confirmed as the right one:</w:t>
      </w:r>
    </w:p>
    <w:p>
      <w:pPr>
        <w:pStyle w:val="ListParagraph"/>
        <w:numPr>
          <w:ilvl w:val="0"/>
          <w:numId w:val="2"/>
        </w:numPr>
        <w:spacing w:after="90" w:line="276"/>
      </w:pPr>
      <w:r>
        <w:rPr>
          <w:rFonts w:ascii="Calibri" w:cs="Calibri" w:eastAsia="Calibri" w:hAnsi="Calibri"/>
          <w:color w:val="1F2937"/>
          <w:sz w:val="21"/>
          <w:szCs w:val="21"/>
        </w:rPr>
        <w:t xml:space="preserve">That existing GRC/ITSM tooling genuinely cannot absorb AI-specific risk dimensions (model/vendor exposure, runtime tool-call auditing, a live kill-switch) without disproportionate custom development — tested by a real extensibility review of the org's actual platform, not a generic assumption about GRC tools.</w:t>
      </w:r>
    </w:p>
    <w:p>
      <w:pPr>
        <w:pStyle w:val="ListParagraph"/>
        <w:numPr>
          <w:ilvl w:val="0"/>
          <w:numId w:val="2"/>
        </w:numPr>
        <w:spacing w:after="90" w:line="276"/>
      </w:pPr>
      <w:r>
        <w:rPr>
          <w:rFonts w:ascii="Calibri" w:cs="Calibri" w:eastAsia="Calibri" w:hAnsi="Calibri"/>
          <w:color w:val="1F2937"/>
          <w:sz w:val="21"/>
          <w:szCs w:val="21"/>
        </w:rPr>
        <w:t xml:space="preserve">That the volume and velocity of AI use-case requests will genuinely exceed what manual, person-by-person review can sustain — tested against real or projected request volume, not anecdote.</w:t>
      </w:r>
    </w:p>
    <w:p>
      <w:pPr>
        <w:pStyle w:val="ListParagraph"/>
        <w:numPr>
          <w:ilvl w:val="0"/>
          <w:numId w:val="2"/>
        </w:numPr>
        <w:spacing w:after="90" w:line="276"/>
      </w:pPr>
      <w:r>
        <w:rPr>
          <w:rFonts w:ascii="Calibri" w:cs="Calibri" w:eastAsia="Calibri" w:hAnsi="Calibri"/>
          <w:color w:val="1F2937"/>
          <w:sz w:val="21"/>
          <w:szCs w:val="21"/>
        </w:rPr>
        <w:t xml:space="preserve">That business units will actually route new AI use cases through a centrally governed intake process rather than building around it — tested by interviewing the business units most likely to resist, not the most cooperative ones.</w:t>
      </w:r>
    </w:p>
    <w:p>
      <w:pPr>
        <w:pStyle w:val="ListParagraph"/>
        <w:numPr>
          <w:ilvl w:val="0"/>
          <w:numId w:val="2"/>
        </w:numPr>
        <w:spacing w:after="90" w:line="276"/>
      </w:pPr>
      <w:r>
        <w:rPr>
          <w:rFonts w:ascii="Calibri" w:cs="Calibri" w:eastAsia="Calibri" w:hAnsi="Calibri"/>
          <w:color w:val="1F2937"/>
          <w:sz w:val="21"/>
          <w:szCs w:val="21"/>
        </w:rPr>
        <w:t xml:space="preserve">That risk can be meaningfully computed from a structured questionnaire rather than requiring expert judgment on every single case — tested by validating a proposed scoring model against real historical use cases and seeing whether it agrees with what an expert reviewer would have concluded.</w:t>
      </w:r>
    </w:p>
    <w:p>
      <w:pPr>
        <w:pStyle w:val="Heading2"/>
        <w:spacing w:after="140" w:before="320"/>
      </w:pPr>
      <w:r>
        <w:rPr>
          <w:rFonts w:ascii="Cambria" w:cs="Cambria" w:eastAsia="Cambria" w:hAnsi="Cambria"/>
          <w:b/>
          <w:bCs/>
          <w:color w:val="0A2A43"/>
          <w:sz w:val="24"/>
          <w:szCs w:val="24"/>
        </w:rPr>
        <w:t xml:space="preserve">Alternative enterprise approaches</w:t>
      </w:r>
    </w:p>
    <w:p>
      <w:pPr>
        <w:spacing w:after="160" w:line="288"/>
      </w:pPr>
      <w:r>
        <w:rPr>
          <w:rFonts w:ascii="Calibri" w:cs="Calibri" w:eastAsia="Calibri" w:hAnsi="Calibri"/>
          <w:color w:val="1F2937"/>
          <w:sz w:val="21"/>
          <w:szCs w:val="21"/>
        </w:rPr>
        <w:t xml:space="preserve">At the platform level — not the technology level — there are three genuinely different ways to solve this problem:</w:t>
      </w:r>
    </w:p>
    <w:p>
      <w:pPr>
        <w:pStyle w:val="ListParagraph"/>
        <w:numPr>
          <w:ilvl w:val="0"/>
          <w:numId w:val="2"/>
        </w:numPr>
        <w:spacing w:after="90" w:line="276"/>
      </w:pPr>
      <w:r>
        <w:rPr>
          <w:rFonts w:ascii="Calibri" w:cs="Calibri" w:eastAsia="Calibri" w:hAnsi="Calibri"/>
          <w:b/>
          <w:bCs/>
          <w:color w:val="1F2937"/>
          <w:sz w:val="21"/>
          <w:szCs w:val="21"/>
        </w:rPr>
        <w:t xml:space="preserve">Extend existing governance, architecture, and service-management platforms. Add an "AI use case" request type, a risk questionnaire, and an approval workflow to whatever GRC and ITSM tooling the organization already runs.</w:t>
      </w:r>
    </w:p>
    <w:p>
      <w:pPr>
        <w:pStyle w:val="ListParagraph"/>
        <w:numPr>
          <w:ilvl w:val="0"/>
          <w:numId w:val="2"/>
        </w:numPr>
        <w:spacing w:after="90" w:line="276"/>
      </w:pPr>
      <w:r>
        <w:rPr>
          <w:rFonts w:ascii="Calibri" w:cs="Calibri" w:eastAsia="Calibri" w:hAnsi="Calibri"/>
          <w:b/>
          <w:bCs/>
          <w:color w:val="1F2937"/>
          <w:sz w:val="21"/>
          <w:szCs w:val="21"/>
        </w:rPr>
        <w:t xml:space="preserve">Procure and configure an established AI governance product. Buy a commercial AI/model-risk-governance platform and configure it to the organization's control requirements.</w:t>
      </w:r>
    </w:p>
    <w:p>
      <w:pPr>
        <w:pStyle w:val="ListParagraph"/>
        <w:numPr>
          <w:ilvl w:val="0"/>
          <w:numId w:val="2"/>
        </w:numPr>
        <w:spacing w:after="90" w:line="276"/>
      </w:pPr>
      <w:r>
        <w:rPr>
          <w:rFonts w:ascii="Calibri" w:cs="Calibri" w:eastAsia="Calibri" w:hAnsi="Calibri"/>
          <w:b/>
          <w:bCs/>
          <w:color w:val="1F2937"/>
          <w:sz w:val="21"/>
          <w:szCs w:val="21"/>
        </w:rPr>
        <w:t xml:space="preserve">Build a dedicated enterprise AI governance and execution platform, such as EGPA. Purpose-built control plane, tailored to the organization's own risk taxonomy and coupled directly to its own AI Gateway and execution substrate.</w:t>
      </w:r>
    </w:p>
    <w:p>
      <w:pPr>
        <w:pStyle w:val="Heading2"/>
        <w:spacing w:after="140" w:before="320"/>
      </w:pPr>
      <w:r>
        <w:rPr>
          <w:rFonts w:ascii="Cambria" w:cs="Cambria" w:eastAsia="Cambria" w:hAnsi="Cambria"/>
          <w:b/>
          <w:bCs/>
          <w:color w:val="0A2A43"/>
          <w:sz w:val="24"/>
          <w:szCs w:val="24"/>
        </w:rPr>
        <w:t xml:space="preserve">Options and trade-offs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50"/>
        <w:gridCol w:w="2650"/>
        <w:gridCol w:w="2650"/>
        <w:gridCol w:w="2650"/>
      </w:tblGrid>
      <w:tr>
        <w:trPr>
          <w:tblHeader/>
        </w:trPr>
        <w:tc>
          <w:tcPr>
            <w:tcW w:type="dxa" w:w="165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Dimension</w:t>
            </w:r>
          </w:p>
        </w:tc>
        <w:tc>
          <w:tcPr>
            <w:tcW w:type="dxa" w:w="265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Extend existing GRC/ITSM</w:t>
            </w:r>
          </w:p>
        </w:tc>
        <w:tc>
          <w:tcPr>
            <w:tcW w:type="dxa" w:w="265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Buy an AI governance product</w:t>
            </w:r>
          </w:p>
        </w:tc>
        <w:tc>
          <w:tcPr>
            <w:tcW w:type="dxa" w:w="265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Build (EGPA)</w:t>
            </w:r>
          </w:p>
        </w:tc>
      </w:tr>
      <w:tr>
        <w:tc>
          <w:tcPr>
            <w:tcW w:type="dxa" w:w="1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Implementation time</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Fastest — reuses an existing workflow engine</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Medium — vendor configuration and integration</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Slowest to first value, but sequenced entirely on the org's own priorities</w:t>
            </w:r>
          </w:p>
        </w:tc>
      </w:tr>
      <w:tr>
        <w:tc>
          <w:tcPr>
            <w:tcW w:type="dxa" w:w="1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Cost profile</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Lowest incremental — licensing already sunk</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Recurring license, often per-seat or per-model</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Upfront engineering investment; no license, but ongoing internal ownership</w:t>
            </w:r>
          </w:p>
        </w:tc>
      </w:tr>
      <w:tr>
        <w:tc>
          <w:tcPr>
            <w:tcW w:type="dxa" w:w="1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 complexity</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Low for the platform itself, but AI-specific runtime concepts (live kill-switch, streaming execution, real tool-call audit) are not native to it</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Medium-high — must integrate with the org's own AI Gateway, which the vendor did not design around</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Low, by construction — the platform is designed natively around the org's real AI Gateway and execution engine</w:t>
            </w:r>
          </w:p>
        </w:tc>
      </w:tr>
      <w:tr>
        <w:tc>
          <w:tcPr>
            <w:tcW w:type="dxa" w:w="1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Flexibility</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the host platform's workflow and data model</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Configurable within the vendor's model; core logic is vendor-owned</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Highest — every control and workflow can be shaped exactly to the org</w:t>
            </w:r>
          </w:p>
        </w:tc>
      </w:tr>
      <w:tr>
        <w:tc>
          <w:tcPr>
            <w:tcW w:type="dxa" w:w="1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Operational ownership</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Existing GRC/ITSM team; no new team required</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 vendor relationship, plus an internal team to map the org's risk taxonomy onto it</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 new internal platform team, required to build and to run it long-term</w:t>
            </w:r>
          </w:p>
        </w:tc>
      </w:tr>
      <w:tr>
        <w:tc>
          <w:tcPr>
            <w:tcW w:type="dxa" w:w="1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Regulatory control</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General-purpose control language, not AI-specific</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Often compliance-aware, but generic across industries</w:t>
            </w:r>
          </w:p>
        </w:tc>
        <w:tc>
          <w:tcPr>
            <w:tcW w:type="dxa" w:w="265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Highest — controls can be mapped precisely to a specific regulation or clause (not yet built in EGPA — see Roadmap)</w:t>
            </w:r>
          </w:p>
        </w:tc>
      </w:tr>
      <w:tr>
        <w:tc>
          <w:tcPr>
            <w:tcW w:type="dxa" w:w="1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Scalability</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Strong for approval-workflow volume; not built for real-time runtime supervision of a running agent</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Good, but bound to the vendor's own roadmap for AI-specific capability</w:t>
            </w:r>
          </w:p>
        </w:tc>
        <w:tc>
          <w:tcPr>
            <w:tcW w:type="dxa" w:w="26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Purpose-built for the real-time enforcement (kill-switch, streaming, tool-call audit) the other two options don't natively support</w:t>
            </w:r>
          </w:p>
        </w:tc>
      </w:tr>
    </w:tbl>
    <w:p>
      <w:pPr>
        <w:pStyle w:val="Heading2"/>
        <w:spacing w:after="140" w:before="320"/>
      </w:pPr>
      <w:r>
        <w:rPr>
          <w:rFonts w:ascii="Cambria" w:cs="Cambria" w:eastAsia="Cambria" w:hAnsi="Cambria"/>
          <w:b/>
          <w:bCs/>
          <w:color w:val="0A2A43"/>
          <w:sz w:val="24"/>
          <w:szCs w:val="24"/>
        </w:rPr>
        <w:t xml:space="preserve">Build-versus-buy rationale</w:t>
      </w:r>
    </w:p>
    <w:p>
      <w:pPr>
        <w:spacing w:after="160" w:line="288"/>
      </w:pPr>
      <w:r>
        <w:rPr>
          <w:rFonts w:ascii="Calibri" w:cs="Calibri" w:eastAsia="Calibri" w:hAnsi="Calibri"/>
          <w:b/>
          <w:bCs/>
          <w:color w:val="1F2937"/>
          <w:sz w:val="21"/>
          <w:szCs w:val="21"/>
        </w:rPr>
        <w:t xml:space="preserve">Building EGPA is the right call specifically when:</w:t>
      </w:r>
    </w:p>
    <w:p>
      <w:pPr>
        <w:pStyle w:val="ListParagraph"/>
        <w:numPr>
          <w:ilvl w:val="0"/>
          <w:numId w:val="2"/>
        </w:numPr>
        <w:spacing w:after="90" w:line="276"/>
      </w:pPr>
      <w:r>
        <w:rPr>
          <w:rFonts w:ascii="Calibri" w:cs="Calibri" w:eastAsia="Calibri" w:hAnsi="Calibri"/>
          <w:color w:val="1F2937"/>
          <w:sz w:val="21"/>
          <w:szCs w:val="21"/>
        </w:rPr>
        <w:t xml:space="preserve">Runtime enforcement is a hard requirement — a kill-switch that actually halts execution mid-run, live tool-call auditing, and real-time policy checks against a live AI Gateway. Existing GRC/ITSM tooling and most commercial AI-governance products are built for policy and approval workflow, not real-time intervention inside a running agent.</w:t>
      </w:r>
    </w:p>
    <w:p>
      <w:pPr>
        <w:pStyle w:val="ListParagraph"/>
        <w:numPr>
          <w:ilvl w:val="0"/>
          <w:numId w:val="2"/>
        </w:numPr>
        <w:spacing w:after="90" w:line="276"/>
      </w:pPr>
      <w:r>
        <w:rPr>
          <w:rFonts w:ascii="Calibri" w:cs="Calibri" w:eastAsia="Calibri" w:hAnsi="Calibri"/>
          <w:color w:val="1F2937"/>
          <w:sz w:val="21"/>
          <w:szCs w:val="21"/>
        </w:rPr>
        <w:t xml:space="preserve">The organization already operates its own AI Gateway or model-serving infrastructure, and governance needs to be coupled tightly to it rather than bolted on afterward.</w:t>
      </w:r>
    </w:p>
    <w:p>
      <w:pPr>
        <w:pStyle w:val="ListParagraph"/>
        <w:numPr>
          <w:ilvl w:val="0"/>
          <w:numId w:val="2"/>
        </w:numPr>
        <w:spacing w:after="90" w:line="276"/>
      </w:pPr>
      <w:r>
        <w:rPr>
          <w:rFonts w:ascii="Calibri" w:cs="Calibri" w:eastAsia="Calibri" w:hAnsi="Calibri"/>
          <w:color w:val="1F2937"/>
          <w:sz w:val="21"/>
          <w:szCs w:val="21"/>
        </w:rPr>
        <w:t xml:space="preserve">The organization's risk taxonomy is specific enough — federated business units, multiple regulatory regimes — that a generic product's configuration ceiling would be reached quickly.</w:t>
      </w:r>
    </w:p>
    <w:p>
      <w:pPr>
        <w:pStyle w:val="ListParagraph"/>
        <w:numPr>
          <w:ilvl w:val="0"/>
          <w:numId w:val="2"/>
        </w:numPr>
        <w:spacing w:after="90" w:line="276"/>
      </w:pPr>
      <w:r>
        <w:rPr>
          <w:rFonts w:ascii="Calibri" w:cs="Calibri" w:eastAsia="Calibri" w:hAnsi="Calibri"/>
          <w:color w:val="1F2937"/>
          <w:sz w:val="21"/>
          <w:szCs w:val="21"/>
        </w:rPr>
        <w:t xml:space="preserve">The organization has genuine, sustained platform-engineering capacity to build and maintain it — the real ongoing cost of "build" is the maintenance commitment, not just the initial construction.</w:t>
      </w:r>
    </w:p>
    <w:p>
      <w:pPr>
        <w:spacing w:after="160" w:line="288"/>
      </w:pPr>
      <w:r>
        <w:rPr>
          <w:rFonts w:ascii="Calibri" w:cs="Calibri" w:eastAsia="Calibri" w:hAnsi="Calibri"/>
          <w:b/>
          <w:bCs/>
          <w:color w:val="1F2937"/>
          <w:sz w:val="21"/>
          <w:szCs w:val="21"/>
        </w:rPr>
        <w:t xml:space="preserve">Buying or extending is the right call instead when:</w:t>
      </w:r>
    </w:p>
    <w:p>
      <w:pPr>
        <w:pStyle w:val="ListParagraph"/>
        <w:numPr>
          <w:ilvl w:val="0"/>
          <w:numId w:val="2"/>
        </w:numPr>
        <w:spacing w:after="90" w:line="276"/>
      </w:pPr>
      <w:r>
        <w:rPr>
          <w:rFonts w:ascii="Calibri" w:cs="Calibri" w:eastAsia="Calibri" w:hAnsi="Calibri"/>
          <w:color w:val="1F2937"/>
          <w:sz w:val="21"/>
          <w:szCs w:val="21"/>
        </w:rPr>
        <w:t xml:space="preserve">AI initiatives are early-stage or low-volume, and a lightweight extension of existing GRC/ITSM tooling is enough to establish basic oversight without a new platform investment.</w:t>
      </w:r>
    </w:p>
    <w:p>
      <w:pPr>
        <w:pStyle w:val="ListParagraph"/>
        <w:numPr>
          <w:ilvl w:val="0"/>
          <w:numId w:val="2"/>
        </w:numPr>
        <w:spacing w:after="90" w:line="276"/>
      </w:pPr>
      <w:r>
        <w:rPr>
          <w:rFonts w:ascii="Calibri" w:cs="Calibri" w:eastAsia="Calibri" w:hAnsi="Calibri"/>
          <w:color w:val="1F2937"/>
          <w:sz w:val="21"/>
          <w:szCs w:val="21"/>
        </w:rPr>
        <w:t xml:space="preserve">There is no in-house AI Gateway or execution substrate to govern yet — with nothing running, there is nothing for a build like EGPA to attach to, and a policy-and-approval product may be sufficient on its own.</w:t>
      </w:r>
    </w:p>
    <w:p>
      <w:pPr>
        <w:pStyle w:val="ListParagraph"/>
        <w:numPr>
          <w:ilvl w:val="0"/>
          <w:numId w:val="2"/>
        </w:numPr>
        <w:spacing w:after="90" w:line="276"/>
      </w:pPr>
      <w:r>
        <w:rPr>
          <w:rFonts w:ascii="Calibri" w:cs="Calibri" w:eastAsia="Calibri" w:hAnsi="Calibri"/>
          <w:color w:val="1F2937"/>
          <w:sz w:val="21"/>
          <w:szCs w:val="21"/>
        </w:rPr>
        <w:t xml:space="preserve">Speed to basic governance matters more than depth — procuring an established product gets some real oversight in place fastest, even if it is not tailored.</w:t>
      </w:r>
    </w:p>
    <w:p>
      <w:pPr>
        <w:pStyle w:val="ListParagraph"/>
        <w:numPr>
          <w:ilvl w:val="0"/>
          <w:numId w:val="2"/>
        </w:numPr>
        <w:spacing w:after="90" w:line="276"/>
      </w:pPr>
      <w:r>
        <w:rPr>
          <w:rFonts w:ascii="Calibri" w:cs="Calibri" w:eastAsia="Calibri" w:hAnsi="Calibri"/>
          <w:color w:val="1F2937"/>
          <w:sz w:val="21"/>
          <w:szCs w:val="21"/>
        </w:rPr>
        <w:t xml:space="preserve">The organization lacks the sustained platform-engineering capacity a bespoke system requires to stay maintained, not just built.</w:t>
      </w:r>
    </w:p>
    <w:p>
      <w:pPr>
        <w:pStyle w:val="Heading2"/>
        <w:spacing w:after="140" w:before="320"/>
      </w:pPr>
      <w:r>
        <w:rPr>
          <w:rFonts w:ascii="Cambria" w:cs="Cambria" w:eastAsia="Cambria" w:hAnsi="Cambria"/>
          <w:b/>
          <w:bCs/>
          <w:color w:val="0A2A43"/>
          <w:sz w:val="24"/>
          <w:szCs w:val="24"/>
        </w:rPr>
        <w:t xml:space="preserve">Current state to target state</w:t>
      </w:r>
    </w:p>
    <w:p>
      <w:pPr>
        <w:spacing w:after="160" w:line="288"/>
      </w:pPr>
      <w:r>
        <w:rPr>
          <w:rFonts w:ascii="Calibri" w:cs="Calibri" w:eastAsia="Calibri" w:hAnsi="Calibri"/>
          <w:color w:val="1F2937"/>
          <w:sz w:val="21"/>
          <w:szCs w:val="21"/>
        </w:rPr>
        <w:t xml:space="preserve">A real adopting organization would not cut over in one step. An incremental path that avoids disrupting what already works:</w:t>
      </w:r>
    </w:p>
    <w:p>
      <w:pPr>
        <w:pStyle w:val="ListParagraph"/>
        <w:numPr>
          <w:ilvl w:val="0"/>
          <w:numId w:val="2"/>
        </w:numPr>
        <w:spacing w:after="90" w:line="276"/>
      </w:pPr>
      <w:r>
        <w:rPr>
          <w:rFonts w:ascii="Calibri" w:cs="Calibri" w:eastAsia="Calibri" w:hAnsi="Calibri"/>
          <w:color w:val="1F2937"/>
          <w:sz w:val="21"/>
          <w:szCs w:val="21"/>
        </w:rPr>
        <w:t xml:space="preserve">Stage 0 — Current state. AI use cases built ad hoc across business units; no centralized risk scoring; approvals happen informally over email, chat, or meetings; no consistent audit trail; existing GRC/ITSM tooling not extended for AI-specific concerns.</w:t>
      </w:r>
    </w:p>
    <w:p>
      <w:pPr>
        <w:pStyle w:val="ListParagraph"/>
        <w:numPr>
          <w:ilvl w:val="0"/>
          <w:numId w:val="2"/>
        </w:numPr>
        <w:spacing w:after="90" w:line="276"/>
      </w:pPr>
      <w:r>
        <w:rPr>
          <w:rFonts w:ascii="Calibri" w:cs="Calibri" w:eastAsia="Calibri" w:hAnsi="Calibri"/>
          <w:color w:val="1F2937"/>
          <w:sz w:val="21"/>
          <w:szCs w:val="21"/>
        </w:rPr>
        <w:t xml:space="preserve">Stage 1 — New use cases only. Route new AI use cases through Discovery, Intake, Recommendation, and Gate, alongside whatever already exists. In-flight and already-built use cases are not force-migrated — this establishes a real risk score and a real audit trail for anything new without disrupting anything running.</w:t>
      </w:r>
    </w:p>
    <w:p>
      <w:pPr>
        <w:pStyle w:val="ListParagraph"/>
        <w:numPr>
          <w:ilvl w:val="0"/>
          <w:numId w:val="2"/>
        </w:numPr>
        <w:spacing w:after="90" w:line="276"/>
      </w:pPr>
      <w:r>
        <w:rPr>
          <w:rFonts w:ascii="Calibri" w:cs="Calibri" w:eastAsia="Calibri" w:hAnsi="Calibri"/>
          <w:color w:val="1F2937"/>
          <w:sz w:val="21"/>
          <w:szCs w:val="21"/>
        </w:rPr>
        <w:t xml:space="preserve">Stage 2 — Retroactive governance for what already exists. Route existing high-risk or Critical-tier use cases through the Gate for a real governance record, using the preflight-check and declared-vs-actual reconciliation APIs so already-built agents get governed without being rebuilt.</w:t>
      </w:r>
    </w:p>
    <w:p>
      <w:pPr>
        <w:pStyle w:val="ListParagraph"/>
        <w:numPr>
          <w:ilvl w:val="0"/>
          <w:numId w:val="2"/>
        </w:numPr>
        <w:spacing w:after="90" w:line="276"/>
      </w:pPr>
      <w:r>
        <w:rPr>
          <w:rFonts w:ascii="Calibri" w:cs="Calibri" w:eastAsia="Calibri" w:hAnsi="Calibri"/>
          <w:color w:val="1F2937"/>
          <w:sz w:val="21"/>
          <w:szCs w:val="21"/>
        </w:rPr>
        <w:t xml:space="preserve">Stage 3 — Bring validation in-house. Once teams trust the governance layer, use EGPA's own Agentic System execution engine to validate new agent builds before they go to their real production home.</w:t>
      </w:r>
    </w:p>
    <w:p>
      <w:pPr>
        <w:pStyle w:val="ListParagraph"/>
        <w:numPr>
          <w:ilvl w:val="0"/>
          <w:numId w:val="2"/>
        </w:numPr>
        <w:spacing w:after="90" w:line="276"/>
      </w:pPr>
      <w:r>
        <w:rPr>
          <w:rFonts w:ascii="Calibri" w:cs="Calibri" w:eastAsia="Calibri" w:hAnsi="Calibri"/>
          <w:color w:val="1F2937"/>
          <w:sz w:val="21"/>
          <w:szCs w:val="21"/>
        </w:rPr>
        <w:t xml:space="preserve">Stage 4 — Consolidate. Fold in or retire legacy informal approval processes once EGPA's audit trail is trusted as the system of record; integrate with existing GRC/ITSM tooling for cross-referencing rather than duplicating records in both places.</w:t>
      </w:r>
    </w:p>
    <w:p>
      <w:pPr>
        <w:pStyle w:val="Heading1"/>
        <w:pBdr>
          <w:bottom w:val="single" w:color="1A9C94" w:sz="8" w:space="6"/>
        </w:pBdr>
        <w:spacing w:after="200" w:before="480"/>
      </w:pPr>
      <w:r>
        <w:rPr>
          <w:rFonts w:ascii="Cambria" w:cs="Cambria" w:eastAsia="Cambria" w:hAnsi="Cambria"/>
          <w:b/>
          <w:bCs/>
          <w:color w:val="0A2A43"/>
          <w:sz w:val="30"/>
          <w:szCs w:val="30"/>
        </w:rPr>
        <w:t xml:space="preserve">What EGPA Is: Control Plane, Not Data Plane</w:t>
      </w:r>
    </w:p>
    <w:p>
      <w:pPr>
        <w:spacing w:after="160" w:line="288"/>
      </w:pPr>
      <w:r>
        <w:rPr>
          <w:rFonts w:ascii="Calibri" w:cs="Calibri" w:eastAsia="Calibri" w:hAnsi="Calibri"/>
          <w:color w:val="1F2937"/>
          <w:sz w:val="21"/>
          <w:szCs w:val="21"/>
        </w:rPr>
        <w:t xml:space="preserve">EGPA deliberately separates two layers with two different jobs. EGPA itself is the Control Plane: policy becomes code here — risk templates, approval workflows, the model registry, and Architecture Decision Records all live here as the single source of truth for what is allowed to run. The AI Gateway (a self-hosted LiteLLM Proxy on Google Cloud Run) is the separate Data Plane underneath it — the layer that actually routes every live LLM call, with automatic multi-provider fallback. EGPA configures and observes the Gateway; it does not sit in that live traffic path itself.</w:t>
      </w:r>
    </w:p>
    <w:p>
      <w:pPr>
        <w:spacing w:after="160" w:line="288"/>
      </w:pPr>
      <w:r>
        <w:rPr>
          <w:rFonts w:ascii="Calibri" w:cs="Calibri" w:eastAsia="Calibri" w:hAnsi="Calibri"/>
          <w:color w:val="1F2937"/>
          <w:sz w:val="21"/>
          <w:szCs w:val="21"/>
        </w:rPr>
        <w:t xml:space="preserve">This separation is what lets EGPA govern agents it did not build. A preflight policy-check API and a declared-vs-actual reconciliation API mean an agent built and run entirely outside this platform — with real production integrations — can still be governed: checked in real time against what was declared, and reconciled after the fact against what it actually did, with any deviation caught, audited, and alerted.</w:t>
      </w:r>
    </w:p>
    <w:p>
      <w:r>
        <w:br w:type="page"/>
      </w:r>
    </w:p>
    <w:p>
      <w:pPr>
        <w:pStyle w:val="Heading1"/>
        <w:pBdr>
          <w:bottom w:val="single" w:color="1A9C94" w:sz="8" w:space="6"/>
        </w:pBdr>
        <w:spacing w:after="200" w:before="480"/>
      </w:pPr>
      <w:r>
        <w:rPr>
          <w:rFonts w:ascii="Cambria" w:cs="Cambria" w:eastAsia="Cambria" w:hAnsi="Cambria"/>
          <w:b/>
          <w:bCs/>
          <w:color w:val="0A2A43"/>
          <w:sz w:val="30"/>
          <w:szCs w:val="30"/>
        </w:rPr>
        <w:t xml:space="preserve">The Pipeline: Seven Real Stages</w:t>
      </w:r>
    </w:p>
    <w:p>
      <w:pPr>
        <w:spacing w:after="200" w:line="300"/>
      </w:pPr>
      <w:r>
        <w:rPr>
          <w:rFonts w:ascii="Calibri" w:cs="Calibri" w:eastAsia="Calibri" w:hAnsi="Calibri"/>
          <w:i/>
          <w:iCs/>
          <w:color w:val="5B6472"/>
          <w:sz w:val="23"/>
          <w:szCs w:val="23"/>
        </w:rPr>
        <w:t xml:space="preserve">Every use case moves through the same enforced sequence — nothing skips a stage, and every stage leaves a real, persisted record.</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6700"/>
      </w:tblGrid>
      <w:tr>
        <w:trPr>
          <w:tblHeader/>
        </w:trPr>
        <w:tc>
          <w:tcPr>
            <w:tcW w:type="dxa" w:w="19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Stage</w:t>
            </w:r>
          </w:p>
        </w:tc>
        <w:tc>
          <w:tcPr>
            <w:tcW w:type="dxa" w:w="20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Who</w:t>
            </w:r>
          </w:p>
        </w:tc>
        <w:tc>
          <w:tcPr>
            <w:tcW w:type="dxa" w:w="67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What actually happens</w:t>
            </w:r>
          </w:p>
        </w:tc>
      </w:tr>
      <w:tr>
        <w:tc>
          <w:tcPr>
            <w:tcW w:type="dxa" w:w="1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Discovery</w:t>
            </w:r>
          </w:p>
        </w:tc>
        <w:tc>
          <w:tcPr>
            <w:tcW w:type="dxa" w:w="2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Anyone signed in</w:t>
            </w:r>
          </w:p>
        </w:tc>
        <w:tc>
          <w:tcPr>
            <w:tcW w:type="dxa" w:w="67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 real chat (Discovery Advisor) asks clarifying questions and searches the org's existing use cases before anyone commits to “build an agent.” Concludes with one of four honest paths: fix the process, extend something that exists, research first, or build.</w:t>
            </w:r>
          </w:p>
        </w:tc>
      </w:tr>
      <w:tr>
        <w:tc>
          <w:tcPr>
            <w:tcW w:type="dxa" w:w="19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Intake</w:t>
            </w:r>
          </w:p>
        </w:tc>
        <w:tc>
          <w:tcPr>
            <w:tcW w:type="dxa" w:w="20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Requester</w:t>
            </w:r>
          </w:p>
        </w:tc>
        <w:tc>
          <w:tcPr>
            <w:tcW w:type="dxa" w:w="67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Two-step questionnaire — data sensitivity, autonomy level, integration surface, expected users, then a deeper Risk &amp; Compliance Profile (human oversight frequency, customer-impact decision) that finalizes a live-computed risk tier.</w:t>
            </w:r>
          </w:p>
        </w:tc>
      </w:tr>
      <w:tr>
        <w:tc>
          <w:tcPr>
            <w:tcW w:type="dxa" w:w="1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Recommendation</w:t>
            </w:r>
          </w:p>
        </w:tc>
        <w:tc>
          <w:tcPr>
            <w:tcW w:type="dxa" w:w="2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Steward / Architect</w:t>
            </w:r>
          </w:p>
        </w:tc>
        <w:tc>
          <w:tcPr>
            <w:tcW w:type="dxa" w:w="67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 real LLM call proposes a framework, tool stack, harness pattern, loop pattern, and context strategy — plus the real alternatives it considered and why they lost.</w:t>
            </w:r>
          </w:p>
        </w:tc>
      </w:tr>
      <w:tr>
        <w:tc>
          <w:tcPr>
            <w:tcW w:type="dxa" w:w="19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Governance Gate</w:t>
            </w:r>
          </w:p>
        </w:tc>
        <w:tc>
          <w:tcPr>
            <w:tcW w:type="dxa" w:w="20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Governance Owner</w:t>
            </w:r>
          </w:p>
        </w:tc>
        <w:tc>
          <w:tcPr>
            <w:tcW w:type="dxa" w:w="67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control required for the computed risk tier must be checked off before proceeding. Critical tier also requires a named Architecture Review Board member's real written reasoning. A server-enforced kill-switch is available here at any time.</w:t>
            </w:r>
          </w:p>
        </w:tc>
      </w:tr>
      <w:tr>
        <w:tc>
          <w:tcPr>
            <w:tcW w:type="dxa" w:w="1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ADR</w:t>
            </w:r>
          </w:p>
        </w:tc>
        <w:tc>
          <w:tcPr>
            <w:tcW w:type="dxa" w:w="2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Governance Owner</w:t>
            </w:r>
          </w:p>
        </w:tc>
        <w:tc>
          <w:tcPr>
            <w:tcW w:type="dxa" w:w="67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 versioned Architecture Decision Record assembles automatically once the gate clears — downloadable, traceable to every prior decision, and the real specification for what gets built.</w:t>
            </w:r>
          </w:p>
        </w:tc>
      </w:tr>
      <w:tr>
        <w:tc>
          <w:tcPr>
            <w:tcW w:type="dxa" w:w="19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Agentic System</w:t>
            </w:r>
          </w:p>
        </w:tc>
        <w:tc>
          <w:tcPr>
            <w:tcW w:type="dxa" w:w="20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Developer / Admin</w:t>
            </w:r>
          </w:p>
        </w:tc>
        <w:tc>
          <w:tcPr>
            <w:tcW w:type="dxa" w:w="67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 real master agent plans steps; real sub-agent LLM calls execute each one live, streamed token-by-token, with one genuine callable tool (a Pinecone/Cohere RAG lookup) and full cost/token tracking.</w:t>
            </w:r>
          </w:p>
        </w:tc>
      </w:tr>
      <w:tr>
        <w:tc>
          <w:tcPr>
            <w:tcW w:type="dxa" w:w="1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 Observability</w:t>
            </w:r>
          </w:p>
        </w:tc>
        <w:tc>
          <w:tcPr>
            <w:tcW w:type="dxa" w:w="2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roles</w:t>
            </w:r>
          </w:p>
        </w:tc>
        <w:tc>
          <w:tcPr>
            <w:tcW w:type="dxa" w:w="67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Portfolio-wide cost, usage, and decision-trail data — nothing simulated. Per-use-case token/cost/duration and full step-by-step trace.</w:t>
            </w:r>
          </w:p>
        </w:tc>
      </w:tr>
    </w:tbl>
    <w:p>
      <w:pPr>
        <w:pStyle w:val="Heading1"/>
        <w:pBdr>
          <w:bottom w:val="single" w:color="1A9C94" w:sz="8" w:space="6"/>
        </w:pBdr>
        <w:spacing w:after="200" w:before="480"/>
      </w:pPr>
      <w:r>
        <w:rPr>
          <w:rFonts w:ascii="Cambria" w:cs="Cambria" w:eastAsia="Cambria" w:hAnsi="Cambria"/>
          <w:b/>
          <w:bCs/>
          <w:color w:val="0A2A43"/>
          <w:sz w:val="30"/>
          <w:szCs w:val="30"/>
        </w:rPr>
        <w:t xml:space="preserve">Governance &amp; Security Controls</w:t>
      </w:r>
    </w:p>
    <w:p>
      <w:pPr>
        <w:spacing w:after="200" w:line="300"/>
      </w:pPr>
      <w:r>
        <w:rPr>
          <w:rFonts w:ascii="Calibri" w:cs="Calibri" w:eastAsia="Calibri" w:hAnsi="Calibri"/>
          <w:i/>
          <w:iCs/>
          <w:color w:val="5B6472"/>
          <w:sz w:val="23"/>
          <w:szCs w:val="23"/>
        </w:rPr>
        <w:t xml:space="preserve">Enforced at runtime, not declared in a policy document.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200"/>
        <w:gridCol w:w="7400"/>
      </w:tblGrid>
      <w:tr>
        <w:trPr>
          <w:tblHeader/>
        </w:trPr>
        <w:tc>
          <w:tcPr>
            <w:tcW w:type="dxa" w:w="32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Control</w:t>
            </w:r>
          </w:p>
        </w:tc>
        <w:tc>
          <w:tcPr>
            <w:tcW w:type="dxa" w:w="74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What makes it real</w:t>
            </w:r>
          </w:p>
        </w:tc>
      </w:tr>
      <w:tr>
        <w:tc>
          <w:tcPr>
            <w:tcW w:type="dxa" w:w="32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Kill-switch</w:t>
            </w:r>
          </w:p>
        </w:tc>
        <w:tc>
          <w:tcPr>
            <w:tcW w:type="dxa" w:w="74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Server-enforced; actually blocks the next execution step, not a UI checkbox.</w:t>
            </w:r>
          </w:p>
        </w:tc>
      </w:tr>
      <w:tr>
        <w:tc>
          <w:tcPr>
            <w:tcW w:type="dxa" w:w="32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Segregation of duties</w:t>
            </w:r>
          </w:p>
        </w:tc>
        <w:tc>
          <w:tcPr>
            <w:tcW w:type="dxa" w:w="74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 use case owner can never clear their own Architecture Review Board sign-off, even while holding the ARB role.</w:t>
            </w:r>
          </w:p>
        </w:tc>
      </w:tr>
      <w:tr>
        <w:tc>
          <w:tcPr>
            <w:tcW w:type="dxa" w:w="32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Tamper-evident audit log</w:t>
            </w:r>
          </w:p>
        </w:tc>
        <w:tc>
          <w:tcPr>
            <w:tcW w:type="dxa" w:w="74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SHA-256 hash chain over every entry; editing history breaks verification, checkable on demand.</w:t>
            </w:r>
          </w:p>
        </w:tc>
      </w:tr>
      <w:tr>
        <w:tc>
          <w:tcPr>
            <w:tcW w:type="dxa" w:w="32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PII detection &amp; redaction</w:t>
            </w:r>
          </w:p>
        </w:tc>
        <w:tc>
          <w:tcPr>
            <w:tcW w:type="dxa" w:w="74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Regex-based detection run against every real sub-agent step output, including region-specific ID patterns — not a one-time checkbox.</w:t>
            </w:r>
          </w:p>
        </w:tc>
      </w:tr>
      <w:tr>
        <w:tc>
          <w:tcPr>
            <w:tcW w:type="dxa" w:w="32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allowlist enforcement</w:t>
            </w:r>
          </w:p>
        </w:tc>
        <w:tc>
          <w:tcPr>
            <w:tcW w:type="dxa" w:w="74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Enforced server-side against what each sub-agent can actually call, not just documented as a plan.</w:t>
            </w:r>
          </w:p>
        </w:tc>
      </w:tr>
      <w:tr>
        <w:tc>
          <w:tcPr>
            <w:tcW w:type="dxa" w:w="32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retention enforcement</w:t>
            </w:r>
          </w:p>
        </w:tc>
        <w:tc>
          <w:tcPr>
            <w:tcW w:type="dxa" w:w="74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 scheduled purge job deletes rows once they pass each use case's own declared retention window, logged for audit.</w:t>
            </w:r>
          </w:p>
        </w:tc>
      </w:tr>
      <w:tr>
        <w:tc>
          <w:tcPr>
            <w:tcW w:type="dxa" w:w="32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Preflight policy-check API</w:t>
            </w:r>
          </w:p>
        </w:tc>
        <w:tc>
          <w:tcPr>
            <w:tcW w:type="dxa" w:w="74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Real-time “am I allowed to do this” check for agents running outside this platform.</w:t>
            </w:r>
          </w:p>
        </w:tc>
      </w:tr>
      <w:tr>
        <w:tc>
          <w:tcPr>
            <w:tcW w:type="dxa" w:w="32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Declared-vs-actual reconciliation</w:t>
            </w:r>
          </w:p>
        </w:tc>
        <w:tc>
          <w:tcPr>
            <w:tcW w:type="dxa" w:w="74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After-the-fact usage reporting that flags any deviation from what was declared — the mechanism that closes the loop with the preflight API.</w:t>
            </w:r>
          </w:p>
        </w:tc>
      </w:tr>
      <w:tr>
        <w:tc>
          <w:tcPr>
            <w:tcW w:type="dxa" w:w="32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Multi-tenancy</w:t>
            </w:r>
          </w:p>
        </w:tc>
        <w:tc>
          <w:tcPr>
            <w:tcW w:type="dxa" w:w="74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Real Organization and business-unit scoped visibility, enforced server-side on every query.</w:t>
            </w:r>
          </w:p>
        </w:tc>
      </w:tr>
      <w:tr>
        <w:tc>
          <w:tcPr>
            <w:tcW w:type="dxa" w:w="32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SSO</w:t>
            </w:r>
          </w:p>
        </w:tc>
        <w:tc>
          <w:tcPr>
            <w:tcW w:type="dxa" w:w="74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OIDC alongside local credentials authentication.</w:t>
            </w:r>
          </w:p>
        </w:tc>
      </w:tr>
      <w:tr>
        <w:tc>
          <w:tcPr>
            <w:tcW w:type="dxa" w:w="32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Recertification &amp; delegation</w:t>
            </w:r>
          </w:p>
        </w:tc>
        <w:tc>
          <w:tcPr>
            <w:tcW w:type="dxa" w:w="74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Time-boxed recertification reminders, approval delegation, and stale-approval escalation.</w:t>
            </w:r>
          </w:p>
        </w:tc>
      </w:tr>
      <w:tr>
        <w:tc>
          <w:tcPr>
            <w:tcW w:type="dxa" w:w="32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Real webhook trigger</w:t>
            </w:r>
          </w:p>
        </w:tc>
        <w:tc>
          <w:tcPr>
            <w:tcW w:type="dxa" w:w="74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 external caller can start a governed execution with zero human click, under identical checks.</w:t>
            </w:r>
          </w:p>
        </w:tc>
      </w:tr>
    </w:tbl>
    <w:p>
      <w:pPr>
        <w:pStyle w:val="Heading1"/>
        <w:pBdr>
          <w:bottom w:val="single" w:color="1A9C94" w:sz="8" w:space="6"/>
        </w:pBdr>
        <w:spacing w:after="200" w:before="480"/>
      </w:pPr>
      <w:r>
        <w:rPr>
          <w:rFonts w:ascii="Cambria" w:cs="Cambria" w:eastAsia="Cambria" w:hAnsi="Cambria"/>
          <w:b/>
          <w:bCs/>
          <w:color w:val="0A2A43"/>
          <w:sz w:val="30"/>
          <w:szCs w:val="30"/>
        </w:rPr>
        <w:t xml:space="preserve">Architecture</w:t>
      </w:r>
    </w:p>
    <w:p>
      <w:pPr>
        <w:spacing w:after="160" w:line="288"/>
      </w:pPr>
      <w:r>
        <w:rPr>
          <w:rFonts w:ascii="Calibri" w:cs="Calibri" w:eastAsia="Calibri" w:hAnsi="Calibri"/>
          <w:color w:val="1F2937"/>
          <w:sz w:val="21"/>
          <w:szCs w:val="21"/>
        </w:rPr>
        <w:t xml:space="preserve">The platform is a real, deployed three-tier system. The client is a Next.js 16 (App Router, Turbopack) application on Vercel. Server-side API routes handle each pipeline stage — discovery sessions, recommendations, gate decisions, execution steps — backed by Prisma against a Neon Postgres database that is the single source of truth, shared across every signed-in reviewer in an organization.</w:t>
      </w:r>
    </w:p>
    <w:p>
      <w:pPr>
        <w:spacing w:after="160" w:line="288"/>
      </w:pPr>
      <w:r>
        <w:rPr>
          <w:rFonts w:ascii="Calibri" w:cs="Calibri" w:eastAsia="Calibri" w:hAnsi="Calibri"/>
          <w:color w:val="1F2937"/>
          <w:sz w:val="21"/>
          <w:szCs w:val="21"/>
        </w:rPr>
        <w:t xml:space="preserve">Every real LLM call — Discovery's chat, Recommendation's architecture proposal, and each Agentic System sub-agent step — routes through one shared AI Gateway: a self-hosted LiteLLM Proxy on Google Cloud Run, configured with a primary model and an automatic multi-provider fallback chain (Anthropic, Groq, Gemini). The application itself holds one scoped virtual key and never touches a raw provider key directly.</w:t>
      </w:r>
    </w:p>
    <w:p>
      <w:pPr>
        <w:spacing w:after="160" w:line="288"/>
      </w:pPr>
      <w:r>
        <w:rPr>
          <w:rFonts w:ascii="Calibri" w:cs="Calibri" w:eastAsia="Calibri" w:hAnsi="Calibri"/>
          <w:color w:val="1F2937"/>
          <w:sz w:val="21"/>
          <w:szCs w:val="21"/>
        </w:rPr>
        <w:t xml:space="preserve">Retrieval-augmented generation is backed by Pinecone (vector index) and Cohere (embeddings), split into separate namespaces for governance reference documents an admin uploads versus the platform's own in-app documentation that the Help Assistant searches — kept apart so one never contaminates the other. Redis (Upstash) backs rate limiting, live presence indicators, usage quotas, and the Server-Sent Events channel that broadcasts real-time activity — including a live, filterable architecture diagram that shows actual request traffic moving through the system as it happens, visible to Developer and Admin roles.</w:t>
      </w:r>
    </w:p>
    <w:p>
      <w:r>
        <w:br w:type="page"/>
      </w:r>
    </w:p>
    <w:p>
      <w:pPr>
        <w:pStyle w:val="Heading1"/>
        <w:pBdr>
          <w:bottom w:val="single" w:color="1A9C94" w:sz="8" w:space="6"/>
        </w:pBdr>
        <w:spacing w:after="200" w:before="480"/>
      </w:pPr>
      <w:r>
        <w:rPr>
          <w:rFonts w:ascii="Cambria" w:cs="Cambria" w:eastAsia="Cambria" w:hAnsi="Cambria"/>
          <w:b/>
          <w:bCs/>
          <w:color w:val="0A2A43"/>
          <w:sz w:val="30"/>
          <w:szCs w:val="30"/>
        </w:rPr>
        <w:t xml:space="preserve">Roles &amp; Access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6100"/>
      </w:tblGrid>
      <w:tr>
        <w:trPr>
          <w:tblHeader/>
        </w:trPr>
        <w:tc>
          <w:tcPr>
            <w:tcW w:type="dxa" w:w="19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Role</w:t>
            </w:r>
          </w:p>
        </w:tc>
        <w:tc>
          <w:tcPr>
            <w:tcW w:type="dxa" w:w="26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Primary pages</w:t>
            </w:r>
          </w:p>
        </w:tc>
        <w:tc>
          <w:tcPr>
            <w:tcW w:type="dxa" w:w="61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What they get</w:t>
            </w:r>
          </w:p>
        </w:tc>
      </w:tr>
      <w:tr>
        <w:tc>
          <w:tcPr>
            <w:tcW w:type="dxa" w:w="1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Requester</w:t>
            </w:r>
          </w:p>
        </w:tc>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Intake, Portfolio</w:t>
            </w:r>
          </w:p>
        </w:tc>
        <w:tc>
          <w:tcPr>
            <w:tcW w:type="dxa" w:w="61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Turn a business idea into a governed, documented use case without needing AI architecture expertise.</w:t>
            </w:r>
          </w:p>
        </w:tc>
      </w:tr>
      <w:tr>
        <w:tc>
          <w:tcPr>
            <w:tcW w:type="dxa" w:w="19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Steward / Architect</w:t>
            </w:r>
          </w:p>
        </w:tc>
        <w:tc>
          <w:tcPr>
            <w:tcW w:type="dxa" w:w="26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Recommendation, Guide</w:t>
            </w:r>
          </w:p>
        </w:tc>
        <w:tc>
          <w:tcPr>
            <w:tcW w:type="dxa" w:w="61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Validate the recommended architecture against real technical constraints.</w:t>
            </w:r>
          </w:p>
        </w:tc>
      </w:tr>
      <w:tr>
        <w:tc>
          <w:tcPr>
            <w:tcW w:type="dxa" w:w="1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Governance Owner</w:t>
            </w:r>
          </w:p>
        </w:tc>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Governance Gate, ADR</w:t>
            </w:r>
          </w:p>
        </w:tc>
        <w:tc>
          <w:tcPr>
            <w:tcW w:type="dxa" w:w="61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Enforce required controls are actually satisfied; can halt a running execution in real time.</w:t>
            </w:r>
          </w:p>
        </w:tc>
      </w:tr>
      <w:tr>
        <w:tc>
          <w:tcPr>
            <w:tcW w:type="dxa" w:w="19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Developer</w:t>
            </w:r>
          </w:p>
        </w:tc>
        <w:tc>
          <w:tcPr>
            <w:tcW w:type="dxa" w:w="26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Agentic System, Model Builder, Observability</w:t>
            </w:r>
          </w:p>
        </w:tc>
        <w:tc>
          <w:tcPr>
            <w:tcW w:type="dxa" w:w="61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The only role that can run an approved use case or wire up an automated webhook trigger.</w:t>
            </w:r>
          </w:p>
        </w:tc>
      </w:tr>
      <w:tr>
        <w:tc>
          <w:tcPr>
            <w:tcW w:type="dxa" w:w="1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Review Board (ARB)</w:t>
            </w:r>
          </w:p>
        </w:tc>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Governance Gate (Critical tier)</w:t>
            </w:r>
          </w:p>
        </w:tc>
        <w:tc>
          <w:tcPr>
            <w:tcW w:type="dxa" w:w="61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The one sign-off no other role can substitute for on Critical-tier use cases.</w:t>
            </w:r>
          </w:p>
        </w:tc>
      </w:tr>
      <w:tr>
        <w:tc>
          <w:tcPr>
            <w:tcW w:type="dxa" w:w="19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Admin</w:t>
            </w:r>
          </w:p>
        </w:tc>
        <w:tc>
          <w:tcPr>
            <w:tcW w:type="dxa" w:w="26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Everything</w:t>
            </w:r>
          </w:p>
        </w:tc>
        <w:tc>
          <w:tcPr>
            <w:tcW w:type="dxa" w:w="61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access — platform configuration, every role's view, and the org-wide architecture diagram.</w:t>
            </w:r>
          </w:p>
        </w:tc>
      </w:tr>
    </w:tbl>
    <w:p>
      <w:pPr>
        <w:pStyle w:val="Heading1"/>
        <w:pBdr>
          <w:bottom w:val="single" w:color="1A9C94" w:sz="8" w:space="6"/>
        </w:pBdr>
        <w:spacing w:after="200" w:before="480"/>
      </w:pPr>
      <w:r>
        <w:rPr>
          <w:rFonts w:ascii="Cambria" w:cs="Cambria" w:eastAsia="Cambria" w:hAnsi="Cambria"/>
          <w:b/>
          <w:bCs/>
          <w:color w:val="0A2A43"/>
          <w:sz w:val="30"/>
          <w:szCs w:val="30"/>
        </w:rPr>
        <w:t xml:space="preserve">Real Business Value, Not a Projection</w:t>
      </w:r>
    </w:p>
    <w:p>
      <w:pPr>
        <w:spacing w:after="160" w:line="288"/>
      </w:pPr>
      <w:r>
        <w:rPr>
          <w:rFonts w:ascii="Calibri" w:cs="Calibri" w:eastAsia="Calibri" w:hAnsi="Calibri"/>
          <w:color w:val="1F2937"/>
          <w:sz w:val="21"/>
          <w:szCs w:val="21"/>
        </w:rPr>
        <w:t xml:space="preserve">Observability and the Governance Posture page track actual outcomes against an honestly declared baseline — not marketing estimates. Every number below is a live aggregate straight from Postgres, computed the same moment it is displayed, pulled directly from the production instance:</w:t>
      </w:r>
    </w:p>
    <w:p>
      <w:pPr>
        <w:spacing w:after="60"/>
      </w:pPr>
      <w:r>
        <w:rPr>
          <w:rFonts w:ascii="Calibri" w:cs="Calibri" w:eastAsia="Calibri" w:hAnsi="Calibri"/>
          <w:b/>
          <w:bCs/>
          <w:color w:val="1A9C94"/>
          <w:sz w:val="26"/>
          <w:szCs w:val="26"/>
        </w:rPr>
        <w:t xml:space="preserve">16  </w:t>
      </w:r>
      <w:r>
        <w:rPr>
          <w:rFonts w:ascii="Calibri" w:cs="Calibri" w:eastAsia="Calibri" w:hAnsi="Calibri"/>
          <w:color w:val="5B6472"/>
          <w:sz w:val="19"/>
          <w:szCs w:val="19"/>
        </w:rPr>
        <w:t xml:space="preserve">real agent executions run, spanning every risk tier</w:t>
      </w:r>
    </w:p>
    <w:p>
      <w:pPr>
        <w:spacing w:after="60"/>
      </w:pPr>
      <w:r>
        <w:rPr>
          <w:rFonts w:ascii="Calibri" w:cs="Calibri" w:eastAsia="Calibri" w:hAnsi="Calibri"/>
          <w:b/>
          <w:bCs/>
          <w:color w:val="1A9C94"/>
          <w:sz w:val="26"/>
          <w:szCs w:val="26"/>
        </w:rPr>
        <w:t xml:space="preserve">58  </w:t>
      </w:r>
      <w:r>
        <w:rPr>
          <w:rFonts w:ascii="Calibri" w:cs="Calibri" w:eastAsia="Calibri" w:hAnsi="Calibri"/>
          <w:color w:val="5B6472"/>
          <w:sz w:val="19"/>
          <w:szCs w:val="19"/>
        </w:rPr>
        <w:t xml:space="preserve">individual sub-agent steps, 100% settled successfully</w:t>
      </w:r>
    </w:p>
    <w:p>
      <w:pPr>
        <w:spacing w:after="60"/>
      </w:pPr>
      <w:r>
        <w:rPr>
          <w:rFonts w:ascii="Calibri" w:cs="Calibri" w:eastAsia="Calibri" w:hAnsi="Calibri"/>
          <w:b/>
          <w:bCs/>
          <w:color w:val="1A9C94"/>
          <w:sz w:val="26"/>
          <w:szCs w:val="26"/>
        </w:rPr>
        <w:t xml:space="preserve">13  </w:t>
      </w:r>
      <w:r>
        <w:rPr>
          <w:rFonts w:ascii="Calibri" w:cs="Calibri" w:eastAsia="Calibri" w:hAnsi="Calibri"/>
          <w:color w:val="5B6472"/>
          <w:sz w:val="19"/>
          <w:szCs w:val="19"/>
        </w:rPr>
        <w:t xml:space="preserve">real RAG searches against the knowledge base, 100% hit rate</w:t>
      </w:r>
    </w:p>
    <w:p>
      <w:pPr>
        <w:spacing w:after="60"/>
      </w:pPr>
      <w:r>
        <w:rPr>
          <w:rFonts w:ascii="Calibri" w:cs="Calibri" w:eastAsia="Calibri" w:hAnsi="Calibri"/>
          <w:b/>
          <w:bCs/>
          <w:color w:val="1A9C94"/>
          <w:sz w:val="26"/>
          <w:szCs w:val="26"/>
        </w:rPr>
        <w:t xml:space="preserve">$0.03  </w:t>
      </w:r>
      <w:r>
        <w:rPr>
          <w:rFonts w:ascii="Calibri" w:cs="Calibri" w:eastAsia="Calibri" w:hAnsi="Calibri"/>
          <w:color w:val="5B6472"/>
          <w:sz w:val="19"/>
          <w:szCs w:val="19"/>
        </w:rPr>
        <w:t xml:space="preserve">in real, metered spend across every model provider used</w:t>
      </w:r>
    </w:p>
    <w:p>
      <w:pPr>
        <w:spacing w:after="160" w:line="288"/>
      </w:pPr>
      <w:r>
        <w:rPr>
          <w:rFonts w:ascii="Calibri" w:cs="Calibri" w:eastAsia="Calibri" w:hAnsi="Calibri"/>
          <w:color w:val="1F2937"/>
          <w:sz w:val="21"/>
          <w:szCs w:val="21"/>
        </w:rPr>
        <w:t xml:space="preserve">Beyond raw execution volume, the platform connects directly to the outcome categories a real adoption case needs to justify itself against:</w:t>
      </w:r>
    </w:p>
    <w:p>
      <w:pPr>
        <w:pStyle w:val="ListParagraph"/>
        <w:numPr>
          <w:ilvl w:val="0"/>
          <w:numId w:val="2"/>
        </w:numPr>
        <w:spacing w:after="90" w:line="276"/>
      </w:pPr>
      <w:r>
        <w:rPr>
          <w:rFonts w:ascii="Calibri" w:cs="Calibri" w:eastAsia="Calibri" w:hAnsi="Calibri"/>
          <w:color w:val="1F2937"/>
          <w:sz w:val="21"/>
          <w:szCs w:val="21"/>
        </w:rPr>
        <w:t xml:space="preserve">Reduced approval time — average 31.8 hours from Intake to Gate cleared, measured across every use case with a real approval timestamp, not the whole pipeline diluted by build time.</w:t>
      </w:r>
    </w:p>
    <w:p>
      <w:pPr>
        <w:pStyle w:val="ListParagraph"/>
        <w:numPr>
          <w:ilvl w:val="0"/>
          <w:numId w:val="2"/>
        </w:numPr>
        <w:spacing w:after="90" w:line="276"/>
      </w:pPr>
      <w:r>
        <w:rPr>
          <w:rFonts w:ascii="Calibri" w:cs="Calibri" w:eastAsia="Calibri" w:hAnsi="Calibri"/>
          <w:color w:val="1F2937"/>
          <w:sz w:val="21"/>
          <w:szCs w:val="21"/>
        </w:rPr>
        <w:t xml:space="preserve">Improved reuse — 100% of concluded Discovery sessions recommended process-only, extend-existing, or research-first over building a new agent; real evidence the discovery gate is not a rubber stamp on the way to Intake.</w:t>
      </w:r>
    </w:p>
    <w:p>
      <w:pPr>
        <w:pStyle w:val="ListParagraph"/>
        <w:numPr>
          <w:ilvl w:val="0"/>
          <w:numId w:val="2"/>
        </w:numPr>
        <w:spacing w:after="90" w:line="276"/>
      </w:pPr>
      <w:r>
        <w:rPr>
          <w:rFonts w:ascii="Calibri" w:cs="Calibri" w:eastAsia="Calibri" w:hAnsi="Calibri"/>
          <w:color w:val="1F2937"/>
          <w:sz w:val="21"/>
          <w:szCs w:val="21"/>
        </w:rPr>
        <w:t xml:space="preserve">Lower AI delivery cost — $399.15 in real cost saved against a declared baseline, across use cases with a set cost/hour.</w:t>
      </w:r>
    </w:p>
    <w:p>
      <w:pPr>
        <w:pStyle w:val="ListParagraph"/>
        <w:numPr>
          <w:ilvl w:val="0"/>
          <w:numId w:val="2"/>
        </w:numPr>
        <w:spacing w:after="90" w:line="276"/>
      </w:pPr>
      <w:r>
        <w:rPr>
          <w:rFonts w:ascii="Calibri" w:cs="Calibri" w:eastAsia="Calibri" w:hAnsi="Calibri"/>
          <w:color w:val="1F2937"/>
          <w:sz w:val="21"/>
          <w:szCs w:val="21"/>
        </w:rPr>
        <w:t xml:space="preserve">Reduced compliance exposure — 9 real incidents caught and logged to the audit trail: PII detections, undeclared-tool incidents, preflight denials, and kill-switch engagements combined.</w:t>
      </w:r>
    </w:p>
    <w:p>
      <w:pPr>
        <w:pStyle w:val="ListParagraph"/>
        <w:numPr>
          <w:ilvl w:val="0"/>
          <w:numId w:val="2"/>
        </w:numPr>
        <w:spacing w:after="90" w:line="276"/>
      </w:pPr>
      <w:r>
        <w:rPr>
          <w:rFonts w:ascii="Calibri" w:cs="Calibri" w:eastAsia="Calibri" w:hAnsi="Calibri"/>
          <w:color w:val="1F2937"/>
          <w:sz w:val="21"/>
          <w:szCs w:val="21"/>
        </w:rPr>
        <w:t xml:space="preserve">Faster movement into production — average 7.5 hours from Intake to first completed execution, across every use case that has actually run.</w:t>
      </w:r>
    </w:p>
    <w:p>
      <w:pPr>
        <w:spacing w:after="160" w:line="288"/>
      </w:pPr>
      <w:r>
        <w:rPr>
          <w:rFonts w:ascii="Calibri" w:cs="Calibri" w:eastAsia="Calibri" w:hAnsi="Calibri"/>
          <w:i/>
          <w:iCs/>
          <w:color w:val="5B6472"/>
          <w:sz w:val="19"/>
          <w:szCs w:val="19"/>
        </w:rPr>
        <w:t xml:space="preserve">These figures grow with every real use case the organization runs through the platform — they are not reset or curated for presentation.</w:t>
      </w:r>
    </w:p>
    <w:p>
      <w:pPr>
        <w:pStyle w:val="Heading1"/>
        <w:pBdr>
          <w:bottom w:val="single" w:color="1A9C94" w:sz="8" w:space="6"/>
        </w:pBdr>
        <w:spacing w:after="200" w:before="480"/>
      </w:pPr>
      <w:r>
        <w:rPr>
          <w:rFonts w:ascii="Cambria" w:cs="Cambria" w:eastAsia="Cambria" w:hAnsi="Cambria"/>
          <w:b/>
          <w:bCs/>
          <w:color w:val="0A2A43"/>
          <w:sz w:val="30"/>
          <w:szCs w:val="30"/>
        </w:rPr>
        <w:t xml:space="preserve">Honest Scope: What's Real, and What Isn't</w:t>
      </w:r>
    </w:p>
    <w:p>
      <w:pPr>
        <w:spacing w:after="200" w:line="300"/>
      </w:pPr>
      <w:r>
        <w:rPr>
          <w:rFonts w:ascii="Calibri" w:cs="Calibri" w:eastAsia="Calibri" w:hAnsi="Calibri"/>
          <w:i/>
          <w:iCs/>
          <w:color w:val="5B6472"/>
          <w:sz w:val="23"/>
          <w:szCs w:val="23"/>
        </w:rPr>
        <w:t xml:space="preserve">Consistent with the platform's own governing principle — a control that is not real should say so, not be quietly implied.</w:t>
      </w:r>
    </w:p>
    <w:p>
      <w:pPr>
        <w:pStyle w:val="Heading2"/>
        <w:spacing w:after="140" w:before="320"/>
      </w:pPr>
      <w:r>
        <w:rPr>
          <w:rFonts w:ascii="Cambria" w:cs="Cambria" w:eastAsia="Cambria" w:hAnsi="Cambria"/>
          <w:b/>
          <w:bCs/>
          <w:color w:val="0A2A43"/>
          <w:sz w:val="24"/>
          <w:szCs w:val="24"/>
        </w:rPr>
        <w:t xml:space="preserve">What's genuinely real</w:t>
      </w:r>
    </w:p>
    <w:p>
      <w:pPr>
        <w:pStyle w:val="ListParagraph"/>
        <w:numPr>
          <w:ilvl w:val="0"/>
          <w:numId w:val="2"/>
        </w:numPr>
        <w:spacing w:after="90" w:line="276"/>
      </w:pPr>
      <w:r>
        <w:rPr>
          <w:rFonts w:ascii="Calibri" w:cs="Calibri" w:eastAsia="Calibri" w:hAnsi="Calibri"/>
          <w:color w:val="1F2937"/>
          <w:sz w:val="21"/>
          <w:szCs w:val="21"/>
        </w:rPr>
        <w:t xml:space="preserve">A real database, real authentication (local credentials plus Google SSO), and a real multi-tenant, business-unit-scoped data model.</w:t>
      </w:r>
    </w:p>
    <w:p>
      <w:pPr>
        <w:pStyle w:val="ListParagraph"/>
        <w:numPr>
          <w:ilvl w:val="0"/>
          <w:numId w:val="2"/>
        </w:numPr>
        <w:spacing w:after="90" w:line="276"/>
      </w:pPr>
      <w:r>
        <w:rPr>
          <w:rFonts w:ascii="Calibri" w:cs="Calibri" w:eastAsia="Calibri" w:hAnsi="Calibri"/>
          <w:color w:val="1F2937"/>
          <w:sz w:val="21"/>
          <w:szCs w:val="21"/>
        </w:rPr>
        <w:t xml:space="preserve">Real tool-calling agents (LangGraph + Pinecone + Cohere), with token-by-token streaming and a genuine retrieval tool, not narrated output.</w:t>
      </w:r>
    </w:p>
    <w:p>
      <w:pPr>
        <w:pStyle w:val="ListParagraph"/>
        <w:numPr>
          <w:ilvl w:val="0"/>
          <w:numId w:val="2"/>
        </w:numPr>
        <w:spacing w:after="90" w:line="276"/>
      </w:pPr>
      <w:r>
        <w:rPr>
          <w:rFonts w:ascii="Calibri" w:cs="Calibri" w:eastAsia="Calibri" w:hAnsi="Calibri"/>
          <w:color w:val="1F2937"/>
          <w:sz w:val="21"/>
          <w:szCs w:val="21"/>
        </w:rPr>
        <w:t xml:space="preserve">Real live multi-user sync — one person's action appears on another reviewer's screen within about a second, no refresh.</w:t>
      </w:r>
    </w:p>
    <w:p>
      <w:pPr>
        <w:pStyle w:val="ListParagraph"/>
        <w:numPr>
          <w:ilvl w:val="0"/>
          <w:numId w:val="2"/>
        </w:numPr>
        <w:spacing w:after="90" w:line="276"/>
      </w:pPr>
      <w:r>
        <w:rPr>
          <w:rFonts w:ascii="Calibri" w:cs="Calibri" w:eastAsia="Calibri" w:hAnsi="Calibri"/>
          <w:color w:val="1F2937"/>
          <w:sz w:val="21"/>
          <w:szCs w:val="21"/>
        </w:rPr>
        <w:t xml:space="preserve">Real runtime governance: audit log, enforced tool allowlist, and a kill-switch that actually blocks the next step.</w:t>
      </w:r>
    </w:p>
    <w:p>
      <w:pPr>
        <w:pStyle w:val="ListParagraph"/>
        <w:numPr>
          <w:ilvl w:val="0"/>
          <w:numId w:val="2"/>
        </w:numPr>
        <w:spacing w:after="90" w:line="276"/>
      </w:pPr>
      <w:r>
        <w:rPr>
          <w:rFonts w:ascii="Calibri" w:cs="Calibri" w:eastAsia="Calibri" w:hAnsi="Calibri"/>
          <w:color w:val="1F2937"/>
          <w:sz w:val="21"/>
          <w:szCs w:val="21"/>
        </w:rPr>
        <w:t xml:space="preserve">Real deployment: Vercel (app), Google Cloud Run (AI Gateway), Neon (database), Redis (rate limiting / presence / SSE state) — all live in production, not local-only.</w:t>
      </w:r>
    </w:p>
    <w:p>
      <w:pPr>
        <w:pStyle w:val="Heading2"/>
        <w:spacing w:after="140" w:before="320"/>
      </w:pPr>
      <w:r>
        <w:rPr>
          <w:rFonts w:ascii="Cambria" w:cs="Cambria" w:eastAsia="Cambria" w:hAnsi="Cambria"/>
          <w:b/>
          <w:bCs/>
          <w:color w:val="0A2A43"/>
          <w:sz w:val="24"/>
          <w:szCs w:val="24"/>
        </w:rPr>
        <w:t xml:space="preserve">What's deliberately out of scope</w:t>
      </w:r>
    </w:p>
    <w:p>
      <w:pPr>
        <w:pStyle w:val="ListParagraph"/>
        <w:numPr>
          <w:ilvl w:val="0"/>
          <w:numId w:val="2"/>
        </w:numPr>
        <w:spacing w:after="90" w:line="276"/>
      </w:pPr>
      <w:r>
        <w:rPr>
          <w:rFonts w:ascii="Calibri" w:cs="Calibri" w:eastAsia="Calibri" w:hAnsi="Calibri"/>
          <w:color w:val="1F2937"/>
          <w:sz w:val="21"/>
          <w:szCs w:val="21"/>
        </w:rPr>
        <w:t xml:space="preserve">No real external system integrations. The platform enforces a declared tool allowlist and reconciles actual usage, but building the real integration — a real wire-transfer system, a real ticketing API — is intentionally the organization's own engineering work, informed by the ADR this platform produces.</w:t>
      </w:r>
    </w:p>
    <w:p>
      <w:pPr>
        <w:pStyle w:val="ListParagraph"/>
        <w:numPr>
          <w:ilvl w:val="0"/>
          <w:numId w:val="2"/>
        </w:numPr>
        <w:spacing w:after="90" w:line="276"/>
      </w:pPr>
      <w:r>
        <w:rPr>
          <w:rFonts w:ascii="Calibri" w:cs="Calibri" w:eastAsia="Calibri" w:hAnsi="Calibri"/>
          <w:color w:val="1F2937"/>
          <w:sz w:val="21"/>
          <w:szCs w:val="21"/>
        </w:rPr>
        <w:t xml:space="preserve">EGPA's own execution engine is a validation sandbox, not a production host. It runs a real LLM against a real Gateway, but its only real callable tool is an internal knowledge-base search — it validates the recommended pattern and governance behavior, not a live production workload.</w:t>
      </w:r>
    </w:p>
    <w:p>
      <w:pPr>
        <w:pStyle w:val="Heading1"/>
        <w:pBdr>
          <w:bottom w:val="single" w:color="1A9C94" w:sz="8" w:space="6"/>
        </w:pBdr>
        <w:spacing w:after="200" w:before="480"/>
      </w:pPr>
      <w:r>
        <w:rPr>
          <w:rFonts w:ascii="Cambria" w:cs="Cambria" w:eastAsia="Cambria" w:hAnsi="Cambria"/>
          <w:b/>
          <w:bCs/>
          <w:color w:val="0A2A43"/>
          <w:sz w:val="30"/>
          <w:szCs w:val="30"/>
        </w:rPr>
        <w:t xml:space="preserve">Technology Stack</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600"/>
        <w:gridCol w:w="8000"/>
      </w:tblGrid>
      <w:tr>
        <w:trPr>
          <w:tblHeader/>
        </w:trPr>
        <w:tc>
          <w:tcPr>
            <w:tcW w:type="dxa" w:w="26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Layer</w:t>
            </w:r>
          </w:p>
        </w:tc>
        <w:tc>
          <w:tcPr>
            <w:tcW w:type="dxa" w:w="8000"/>
            <w:shd w:fill="0A2A43" w:val="clear"/>
            <w:tcMar>
              <w:top w:type="dxa" w:w="100"/>
              <w:left w:type="dxa" w:w="140"/>
              <w:bottom w:type="dxa" w:w="100"/>
              <w:right w:type="dxa" w:w="140"/>
            </w:tcMar>
            <w:vAlign w:val="center"/>
          </w:tcPr>
          <w:p>
            <w:pPr>
              <w:jc w:val="left"/>
            </w:pPr>
            <w:r>
              <w:rPr>
                <w:rFonts w:ascii="Calibri" w:cs="Calibri" w:eastAsia="Calibri" w:hAnsi="Calibri"/>
                <w:b/>
                <w:bCs/>
                <w:color w:val="FFFFFF"/>
                <w:sz w:val="19"/>
                <w:szCs w:val="19"/>
              </w:rPr>
              <w:t xml:space="preserve">Technology</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Frontend</w:t>
            </w:r>
          </w:p>
        </w:tc>
        <w:tc>
          <w:tcPr>
            <w:tcW w:type="dxa" w:w="8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Next.js 16 (App Router, Turbopack), React 19, TypeScript, Tailwind v4</w:t>
            </w:r>
          </w:p>
        </w:tc>
      </w:tr>
      <w:tr>
        <w:tc>
          <w:tcPr>
            <w:tcW w:type="dxa" w:w="26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 data</w:t>
            </w:r>
          </w:p>
        </w:tc>
        <w:tc>
          <w:tcPr>
            <w:tcW w:type="dxa" w:w="80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Prisma 7 + Neon Postgres, Auth.js v5 (credentials + Google OIDC)</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8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LangGraph + LangChain, token-by-token streaming via Server-Sent Events</w:t>
            </w:r>
          </w:p>
        </w:tc>
      </w:tr>
      <w:tr>
        <w:tc>
          <w:tcPr>
            <w:tcW w:type="dxa" w:w="26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Retrieval / RAG</w:t>
            </w:r>
          </w:p>
        </w:tc>
        <w:tc>
          <w:tcPr>
            <w:tcW w:type="dxa" w:w="80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Pinecone (vector index) + Cohere (embeddings)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AI Gateway</w:t>
            </w:r>
          </w:p>
        </w:tc>
        <w:tc>
          <w:tcPr>
            <w:tcW w:type="dxa" w:w="8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Self-hosted LiteLLM Proxy on Google Cloud Run, multi-provider automatic fallback</w:t>
            </w:r>
          </w:p>
        </w:tc>
      </w:tr>
      <w:tr>
        <w:tc>
          <w:tcPr>
            <w:tcW w:type="dxa" w:w="26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Real-time / caching</w:t>
            </w:r>
          </w:p>
        </w:tc>
        <w:tc>
          <w:tcPr>
            <w:tcW w:type="dxa" w:w="8000"/>
            <w:shd w:fill="F3F6F8"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Redis (Upstash) — rate limiting, live presence, quotas, SSE broadcast</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Deployment</w:t>
            </w:r>
          </w:p>
        </w:tc>
        <w:tc>
          <w:tcPr>
            <w:tcW w:type="dxa" w:w="80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Vercel (application) + Google Cloud Run (AI Gateway) + Neon (database)</w:t>
            </w:r>
          </w:p>
        </w:tc>
      </w:tr>
    </w:tbl>
    <w:p>
      <w:pPr>
        <w:pStyle w:val="Heading1"/>
        <w:pBdr>
          <w:bottom w:val="single" w:color="1A9C94" w:sz="8" w:space="6"/>
        </w:pBdr>
        <w:spacing w:after="200" w:before="480"/>
      </w:pPr>
      <w:r>
        <w:rPr>
          <w:rFonts w:ascii="Cambria" w:cs="Cambria" w:eastAsia="Cambria" w:hAnsi="Cambria"/>
          <w:b/>
          <w:bCs/>
          <w:color w:val="0A2A43"/>
          <w:sz w:val="30"/>
          <w:szCs w:val="30"/>
        </w:rPr>
        <w:t xml:space="preserve">Phased Implementation &amp; Roadmap</w:t>
      </w:r>
    </w:p>
    <w:p>
      <w:pPr>
        <w:spacing w:after="200" w:line="300"/>
      </w:pPr>
      <w:r>
        <w:rPr>
          <w:rFonts w:ascii="Calibri" w:cs="Calibri" w:eastAsia="Calibri" w:hAnsi="Calibri"/>
          <w:i/>
          <w:iCs/>
          <w:color w:val="5B6472"/>
          <w:sz w:val="23"/>
          <w:szCs w:val="23"/>
        </w:rPr>
        <w:t xml:space="preserve">No invented dates. A single-team roadmap cannot credibly commit to a quarter, so this is sequenced by what strengthens governance depth first, not promised timing.</w:t>
      </w:r>
    </w:p>
    <w:p>
      <w:pPr>
        <w:pStyle w:val="Heading2"/>
        <w:spacing w:after="140" w:before="320"/>
      </w:pPr>
      <w:r>
        <w:rPr>
          <w:rFonts w:ascii="Cambria" w:cs="Cambria" w:eastAsia="Cambria" w:hAnsi="Cambria"/>
          <w:b/>
          <w:bCs/>
          <w:color w:val="0A2A43"/>
          <w:sz w:val="24"/>
          <w:szCs w:val="24"/>
        </w:rPr>
        <w:t xml:space="preserve">Delivered (MVP, live today)</w:t>
      </w:r>
    </w:p>
    <w:p>
      <w:pPr>
        <w:spacing w:after="160" w:line="288"/>
      </w:pPr>
      <w:r>
        <w:rPr>
          <w:rFonts w:ascii="Calibri" w:cs="Calibri" w:eastAsia="Calibri" w:hAnsi="Calibri"/>
          <w:color w:val="1F2937"/>
          <w:sz w:val="21"/>
          <w:szCs w:val="21"/>
        </w:rPr>
        <w:t xml:space="preserve">The full pipeline (Discovery through Observability), real runtime governance (kill-switch, audit trail, tool allowlist, PII redaction), real multi-tenancy and SSO, a real AI Gateway with multi-provider fallback, and the declared-vs-actual reconciliation and preflight-check APIs for agents built outside the platform. Value measured today by the Business Value figures above.</w:t>
      </w:r>
    </w:p>
    <w:p>
      <w:pPr>
        <w:pStyle w:val="Heading2"/>
        <w:spacing w:after="140" w:before="320"/>
      </w:pPr>
      <w:r>
        <w:rPr>
          <w:rFonts w:ascii="Cambria" w:cs="Cambria" w:eastAsia="Cambria" w:hAnsi="Cambria"/>
          <w:b/>
          <w:bCs/>
          <w:color w:val="0A2A43"/>
          <w:sz w:val="24"/>
          <w:szCs w:val="24"/>
        </w:rPr>
        <w:t xml:space="preserve">Next — deepens governance itself</w:t>
      </w:r>
    </w:p>
    <w:p>
      <w:pPr>
        <w:pStyle w:val="ListParagraph"/>
        <w:numPr>
          <w:ilvl w:val="0"/>
          <w:numId w:val="2"/>
        </w:numPr>
        <w:spacing w:after="90" w:line="276"/>
      </w:pPr>
      <w:r>
        <w:rPr>
          <w:rFonts w:ascii="Calibri" w:cs="Calibri" w:eastAsia="Calibri" w:hAnsi="Calibri"/>
          <w:color w:val="1F2937"/>
          <w:sz w:val="21"/>
          <w:szCs w:val="21"/>
        </w:rPr>
        <w:t xml:space="preserve">Governance templates per regulatory regime — different required-control sets for, e.g., GDPR versus a purely internal tool, instead of one fixed set. Value: fewer generic controls forced onto use cases that need a specific regime's rules.</w:t>
      </w:r>
    </w:p>
    <w:p>
      <w:pPr>
        <w:pStyle w:val="ListParagraph"/>
        <w:numPr>
          <w:ilvl w:val="0"/>
          <w:numId w:val="2"/>
        </w:numPr>
        <w:spacing w:after="90" w:line="276"/>
      </w:pPr>
      <w:r>
        <w:rPr>
          <w:rFonts w:ascii="Calibri" w:cs="Calibri" w:eastAsia="Calibri" w:hAnsi="Calibri"/>
          <w:color w:val="1F2937"/>
          <w:sz w:val="21"/>
          <w:szCs w:val="21"/>
        </w:rPr>
        <w:t xml:space="preserve">Configurable PII patterns per org/region — PII detection is currently a fixed regex set; real orgs in other jurisdictions need their own patterns. Value: real compliance coverage outside the one region this was built for.</w:t>
      </w:r>
    </w:p>
    <w:p>
      <w:pPr>
        <w:pStyle w:val="ListParagraph"/>
        <w:numPr>
          <w:ilvl w:val="0"/>
          <w:numId w:val="2"/>
        </w:numPr>
        <w:spacing w:after="90" w:line="276"/>
      </w:pPr>
      <w:r>
        <w:rPr>
          <w:rFonts w:ascii="Calibri" w:cs="Calibri" w:eastAsia="Calibri" w:hAnsi="Calibri"/>
          <w:color w:val="1F2937"/>
          <w:sz w:val="21"/>
          <w:szCs w:val="21"/>
        </w:rPr>
        <w:t xml:space="preserve">Regulatory citation mapping — required controls don't yet cite the specific regulation or clause driving them. Value: audit evidence with real traceability, not just "a control exists."</w:t>
      </w:r>
    </w:p>
    <w:p>
      <w:pPr>
        <w:pStyle w:val="ListParagraph"/>
        <w:numPr>
          <w:ilvl w:val="0"/>
          <w:numId w:val="2"/>
        </w:numPr>
        <w:spacing w:after="90" w:line="276"/>
      </w:pPr>
      <w:r>
        <w:rPr>
          <w:rFonts w:ascii="Calibri" w:cs="Calibri" w:eastAsia="Calibri" w:hAnsi="Calibri"/>
          <w:color w:val="1F2937"/>
          <w:sz w:val="21"/>
          <w:szCs w:val="21"/>
        </w:rPr>
        <w:t xml:space="preserve">Incident workflow tied to the kill-switch — a structured incident record (severity, resolution, post-mortem) attached to why the kill-switch was engaged. Value: kill-switch events become a managed incident process, not just a log line.</w:t>
      </w:r>
    </w:p>
    <w:p>
      <w:pPr>
        <w:pStyle w:val="ListParagraph"/>
        <w:numPr>
          <w:ilvl w:val="0"/>
          <w:numId w:val="2"/>
        </w:numPr>
        <w:spacing w:after="90" w:line="276"/>
      </w:pPr>
      <w:r>
        <w:rPr>
          <w:rFonts w:ascii="Calibri" w:cs="Calibri" w:eastAsia="Calibri" w:hAnsi="Calibri"/>
          <w:color w:val="1F2937"/>
          <w:sz w:val="21"/>
          <w:szCs w:val="21"/>
        </w:rPr>
        <w:t xml:space="preserve">Aggregate portfolio risk rollup — a single view of the org's total risk exposure across every use case at once. Value: answers "how exposed are we, in total" without checking every use case by hand.</w:t>
      </w:r>
    </w:p>
    <w:p>
      <w:pPr>
        <w:pStyle w:val="Heading2"/>
        <w:spacing w:after="140" w:before="320"/>
      </w:pPr>
      <w:r>
        <w:rPr>
          <w:rFonts w:ascii="Cambria" w:cs="Cambria" w:eastAsia="Cambria" w:hAnsi="Cambria"/>
          <w:b/>
          <w:bCs/>
          <w:color w:val="0A2A43"/>
          <w:sz w:val="24"/>
          <w:szCs w:val="24"/>
        </w:rPr>
        <w:t xml:space="preserve">Later — extends the pipeline's reach</w:t>
      </w:r>
    </w:p>
    <w:p>
      <w:pPr>
        <w:pStyle w:val="ListParagraph"/>
        <w:numPr>
          <w:ilvl w:val="0"/>
          <w:numId w:val="2"/>
        </w:numPr>
        <w:spacing w:after="90" w:line="276"/>
      </w:pPr>
      <w:r>
        <w:rPr>
          <w:rFonts w:ascii="Calibri" w:cs="Calibri" w:eastAsia="Calibri" w:hAnsi="Calibri"/>
          <w:color w:val="1F2937"/>
          <w:sz w:val="21"/>
          <w:szCs w:val="21"/>
        </w:rPr>
        <w:t xml:space="preserve">Intake templates and reference architecture templates for common use-case shapes, to speed up the common case instead of starting blank every time.</w:t>
      </w:r>
    </w:p>
    <w:p>
      <w:pPr>
        <w:pStyle w:val="ListParagraph"/>
        <w:numPr>
          <w:ilvl w:val="0"/>
          <w:numId w:val="2"/>
        </w:numPr>
        <w:spacing w:after="90" w:line="276"/>
      </w:pPr>
      <w:r>
        <w:rPr>
          <w:rFonts w:ascii="Calibri" w:cs="Calibri" w:eastAsia="Calibri" w:hAnsi="Calibri"/>
          <w:color w:val="1F2937"/>
          <w:sz w:val="21"/>
          <w:szCs w:val="21"/>
        </w:rPr>
        <w:t xml:space="preserve">Vendor/model and data-source blast-radius reverse lookup — "if this model or data source is compromised, which use cases are affected" answerable directly instead of checked by hand.</w:t>
      </w:r>
    </w:p>
    <w:p>
      <w:pPr>
        <w:pStyle w:val="ListParagraph"/>
        <w:numPr>
          <w:ilvl w:val="0"/>
          <w:numId w:val="2"/>
        </w:numPr>
        <w:spacing w:after="90" w:line="276"/>
      </w:pPr>
      <w:r>
        <w:rPr>
          <w:rFonts w:ascii="Calibri" w:cs="Calibri" w:eastAsia="Calibri" w:hAnsi="Calibri"/>
          <w:color w:val="1F2937"/>
          <w:sz w:val="21"/>
          <w:szCs w:val="21"/>
        </w:rPr>
        <w:t xml:space="preserve">Configurable approval workflows per org, and an in-app notification center alongside the existing real Slack integration.</w:t>
      </w:r>
    </w:p>
    <w:p>
      <w:pPr>
        <w:pStyle w:val="Heading2"/>
        <w:spacing w:after="140" w:before="320"/>
      </w:pPr>
      <w:r>
        <w:rPr>
          <w:rFonts w:ascii="Cambria" w:cs="Cambria" w:eastAsia="Cambria" w:hAnsi="Cambria"/>
          <w:b/>
          <w:bCs/>
          <w:color w:val="0A2A43"/>
          <w:sz w:val="24"/>
          <w:szCs w:val="24"/>
        </w:rPr>
        <w:t xml:space="preserve">Platform hardening — not user-facing, but what makes this credible as production infrastructure</w:t>
      </w:r>
    </w:p>
    <w:p>
      <w:pPr>
        <w:pStyle w:val="ListParagraph"/>
        <w:numPr>
          <w:ilvl w:val="0"/>
          <w:numId w:val="2"/>
        </w:numPr>
        <w:spacing w:after="90" w:line="276"/>
      </w:pPr>
      <w:r>
        <w:rPr>
          <w:rFonts w:ascii="Calibri" w:cs="Calibri" w:eastAsia="Calibri" w:hAnsi="Calibri"/>
          <w:color w:val="1F2937"/>
          <w:sz w:val="21"/>
          <w:szCs w:val="21"/>
        </w:rPr>
        <w:t xml:space="preserve">Broader end-to-end test coverage, a formal accessibility audit, an OpenAPI spec for the public API, SCIM/automated user provisioning, per-tenant branding, a first-run interactive tour, pagination/performance work at genuine enterprise scale, and real Privacy Policy / ToS / DPA documents ahead of any real production deployment.</w:t>
      </w:r>
    </w:p>
    <w:p>
      <w:pPr>
        <w:pStyle w:val="Heading1"/>
        <w:pBdr>
          <w:bottom w:val="single" w:color="1A9C94" w:sz="8" w:space="6"/>
        </w:pBdr>
        <w:spacing w:after="200" w:before="480"/>
      </w:pPr>
      <w:r>
        <w:rPr>
          <w:rFonts w:ascii="Cambria" w:cs="Cambria" w:eastAsia="Cambria" w:hAnsi="Cambria"/>
          <w:b/>
          <w:bCs/>
          <w:color w:val="0A2A43"/>
          <w:sz w:val="30"/>
          <w:szCs w:val="30"/>
        </w:rPr>
        <w:t xml:space="preserve">Closing</w:t>
      </w:r>
    </w:p>
    <w:p>
      <w:pPr>
        <w:spacing w:after="160" w:line="288"/>
      </w:pPr>
      <w:r>
        <w:rPr>
          <w:rFonts w:ascii="Calibri" w:cs="Calibri" w:eastAsia="Calibri" w:hAnsi="Calibri"/>
          <w:color w:val="1F2937"/>
          <w:sz w:val="21"/>
          <w:szCs w:val="21"/>
        </w:rPr>
        <w:t xml:space="preserve">EGPA demonstrates that AI governance does not have to be a bottleneck bolted onto the end of a build process. By turning risk assessment, sign-off, and audit into enforced, automatic parts of the same pipeline a team already uses to design their agent, governance becomes the fast, well-lit path — not the reason teams go around it.</w:t>
      </w:r>
    </w:p>
    <w:p>
      <w:pPr>
        <w:spacing w:after="160" w:line="288"/>
      </w:pPr>
      <w:r>
        <w:rPr>
          <w:rFonts w:ascii="Calibri" w:cs="Calibri" w:eastAsia="Calibri" w:hAnsi="Calibri"/>
          <w:b/>
          <w:bCs/>
          <w:color w:val="0A2A43"/>
          <w:sz w:val="21"/>
          <w:szCs w:val="21"/>
        </w:rPr>
        <w:t xml:space="preserve">This document reflects a real, running system, independently verifiable end to end — from the first Discovery conversation through a live, streamed, multi-agent execution with real cost and token accounting.</w:t>
      </w:r>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2"/>
        <w:sz w:val="15"/>
        <w:szCs w:val="15"/>
      </w:rPr>
      <w:t xml:space="preserve">Page </w:t>
    </w:r>
    <w:r>
      <w:rPr>
        <w:rFonts w:ascii="Calibri" w:cs="Calibri" w:eastAsia="Calibri" w:hAnsi="Calibri"/>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472"/>
        <w:sz w:val="15"/>
        <w:szCs w:val="15"/>
      </w:rPr>
      <w:t xml:space="preserve">EGPA — Enterprise Governance Platform for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2026-08-17T09:18:10.035Z</dcterms:created>
  <dcterms:modified xsi:type="dcterms:W3CDTF">2026-08-17T09:18:10.035Z</dcterms:modified>
</cp:coreProperties>
</file>

<file path=docProps/custom.xml><?xml version="1.0" encoding="utf-8"?>
<Properties xmlns="http://schemas.openxmlformats.org/officeDocument/2006/custom-properties" xmlns:vt="http://schemas.openxmlformats.org/officeDocument/2006/docPropsVTypes"/>
</file>