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1CD"/>
          <w:sz w:val="44"/>
        </w:rPr>
        <w:t>COURSE COVERAGE REPORT (CCR) SYSTEM</w:t>
      </w:r>
    </w:p>
    <w:p>
      <w:pPr>
        <w:jc w:val="center"/>
      </w:pPr>
      <w:r>
        <w:rPr>
          <w:rFonts w:ascii="Arial" w:hAnsi="Arial"/>
          <w:i/>
          <w:color w:val="646464"/>
          <w:sz w:val="26"/>
        </w:rPr>
        <w:t>1st Year Department (Science &amp; Humanities) Customization Report</w:t>
      </w:r>
    </w:p>
    <w:p/>
    <w:p>
      <w:pPr>
        <w:spacing w:before="320" w:after="120"/>
      </w:pPr>
      <w:r>
        <w:rPr>
          <w:rFonts w:ascii="Arial" w:hAnsi="Arial"/>
          <w:b/>
          <w:color w:val="0B41CD"/>
          <w:sz w:val="32"/>
        </w:rPr>
        <w:t>1. Executive Summary &amp; Brief Overview</w:t>
      </w:r>
    </w:p>
    <w:p>
      <w:pPr>
        <w:spacing w:after="120" w:line="276" w:lineRule="auto"/>
      </w:pPr>
      <w:r>
        <w:rPr>
          <w:rFonts w:ascii="Arial" w:hAnsi="Arial"/>
          <w:sz w:val="21"/>
        </w:rPr>
        <w:t>This document outlines the detailed technical coding architecture and operational data entry customizations implemented for the 1st Year Department (Science &amp; Humanities / S&amp;H) at Jaya Engineering College within the Course Coverage Report (CCR) System.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>Multi-Section Scope:</w:t>
      </w:r>
      <w:r>
        <w:rPr>
          <w:rFonts w:ascii="Arial" w:hAnsi="Arial"/>
          <w:sz w:val="21"/>
        </w:rPr>
        <w:t xml:space="preserve"> The 1st Year Department encompasses 7 parallel sections (SEC-A through SEC-G) spanning multiple engineering branches including CSE, CCE, IT, AIML, CSBS, Aero, Mech, Robo, ECE, and EEE.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>Shared Faculty Resources:</w:t>
      </w:r>
      <w:r>
        <w:rPr>
          <w:rFonts w:ascii="Arial" w:hAnsi="Arial"/>
          <w:sz w:val="21"/>
        </w:rPr>
        <w:t xml:space="preserve"> S&amp;H faculty members (Mathematics, Physics, Chemistry, English, Humanities) teach across multiple sections, requiring multi-section role access.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>Standardized Core Curriculum:</w:t>
      </w:r>
      <w:r>
        <w:rPr>
          <w:rFonts w:ascii="Arial" w:hAnsi="Arial"/>
          <w:sz w:val="21"/>
        </w:rPr>
        <w:t xml:space="preserve"> Built on Anna University Semester I core curriculum (Applied Calculus, Applied Physics, Applied Chemistry, Computer Programming in C, Essentials of Computing).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>Rapid Data Entry:</w:t>
      </w:r>
      <w:r>
        <w:rPr>
          <w:rFonts w:ascii="Arial" w:hAnsi="Arial"/>
          <w:sz w:val="21"/>
        </w:rPr>
        <w:t xml:space="preserve"> Subject teachers can record weekly class progress in under 2 minutes, with automatic aggregation for Class Counselors and HOD approval.</w:t>
      </w:r>
    </w:p>
    <w:p>
      <w:pPr>
        <w:spacing w:before="320" w:after="120"/>
      </w:pPr>
      <w:r>
        <w:rPr>
          <w:rFonts w:ascii="Arial" w:hAnsi="Arial"/>
          <w:b/>
          <w:color w:val="0B41CD"/>
          <w:sz w:val="32"/>
        </w:rPr>
        <w:t>2. Coding &amp; Technical Architecture Customizations</w:t>
      </w:r>
    </w:p>
    <w:p>
      <w:pPr>
        <w:spacing w:before="240" w:after="80"/>
      </w:pPr>
      <w:r>
        <w:rPr>
          <w:rFonts w:ascii="Arial" w:hAnsi="Arial"/>
          <w:b/>
          <w:color w:val="282828"/>
          <w:sz w:val="26"/>
        </w:rPr>
        <w:t>A. Section Templates Registry (sectionTemplates.ts)</w:t>
      </w:r>
    </w:p>
    <w:p>
      <w:pPr>
        <w:spacing w:after="120" w:line="276" w:lineRule="auto"/>
      </w:pPr>
      <w:r>
        <w:rPr>
          <w:rFonts w:ascii="Arial" w:hAnsi="Arial"/>
          <w:sz w:val="21"/>
        </w:rPr>
        <w:t>The frontend application implements a centralized configuration registry mapping section codes (SEC-A to SEC-G) to specific academic years, semesters, departments, and pre-loaded subject catalogs: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SEC-A: Computer Science &amp; Engineering (CSE) - 9 Subjects (MA25C01, ENG25C01, UC25H01, PH25C01, CY25C01, CS25C01, CS25C03, ME25C16, UC25A01)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SEC-B: Computer Science &amp; Communication Engineering (CSE &amp; CCE)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SEC-C: Information Technology (IT)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SEC-D: Artificial Intelligence &amp; Machine Learning / CSBS (AIML/CSBS)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SEC-E: Aeronautical, Mechanical &amp; Robotics Engineering (Aero/Mech/Robo)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SEC-F &amp; SEC-G: Electronics &amp; Communication / Electrical Engineering (ECE/EEE)</w:t>
      </w:r>
    </w:p>
    <w:p>
      <w:pPr>
        <w:spacing w:before="240" w:after="80"/>
      </w:pPr>
      <w:r>
        <w:rPr>
          <w:rFonts w:ascii="Arial" w:hAnsi="Arial"/>
          <w:b/>
          <w:color w:val="282828"/>
          <w:sz w:val="26"/>
        </w:rPr>
        <w:t>B. Shared Faculty Mapping &amp; Database Seeding (connection.ts)</w:t>
      </w:r>
    </w:p>
    <w:p>
      <w:pPr>
        <w:spacing w:after="120" w:line="276" w:lineRule="auto"/>
      </w:pPr>
      <w:r>
        <w:rPr>
          <w:rFonts w:ascii="Arial" w:hAnsi="Arial"/>
          <w:sz w:val="21"/>
        </w:rPr>
        <w:t>In the SQLite/MongoDB schema layer, 1st-year timetable records (slots t100 through t134) link shared professors to multiple sections. When a single professor logs into the mobile app, the system dynamically queries and displays distinct subject cards for every section they teach.</w:t>
      </w:r>
    </w:p>
    <w:p>
      <w:pPr>
        <w:spacing w:before="240" w:after="80"/>
      </w:pPr>
      <w:r>
        <w:rPr>
          <w:rFonts w:ascii="Arial" w:hAnsi="Arial"/>
          <w:b/>
          <w:color w:val="282828"/>
          <w:sz w:val="26"/>
        </w:rPr>
        <w:t>C. PDF &amp; Word Document Formatting Engines (reportPdfTemplate.ts &amp; reportWordTemplate.ts)</w:t>
      </w:r>
    </w:p>
    <w:p>
      <w:pPr>
        <w:spacing w:after="120" w:line="276" w:lineRule="auto"/>
      </w:pPr>
      <w:r>
        <w:rPr>
          <w:rFonts w:ascii="Arial" w:hAnsi="Arial"/>
          <w:sz w:val="21"/>
        </w:rPr>
        <w:t>Automated report engines format 1st-year progress reports according to JEC academic compliance standards: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Filters non-academic rows (e.g. Life Skills, Physical Education) while retaining metrics for core theory and lab subjects.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Computes planned periods, handled periods, cumulative coverage percentages, and deviation reasons.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Generates high-resolution PDF/Word downloads with official college headers and signature blocks.</w:t>
      </w:r>
    </w:p>
    <w:p>
      <w:pPr>
        <w:spacing w:before="240" w:after="80"/>
      </w:pPr>
      <w:r>
        <w:rPr>
          <w:rFonts w:ascii="Arial" w:hAnsi="Arial"/>
          <w:b/>
          <w:color w:val="282828"/>
          <w:sz w:val="26"/>
        </w:rPr>
        <w:t>D. Offline Sync &amp; Cache Engine</w:t>
      </w:r>
    </w:p>
    <w:p>
      <w:pPr>
        <w:spacing w:after="120" w:line="276" w:lineRule="auto"/>
      </w:pPr>
      <w:r>
        <w:rPr>
          <w:rFonts w:ascii="Arial" w:hAnsi="Arial"/>
          <w:sz w:val="21"/>
        </w:rPr>
        <w:t>React Native local SQLite cache allows faculty to input class logs in low-connectivity zones (e.g., ground-floor physics/chemistry labs). The offline queue automatically syncs data to the central REST server upon network reconnection.</w:t>
      </w:r>
    </w:p>
    <w:p>
      <w:pPr>
        <w:spacing w:before="320" w:after="120"/>
      </w:pPr>
      <w:r>
        <w:rPr>
          <w:rFonts w:ascii="Arial" w:hAnsi="Arial"/>
          <w:b/>
          <w:color w:val="0B41CD"/>
          <w:sz w:val="32"/>
        </w:rPr>
        <w:t>3. Data Entry &amp; Operational Workflows</w:t>
      </w:r>
    </w:p>
    <w:p>
      <w:pPr>
        <w:spacing w:before="240" w:after="80"/>
      </w:pPr>
      <w:r>
        <w:rPr>
          <w:rFonts w:ascii="Arial" w:hAnsi="Arial"/>
          <w:b/>
          <w:color w:val="282828"/>
          <w:sz w:val="26"/>
        </w:rPr>
        <w:t>A. 2-Minute Faculty Progress Logging</w:t>
      </w:r>
    </w:p>
    <w:p>
      <w:pPr>
        <w:spacing w:after="120" w:line="276" w:lineRule="auto"/>
      </w:pPr>
      <w:r>
        <w:rPr>
          <w:rFonts w:ascii="Arial" w:hAnsi="Arial"/>
          <w:sz w:val="21"/>
        </w:rPr>
        <w:t>Subject teachers follow a streamlined 4-step mobile/web logging workflow: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Select Assigned Section Card from dashboard (e.g. 1st Year SEC-A).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Input Period Metrics: Enter numbers for Planned Periods, Handled Periods, and Required Periods.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Check Completed Topics: Tick off completed syllabus topics from pre-loaded topic checklists (eliminates manual typing).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Log Delay Reasons: Select or type reasons if coverage is behind schedule (e.g. holiday, lab exam).</w:t>
      </w:r>
    </w:p>
    <w:p>
      <w:pPr>
        <w:spacing w:before="240" w:after="80"/>
      </w:pPr>
      <w:r>
        <w:rPr>
          <w:rFonts w:ascii="Arial" w:hAnsi="Arial"/>
          <w:b/>
          <w:color w:val="282828"/>
          <w:sz w:val="26"/>
        </w:rPr>
        <w:t>B. Master Batch Data Ingestion</w:t>
      </w:r>
    </w:p>
    <w:p>
      <w:pPr>
        <w:spacing w:after="120" w:line="276" w:lineRule="auto"/>
      </w:pPr>
      <w:r>
        <w:rPr>
          <w:rFonts w:ascii="Arial" w:hAnsi="Arial"/>
          <w:sz w:val="21"/>
        </w:rPr>
        <w:t>To eliminate manual setup errors, 1st-year data is pre-ingested from institutional master files: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1st_Year_Faculty_Details.xlsx: Maps teacher names, emails (@jec.com), and assigned sections.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1st_Year_Faculty_Credentials.xlsx: Provisions secure account credentials for seamless onboarding.</w:t>
      </w:r>
    </w:p>
    <w:p>
      <w:pPr>
        <w:spacing w:before="240" w:after="80"/>
      </w:pPr>
      <w:r>
        <w:rPr>
          <w:rFonts w:ascii="Arial" w:hAnsi="Arial"/>
          <w:b/>
          <w:color w:val="282828"/>
          <w:sz w:val="26"/>
        </w:rPr>
        <w:t>C. Class Counselor &amp; HOD Approval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Class Counselors view a unified dashboard showing all 9 subjects assigned to their section, append weekly summary remarks, and submit to the HOD in 1 click.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The 1st Year HOD reviews section submissions on a consolidated screen and approves reports with one-tap digital verification.</w:t>
      </w:r>
    </w:p>
    <w:p>
      <w:pPr>
        <w:spacing w:before="320" w:after="120"/>
      </w:pPr>
      <w:r>
        <w:rPr>
          <w:rFonts w:ascii="Arial" w:hAnsi="Arial"/>
          <w:b/>
          <w:color w:val="0B41CD"/>
          <w:sz w:val="32"/>
        </w:rPr>
        <w:t>4. Customization Comparison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B41C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Feature Area</w:t>
            </w:r>
          </w:p>
        </w:tc>
        <w:tc>
          <w:tcPr>
            <w:tcW w:type="dxa" w:w="3120"/>
            <w:shd w:fill="0B41C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Coding Customization (Technical)</w:t>
            </w:r>
          </w:p>
        </w:tc>
        <w:tc>
          <w:tcPr>
            <w:tcW w:type="dxa" w:w="3120"/>
            <w:shd w:fill="0B41C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Data Entry Customization (Operational)</w:t>
            </w:r>
          </w:p>
        </w:tc>
      </w:tr>
      <w:tr>
        <w:tc>
          <w:tcPr>
            <w:tcW w:type="dxa" w:w="3120"/>
            <w:shd w:fill="F2F4F8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Section Configuration</w:t>
            </w:r>
          </w:p>
        </w:tc>
        <w:tc>
          <w:tcPr>
            <w:tcW w:type="dxa" w:w="3120"/>
            <w:shd w:fill="F2F4F8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Dynamic section mapping registry (SEC-A to SEC-G) in sectionTemplates.ts</w:t>
            </w:r>
          </w:p>
        </w:tc>
        <w:tc>
          <w:tcPr>
            <w:tcW w:type="dxa" w:w="3120"/>
            <w:shd w:fill="F2F4F8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Pre-filtered 1st-year section cards per faculty dashboard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Faculty Allocation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Multi-section query logic supporting shared S&amp;H professors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Seamless switching between SEC-A, SEC-B, etc., in 1 tap</w:t>
            </w:r>
          </w:p>
        </w:tc>
      </w:tr>
      <w:tr>
        <w:tc>
          <w:tcPr>
            <w:tcW w:type="dxa" w:w="3120"/>
            <w:shd w:fill="F2F4F8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Syllabus Data</w:t>
            </w:r>
          </w:p>
        </w:tc>
        <w:tc>
          <w:tcPr>
            <w:tcW w:type="dxa" w:w="3120"/>
            <w:shd w:fill="F2F4F8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Database schema pre-loaded with Anna University 1st-year subject codes</w:t>
            </w:r>
          </w:p>
        </w:tc>
        <w:tc>
          <w:tcPr>
            <w:tcW w:type="dxa" w:w="3120"/>
            <w:shd w:fill="F2F4F8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Pre-checked topic selection (no manual typing required)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Offline Connectivity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SQLite local caching with auto-sync REST API endpoints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Offline draft saving for low-signal classrooms and laboratories</w:t>
            </w:r>
          </w:p>
        </w:tc>
      </w:tr>
      <w:tr>
        <w:tc>
          <w:tcPr>
            <w:tcW w:type="dxa" w:w="3120"/>
            <w:shd w:fill="F2F4F8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Report Generation</w:t>
            </w:r>
          </w:p>
        </w:tc>
        <w:tc>
          <w:tcPr>
            <w:tcW w:type="dxa" w:w="3120"/>
            <w:shd w:fill="F2F4F8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Custom PDF/Word template rendering engines</w:t>
            </w:r>
          </w:p>
        </w:tc>
        <w:tc>
          <w:tcPr>
            <w:tcW w:type="dxa" w:w="3120"/>
            <w:shd w:fill="F2F4F8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1-click export of official weekly CCR documents for HOD/Principal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