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80" w:before="0"/>
        <w:jc w:val="center"/>
      </w:pPr>
      <w:r>
        <w:rPr>
          <w:rFonts w:ascii="Arial" w:cs="Arial" w:eastAsia="Arial" w:hAnsi="Arial"/>
          <w:b/>
          <w:bCs/>
          <w:color w:val="1A3557"/>
          <w:sz w:val="52"/>
          <w:szCs w:val="52"/>
        </w:rPr>
        <w:t xml:space="preserve">API SECURITY RISK ANALYSIS</w:t>
      </w:r>
    </w:p>
    <w:p>
      <w:pPr>
        <w:spacing w:after="40" w:before="0"/>
        <w:jc w:val="center"/>
      </w:pPr>
      <w:r>
        <w:rPr>
          <w:rFonts w:ascii="Arial" w:cs="Arial" w:eastAsia="Arial" w:hAnsi="Arial"/>
          <w:b/>
          <w:bCs/>
          <w:color w:val="2563A8"/>
          <w:sz w:val="52"/>
          <w:szCs w:val="52"/>
        </w:rPr>
        <w:t xml:space="preserve">REPORT</w:t>
      </w:r>
    </w:p>
    <w:p>
      <w:pPr>
        <w:pBdr>
          <w:bottom w:val="single" w:color="2563A8" w:sz="8" w:space="1"/>
        </w:pBdr>
        <w:spacing w:after="200" w:before="40"/>
        <w:jc w:val="center"/>
      </w:pPr>
      <w:r>
        <w:rPr>
          <w:rFonts w:ascii="Arial" w:cs="Arial" w:eastAsia="Arial" w:hAnsi="Arial"/>
          <w:i/>
          <w:iCs/>
          <w:color w:val="5A5A5A"/>
          <w:sz w:val="20"/>
          <w:szCs w:val="20"/>
        </w:rPr>
        <w:t xml:space="preserve">Internship Task 3 · OWASP API Security Top 10 (2023)</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Analyst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Anna (Hari Raj)</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Institution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Dhanalakshmi Srinivasan College of Engineering, Coimbatore</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Programme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B.E. Computer Science Engineering (Cyber Security)</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Date</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April 08, 2026</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APIs Tested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jsonplaceholder.typicode.com · reqres.in</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Tools Used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Postman, cURL (terminal), Firefox / Chrome DevTools</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Framework</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OWASP API Security Top 10 (2023)</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Classification</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Internship Deliverable — Safe/Demo APIs Only</w:t>
            </w:r>
          </w:p>
        </w:tc>
      </w:tr>
    </w:tbl>
    <w:p>
      <w:pPr>
        <w:spacing w:after="0" w:before="200"/>
      </w:pPr>
    </w:p>
    <w:p>
      <w:pPr>
        <w:pStyle w:val="Heading1"/>
      </w:pPr>
      <w:r>
        <w:t xml:space="preserve">1. Executive Summary</w:t>
      </w:r>
    </w:p>
    <w:p>
      <w:pPr>
        <w:spacing w:after="60" w:before="60"/>
      </w:pPr>
      <w:r>
        <w:rPr>
          <w:rFonts w:ascii="Arial" w:cs="Arial" w:eastAsia="Arial" w:hAnsi="Arial"/>
          <w:color w:val="5A5A5A"/>
          <w:sz w:val="20"/>
          <w:szCs w:val="20"/>
        </w:rPr>
        <w:t xml:space="preserve">A security assessment was conducted on two publicly available demo APIs to identify common API vulnerabilities. A total of 6 findings were identified spanning 5 OWASP API Security Top 10 categories. All tests were performed on safe, public demo endpoints.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960"/>
        <w:gridCol w:w="3000"/>
        <w:gridCol w:w="2000"/>
      </w:tblGrid>
      <w:tr>
        <w:tc>
          <w:tcPr>
            <w:tcW w:type="dxa" w:w="1400"/>
            <w:tcBorders>
              <w:top w:val="single" w:color="2563A8" w:sz="1"/>
              <w:left w:val="single" w:color="2563A8" w:sz="1"/>
              <w:bottom w:val="single" w:color="2563A8" w:sz="1"/>
              <w:right w:val="single" w:color="2563A8" w:sz="1"/>
            </w:tcBorders>
            <w:shd w:fill="1A35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960"/>
            <w:tcBorders>
              <w:top w:val="single" w:color="2563A8" w:sz="1"/>
              <w:left w:val="single" w:color="2563A8" w:sz="1"/>
              <w:bottom w:val="single" w:color="2563A8" w:sz="1"/>
              <w:right w:val="single" w:color="2563A8"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dxa" w:w="3000"/>
            <w:tcBorders>
              <w:top w:val="single" w:color="2563A8" w:sz="1"/>
              <w:left w:val="single" w:color="2563A8" w:sz="1"/>
              <w:bottom w:val="single" w:color="2563A8" w:sz="1"/>
              <w:right w:val="single" w:color="2563A8"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2000"/>
            <w:tcBorders>
              <w:top w:val="single" w:color="2563A8" w:sz="1"/>
              <w:left w:val="single" w:color="2563A8" w:sz="1"/>
              <w:bottom w:val="single" w:color="2563A8" w:sz="1"/>
              <w:right w:val="single" w:color="2563A8" w:sz="1"/>
            </w:tcBorders>
            <w:shd w:fill="1A355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Risk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ourier New" w:cs="Courier New" w:eastAsia="Courier New" w:hAnsi="Courier New"/>
                <w:b/>
                <w:bCs/>
                <w:color w:val="1A3557"/>
                <w:sz w:val="18"/>
                <w:szCs w:val="18"/>
              </w:rPr>
              <w:t xml:space="preserve">F-01</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No Authentication on User Data</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A5A5A"/>
                <w:sz w:val="16"/>
                <w:szCs w:val="16"/>
              </w:rPr>
              <w:t xml:space="preserve">GET /users</w:t>
            </w:r>
          </w:p>
        </w:tc>
        <w:tc>
          <w:tcPr>
            <w:tcW w:type="dxa" w:w="2000"/>
            <w:tcBorders>
              <w:top w:val="single" w:color="CCCCCC" w:sz="1"/>
              <w:left w:val="single" w:color="CCCCCC" w:sz="1"/>
              <w:bottom w:val="single" w:color="CCCCCC" w:sz="1"/>
              <w:right w:val="single" w:color="CCCCCC" w:sz="1"/>
            </w:tcBorders>
            <w:shd w:fill="FCECEA"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ourier New" w:cs="Courier New" w:eastAsia="Courier New" w:hAnsi="Courier New"/>
                <w:b/>
                <w:bCs/>
                <w:color w:val="1A3557"/>
                <w:sz w:val="18"/>
                <w:szCs w:val="18"/>
              </w:rPr>
              <w:t xml:space="preserve">F-02</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IDOR — User Enumeration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A5A5A"/>
                <w:sz w:val="16"/>
                <w:szCs w:val="16"/>
              </w:rPr>
              <w:t xml:space="preserve">GET /users/{id}</w:t>
            </w:r>
          </w:p>
        </w:tc>
        <w:tc>
          <w:tcPr>
            <w:tcW w:type="dxa" w:w="2000"/>
            <w:tcBorders>
              <w:top w:val="single" w:color="CCCCCC" w:sz="1"/>
              <w:left w:val="single" w:color="CCCCCC" w:sz="1"/>
              <w:bottom w:val="single" w:color="CCCCCC" w:sz="1"/>
              <w:right w:val="single" w:color="CCCCCC" w:sz="1"/>
            </w:tcBorders>
            <w:shd w:fill="FCECEA"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ourier New" w:cs="Courier New" w:eastAsia="Courier New" w:hAnsi="Courier New"/>
                <w:b/>
                <w:bCs/>
                <w:color w:val="1A3557"/>
                <w:sz w:val="18"/>
                <w:szCs w:val="18"/>
              </w:rPr>
              <w:t xml:space="preserve">F-03</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Sensitive Data Exposure</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A5A5A"/>
                <w:sz w:val="16"/>
                <w:szCs w:val="16"/>
              </w:rPr>
              <w:t xml:space="preserve">GET /api/users/2</w:t>
            </w:r>
          </w:p>
        </w:tc>
        <w:tc>
          <w:tcPr>
            <w:tcW w:type="dxa" w:w="2000"/>
            <w:tcBorders>
              <w:top w:val="single" w:color="CCCCCC" w:sz="1"/>
              <w:left w:val="single" w:color="CCCCCC" w:sz="1"/>
              <w:bottom w:val="single" w:color="CCCCCC" w:sz="1"/>
              <w:right w:val="single" w:color="CCCCCC" w:sz="1"/>
            </w:tcBorders>
            <w:shd w:fill="FCECEA"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ourier New" w:cs="Courier New" w:eastAsia="Courier New" w:hAnsi="Courier New"/>
                <w:b/>
                <w:bCs/>
                <w:color w:val="1A3557"/>
                <w:sz w:val="18"/>
                <w:szCs w:val="18"/>
              </w:rPr>
              <w:t xml:space="preserve">F-04</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No Rate Limiting</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A5A5A"/>
                <w:sz w:val="16"/>
                <w:szCs w:val="16"/>
              </w:rPr>
              <w:t xml:space="preserve">POST /api/login</w:t>
            </w:r>
          </w:p>
        </w:tc>
        <w:tc>
          <w:tcPr>
            <w:tcW w:type="dxa" w:w="2000"/>
            <w:tcBorders>
              <w:top w:val="single" w:color="CCCCCC" w:sz="1"/>
              <w:left w:val="single" w:color="CCCCCC" w:sz="1"/>
              <w:bottom w:val="single" w:color="CCCCCC" w:sz="1"/>
              <w:right w:val="single" w:color="CCCCCC" w:sz="1"/>
            </w:tcBorders>
            <w:shd w:fill="FEF3E2" w:val="clear"/>
            <w:tcMar>
              <w:top w:type="dxa" w:w="60"/>
              <w:left w:type="dxa" w:w="120"/>
              <w:bottom w:type="dxa" w:w="60"/>
              <w:right w:type="dxa" w:w="120"/>
            </w:tcMar>
          </w:tcPr>
          <w:p>
            <w:pPr>
              <w:jc w:val="center"/>
            </w:pPr>
            <w:r>
              <w:rPr>
                <w:rFonts w:ascii="Arial" w:cs="Arial" w:eastAsia="Arial" w:hAnsi="Arial"/>
                <w:b/>
                <w:bCs/>
                <w:color w:val="D354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ourier New" w:cs="Courier New" w:eastAsia="Courier New" w:hAnsi="Courier New"/>
                <w:b/>
                <w:bCs/>
                <w:color w:val="1A3557"/>
                <w:sz w:val="18"/>
                <w:szCs w:val="18"/>
              </w:rPr>
              <w:t xml:space="preserve">F-05</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Missing Input Validation</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A5A5A"/>
                <w:sz w:val="16"/>
                <w:szCs w:val="16"/>
              </w:rPr>
              <w:t xml:space="preserve">POST /posts</w:t>
            </w:r>
          </w:p>
        </w:tc>
        <w:tc>
          <w:tcPr>
            <w:tcW w:type="dxa" w:w="2000"/>
            <w:tcBorders>
              <w:top w:val="single" w:color="CCCCCC" w:sz="1"/>
              <w:left w:val="single" w:color="CCCCCC" w:sz="1"/>
              <w:bottom w:val="single" w:color="CCCCCC" w:sz="1"/>
              <w:right w:val="single" w:color="CCCCCC" w:sz="1"/>
            </w:tcBorders>
            <w:shd w:fill="FEF3E2" w:val="clear"/>
            <w:tcMar>
              <w:top w:type="dxa" w:w="60"/>
              <w:left w:type="dxa" w:w="120"/>
              <w:bottom w:type="dxa" w:w="60"/>
              <w:right w:type="dxa" w:w="120"/>
            </w:tcMar>
          </w:tcPr>
          <w:p>
            <w:pPr>
              <w:jc w:val="center"/>
            </w:pPr>
            <w:r>
              <w:rPr>
                <w:rFonts w:ascii="Arial" w:cs="Arial" w:eastAsia="Arial" w:hAnsi="Arial"/>
                <w:b/>
                <w:bCs/>
                <w:color w:val="D354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ourier New" w:cs="Courier New" w:eastAsia="Courier New" w:hAnsi="Courier New"/>
                <w:b/>
                <w:bCs/>
                <w:color w:val="1A3557"/>
                <w:sz w:val="18"/>
                <w:szCs w:val="18"/>
              </w:rPr>
              <w:t xml:space="preserve">F-06</w:t>
            </w:r>
          </w:p>
        </w:tc>
        <w:tc>
          <w:tcPr>
            <w:tcW w:type="dxa" w:w="2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Missing Security Headers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5A5A5A"/>
                <w:sz w:val="16"/>
                <w:szCs w:val="16"/>
              </w:rPr>
              <w:t xml:space="preserve">GET /api/users (headers)</w:t>
            </w:r>
          </w:p>
        </w:tc>
        <w:tc>
          <w:tcPr>
            <w:tcW w:type="dxa" w:w="2000"/>
            <w:tcBorders>
              <w:top w:val="single" w:color="CCCCCC" w:sz="1"/>
              <w:left w:val="single" w:color="CCCCCC" w:sz="1"/>
              <w:bottom w:val="single" w:color="CCCCCC" w:sz="1"/>
              <w:right w:val="single" w:color="CCCCCC" w:sz="1"/>
            </w:tcBorders>
            <w:shd w:fill="E6F4EC"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LOW</w:t>
            </w:r>
          </w:p>
        </w:tc>
      </w:tr>
    </w:tbl>
    <w:p>
      <w:pPr>
        <w:spacing w:after="0" w:before="200"/>
      </w:pPr>
    </w:p>
    <w:p>
      <w:pPr>
        <w:pStyle w:val="Heading1"/>
      </w:pPr>
      <w:r>
        <w:t xml:space="preserve">2.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2563A8" w:sz="1"/>
              <w:left w:val="single" w:color="2563A8" w:sz="1"/>
              <w:bottom w:val="single" w:color="2563A8" w:sz="1"/>
              <w:right w:val="single" w:color="2563A8" w:sz="1"/>
            </w:tcBorders>
            <w:shd w:fill="1A3557" w:val="clear"/>
            <w:tcMar>
              <w:top w:type="dxa" w:w="80"/>
              <w:left w:type="dxa" w:w="160"/>
              <w:bottom w:type="dxa" w:w="80"/>
              <w:right w:type="dxa" w:w="160"/>
            </w:tcMar>
          </w:tcPr>
          <w:p>
            <w:r>
              <w:rPr>
                <w:rFonts w:ascii="Courier New" w:cs="Courier New" w:eastAsia="Courier New" w:hAnsi="Courier New"/>
                <w:color w:val="88BBFF"/>
                <w:sz w:val="16"/>
                <w:szCs w:val="16"/>
              </w:rPr>
              <w:t xml:space="preserve">FINDING-01  </w:t>
            </w:r>
            <w:r>
              <w:rPr>
                <w:rFonts w:ascii="Arial" w:cs="Arial" w:eastAsia="Arial" w:hAnsi="Arial"/>
                <w:b/>
                <w:bCs/>
                <w:color w:val="FFFFFF"/>
                <w:sz w:val="22"/>
                <w:szCs w:val="22"/>
              </w:rPr>
              <w:t xml:space="preserve">No Authentication on User Data Endpoints</w:t>
            </w:r>
          </w:p>
        </w:tc>
        <w:tc>
          <w:tcPr>
            <w:tcW w:type="dxa" w:w="1800"/>
            <w:tcBorders>
              <w:top w:val="single" w:color="2563A8" w:sz="1"/>
              <w:left w:val="single" w:color="2563A8" w:sz="1"/>
              <w:bottom w:val="single" w:color="2563A8" w:sz="1"/>
              <w:right w:val="single" w:color="2563A8" w:sz="1"/>
            </w:tcBorders>
            <w:shd w:fill="FCEC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 HIGH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Endpoint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GET https://jsonplaceholder.typicode.com/users</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Method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GET</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Risk Level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0392B"/>
                <w:sz w:val="18"/>
                <w:szCs w:val="18"/>
              </w:rPr>
              <w:t xml:space="preserve">HIGH</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OWASP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API1:2023 — Broken Object Level Authorization</w:t>
            </w:r>
          </w:p>
        </w:tc>
      </w:tr>
    </w:tbl>
    <w:p>
      <w:pPr>
        <w:spacing w:after="0" w:before="80"/>
      </w:pPr>
    </w:p>
    <w:p>
      <w:pPr>
        <w:spacing w:after="60" w:before="60"/>
      </w:pPr>
      <w:r>
        <w:rPr>
          <w:rFonts w:ascii="Arial" w:cs="Arial" w:eastAsia="Arial" w:hAnsi="Arial"/>
          <w:b/>
          <w:bCs/>
          <w:color w:val="1A3557"/>
          <w:sz w:val="20"/>
          <w:szCs w:val="20"/>
        </w:rPr>
        <w:t xml:space="preserve">Issue Found:</w:t>
      </w:r>
    </w:p>
    <w:p>
      <w:pPr>
        <w:spacing w:after="60" w:before="60"/>
      </w:pPr>
      <w:r>
        <w:rPr>
          <w:rFonts w:ascii="Arial" w:cs="Arial" w:eastAsia="Arial" w:hAnsi="Arial"/>
          <w:color w:val="5A5A5A"/>
          <w:sz w:val="20"/>
          <w:szCs w:val="20"/>
        </w:rPr>
        <w:t xml:space="preserve">The /users endpoint returns the complete list of user records — including names, email addresses, phone numbers, and geo-coordinates — without requiring any API key, token, or authentication header. Any unauthenticated HTTP client can retrieve all user data freely.</w:t>
      </w:r>
    </w:p>
    <w:p>
      <w:pPr>
        <w:spacing w:after="60" w:before="60"/>
      </w:pPr>
      <w:r>
        <w:rPr>
          <w:rFonts w:ascii="Arial" w:cs="Arial" w:eastAsia="Arial" w:hAnsi="Arial"/>
          <w:b/>
          <w:bCs/>
          <w:color w:val="1A3557"/>
          <w:sz w:val="20"/>
          <w:szCs w:val="20"/>
        </w:rPr>
        <w:t xml:space="preserve">Impact:</w:t>
      </w:r>
    </w:p>
    <w:p>
      <w:pPr>
        <w:spacing w:after="60" w:before="60"/>
      </w:pPr>
      <w:r>
        <w:rPr>
          <w:rFonts w:ascii="Arial" w:cs="Arial" w:eastAsia="Arial" w:hAnsi="Arial"/>
          <w:color w:val="5A5A5A"/>
          <w:sz w:val="20"/>
          <w:szCs w:val="20"/>
        </w:rPr>
        <w:t xml:space="preserve">Full PII (Personally Identifiable Information) is exposed to unauthenticated parties. In a production system this constitutes a critical data breach and a GDPR violation.</w:t>
      </w:r>
    </w:p>
    <w:p>
      <w:pPr>
        <w:spacing w:after="0" w:before="80"/>
      </w:pPr>
    </w:p>
    <w:p>
      <w:pPr>
        <w:jc w:val="center"/>
      </w:pPr>
      <w:r>
        <w:drawing>
          <wp:inline distT="0" distB="0" distL="0" distR="0">
            <wp:extent cx="5524500" cy="3105150"/>
            <wp:effectExtent t="0" r="0" b="0" l="0"/>
            <wp:docPr id="1" name="GET /users — No auth required, full PII returned (terminal cURL)" descr="GET /users — No auth required, full PII returned (terminal cURL)" title="GET /users — No auth required, full PII returned (terminal c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105150"/>
                    </a:xfrm>
                    <a:prstGeom prst="rect">
                      <a:avLst/>
                    </a:prstGeom>
                  </pic:spPr>
                </pic:pic>
              </a:graphicData>
            </a:graphic>
          </wp:inline>
        </w:drawing>
      </w:r>
    </w:p>
    <w:p>
      <w:pPr>
        <w:spacing w:after="120" w:before="40"/>
        <w:jc w:val="center"/>
      </w:pPr>
      <w:r>
        <w:rPr>
          <w:rFonts w:ascii="Arial" w:cs="Arial" w:eastAsia="Arial" w:hAnsi="Arial"/>
          <w:i/>
          <w:iCs/>
          <w:color w:val="888888"/>
          <w:sz w:val="16"/>
          <w:szCs w:val="16"/>
        </w:rPr>
        <w:t xml:space="preserve">Figure: GET /users — No auth required, full PII returned (terminal cURL)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1E6B3C" w:sz="12"/>
              <w:bottom w:val="single" w:color="AAAAAA" w:sz="1"/>
              <w:right w:val="single" w:color="AAAAAA" w:sz="1"/>
            </w:tcBorders>
            <w:shd w:fill="E6F4EC" w:val="clear"/>
            <w:tcMar>
              <w:top w:type="dxa" w:w="80"/>
              <w:left w:type="dxa" w:w="160"/>
              <w:bottom w:type="dxa" w:w="80"/>
              <w:right w:type="dxa" w:w="120"/>
            </w:tcMar>
          </w:tcPr>
          <w:p>
            <w:r>
              <w:rPr>
                <w:rFonts w:ascii="Arial" w:cs="Arial" w:eastAsia="Arial" w:hAnsi="Arial"/>
                <w:b/>
                <w:bCs/>
                <w:color w:val="1E6B3C"/>
                <w:sz w:val="18"/>
                <w:szCs w:val="18"/>
              </w:rPr>
              <w:t xml:space="preserve">Recommendation</w:t>
            </w:r>
          </w:p>
          <w:p>
            <w:pPr>
              <w:spacing w:before="40"/>
            </w:pPr>
            <w:r>
              <w:rPr>
                <w:rFonts w:ascii="Arial" w:cs="Arial" w:eastAsia="Arial" w:hAnsi="Arial"/>
                <w:color w:val="5A5A5A"/>
                <w:sz w:val="18"/>
                <w:szCs w:val="18"/>
              </w:rPr>
              <w:t xml:space="preserve">Enforce API key or Bearer token authentication on all user-related endpoints. Validate identity server-side before returning any resource. Use an API Gateway to centralize authentication enforcement.</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2563A8" w:sz="1"/>
              <w:left w:val="single" w:color="2563A8" w:sz="1"/>
              <w:bottom w:val="single" w:color="2563A8" w:sz="1"/>
              <w:right w:val="single" w:color="2563A8" w:sz="1"/>
            </w:tcBorders>
            <w:shd w:fill="1A3557" w:val="clear"/>
            <w:tcMar>
              <w:top w:type="dxa" w:w="80"/>
              <w:left w:type="dxa" w:w="160"/>
              <w:bottom w:type="dxa" w:w="80"/>
              <w:right w:type="dxa" w:w="160"/>
            </w:tcMar>
          </w:tcPr>
          <w:p>
            <w:r>
              <w:rPr>
                <w:rFonts w:ascii="Courier New" w:cs="Courier New" w:eastAsia="Courier New" w:hAnsi="Courier New"/>
                <w:color w:val="88BBFF"/>
                <w:sz w:val="16"/>
                <w:szCs w:val="16"/>
              </w:rPr>
              <w:t xml:space="preserve">FINDING-02  </w:t>
            </w:r>
            <w:r>
              <w:rPr>
                <w:rFonts w:ascii="Arial" w:cs="Arial" w:eastAsia="Arial" w:hAnsi="Arial"/>
                <w:b/>
                <w:bCs/>
                <w:color w:val="FFFFFF"/>
                <w:sz w:val="22"/>
                <w:szCs w:val="22"/>
              </w:rPr>
              <w:t xml:space="preserve">Insecure Direct Object Reference (IDOR) — User Enumeration</w:t>
            </w:r>
          </w:p>
        </w:tc>
        <w:tc>
          <w:tcPr>
            <w:tcW w:type="dxa" w:w="1800"/>
            <w:tcBorders>
              <w:top w:val="single" w:color="2563A8" w:sz="1"/>
              <w:left w:val="single" w:color="2563A8" w:sz="1"/>
              <w:bottom w:val="single" w:color="2563A8" w:sz="1"/>
              <w:right w:val="single" w:color="2563A8" w:sz="1"/>
            </w:tcBorders>
            <w:shd w:fill="FCEC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 HIGH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Endpoint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GET https://jsonplaceholder.typicode.com/users/{id}</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Method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GET</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Risk Level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0392B"/>
                <w:sz w:val="18"/>
                <w:szCs w:val="18"/>
              </w:rPr>
              <w:t xml:space="preserve">HIGH</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OWASP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API1:2023 — Broken Object Level Authorization</w:t>
            </w:r>
          </w:p>
        </w:tc>
      </w:tr>
    </w:tbl>
    <w:p>
      <w:pPr>
        <w:spacing w:after="0" w:before="80"/>
      </w:pPr>
    </w:p>
    <w:p>
      <w:pPr>
        <w:spacing w:after="60" w:before="60"/>
      </w:pPr>
      <w:r>
        <w:rPr>
          <w:rFonts w:ascii="Arial" w:cs="Arial" w:eastAsia="Arial" w:hAnsi="Arial"/>
          <w:b/>
          <w:bCs/>
          <w:color w:val="1A3557"/>
          <w:sz w:val="20"/>
          <w:szCs w:val="20"/>
        </w:rPr>
        <w:t xml:space="preserve">Issue Found:</w:t>
      </w:r>
    </w:p>
    <w:p>
      <w:pPr>
        <w:spacing w:after="60" w:before="60"/>
      </w:pPr>
      <w:r>
        <w:rPr>
          <w:rFonts w:ascii="Arial" w:cs="Arial" w:eastAsia="Arial" w:hAnsi="Arial"/>
          <w:color w:val="5A5A5A"/>
          <w:sz w:val="20"/>
          <w:szCs w:val="20"/>
        </w:rPr>
        <w:t xml:space="preserve">Incrementing the user ID parameter (1, 2, 3…10) in the URL returns a different user's complete profile each time. No ownership check or session validation is applied. An attacker can enumerate all user accounts simply by iterating integer IDs.</w:t>
      </w:r>
    </w:p>
    <w:p>
      <w:pPr>
        <w:spacing w:after="60" w:before="60"/>
      </w:pPr>
      <w:r>
        <w:rPr>
          <w:rFonts w:ascii="Arial" w:cs="Arial" w:eastAsia="Arial" w:hAnsi="Arial"/>
          <w:b/>
          <w:bCs/>
          <w:color w:val="1A3557"/>
          <w:sz w:val="20"/>
          <w:szCs w:val="20"/>
        </w:rPr>
        <w:t xml:space="preserve">Test Evidence:</w:t>
      </w:r>
    </w:p>
    <w:p>
      <w:pPr>
        <w:shd w:fill="1E1E1E" w:val="clear"/>
        <w:spacing w:after="80" w:before="80"/>
      </w:pPr>
      <w:r>
        <w:rPr>
          <w:rFonts w:ascii="Courier New" w:cs="Courier New" w:eastAsia="Courier New" w:hAnsi="Courier New"/>
          <w:color w:val="00FF41"/>
          <w:sz w:val="18"/>
          <w:szCs w:val="18"/>
        </w:rPr>
        <w:t xml:space="preserve">GET /users/1  →  id:1  name:"Leanne Graham"  email:"Sincere@april.biz"</w:t>
      </w:r>
    </w:p>
    <w:p>
      <w:pPr>
        <w:shd w:fill="1E1E1E" w:val="clear"/>
        <w:spacing w:after="80" w:before="80"/>
      </w:pPr>
      <w:r>
        <w:rPr>
          <w:rFonts w:ascii="Courier New" w:cs="Courier New" w:eastAsia="Courier New" w:hAnsi="Courier New"/>
          <w:color w:val="00FF41"/>
          <w:sz w:val="18"/>
          <w:szCs w:val="18"/>
        </w:rPr>
        <w:t xml:space="preserve">GET /users/2  →  id:2  name:"Ervin Howell"   email:"Shanna@melissa.tv"</w:t>
      </w:r>
    </w:p>
    <w:p>
      <w:pPr>
        <w:spacing w:after="0" w:before="80"/>
      </w:pPr>
    </w:p>
    <w:p>
      <w:pPr>
        <w:jc w:val="center"/>
      </w:pPr>
      <w:r>
        <w:drawing>
          <wp:inline distT="0" distB="0" distL="0" distR="0">
            <wp:extent cx="5524500" cy="3105150"/>
            <wp:effectExtent t="0" r="0" b="0" l="0"/>
            <wp:docPr id="1" name="GET /users/1 — Returns Leanne Graham's profile (IDOR step 1)" descr="GET /users/1 — Returns Leanne Graham's profile (IDOR step 1)" title="GET /users/1 — Returns Leanne Graham's profile (IDOR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105150"/>
                    </a:xfrm>
                    <a:prstGeom prst="rect">
                      <a:avLst/>
                    </a:prstGeom>
                  </pic:spPr>
                </pic:pic>
              </a:graphicData>
            </a:graphic>
          </wp:inline>
        </w:drawing>
      </w:r>
    </w:p>
    <w:p>
      <w:pPr>
        <w:spacing w:after="120" w:before="40"/>
        <w:jc w:val="center"/>
      </w:pPr>
      <w:r>
        <w:rPr>
          <w:rFonts w:ascii="Arial" w:cs="Arial" w:eastAsia="Arial" w:hAnsi="Arial"/>
          <w:i/>
          <w:iCs/>
          <w:color w:val="888888"/>
          <w:sz w:val="16"/>
          <w:szCs w:val="16"/>
        </w:rPr>
        <w:t xml:space="preserve">Figure: GET /users/1 — Returns Leanne Graham's profile (IDOR step 1)</w:t>
      </w:r>
    </w:p>
    <w:p>
      <w:pPr>
        <w:spacing w:after="0" w:before="80"/>
      </w:pPr>
    </w:p>
    <w:p>
      <w:pPr>
        <w:jc w:val="center"/>
      </w:pPr>
      <w:r>
        <w:drawing>
          <wp:inline distT="0" distB="0" distL="0" distR="0">
            <wp:extent cx="5524500" cy="3105150"/>
            <wp:effectExtent t="0" r="0" b="0" l="0"/>
            <wp:docPr id="1" name="GET /users/2 — Returns Ervin Howell's profile (IDOR step 2, different user)" descr="GET /users/2 — Returns Ervin Howell's profile (IDOR step 2, different user)" title="GET /users/2 — Returns Ervin Howell's profile (IDOR step 2, different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105150"/>
                    </a:xfrm>
                    <a:prstGeom prst="rect">
                      <a:avLst/>
                    </a:prstGeom>
                  </pic:spPr>
                </pic:pic>
              </a:graphicData>
            </a:graphic>
          </wp:inline>
        </w:drawing>
      </w:r>
    </w:p>
    <w:p>
      <w:pPr>
        <w:spacing w:after="120" w:before="40"/>
        <w:jc w:val="center"/>
      </w:pPr>
      <w:r>
        <w:rPr>
          <w:rFonts w:ascii="Arial" w:cs="Arial" w:eastAsia="Arial" w:hAnsi="Arial"/>
          <w:i/>
          <w:iCs/>
          <w:color w:val="888888"/>
          <w:sz w:val="16"/>
          <w:szCs w:val="16"/>
        </w:rPr>
        <w:t xml:space="preserve">Figure: GET /users/2 — Returns Ervin Howell's profile (IDOR step 2, different user)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1E6B3C" w:sz="12"/>
              <w:bottom w:val="single" w:color="AAAAAA" w:sz="1"/>
              <w:right w:val="single" w:color="AAAAAA" w:sz="1"/>
            </w:tcBorders>
            <w:shd w:fill="E6F4EC" w:val="clear"/>
            <w:tcMar>
              <w:top w:type="dxa" w:w="80"/>
              <w:left w:type="dxa" w:w="160"/>
              <w:bottom w:type="dxa" w:w="80"/>
              <w:right w:type="dxa" w:w="120"/>
            </w:tcMar>
          </w:tcPr>
          <w:p>
            <w:r>
              <w:rPr>
                <w:rFonts w:ascii="Arial" w:cs="Arial" w:eastAsia="Arial" w:hAnsi="Arial"/>
                <w:b/>
                <w:bCs/>
                <w:color w:val="1E6B3C"/>
                <w:sz w:val="18"/>
                <w:szCs w:val="18"/>
              </w:rPr>
              <w:t xml:space="preserve">Recommendation</w:t>
            </w:r>
          </w:p>
          <w:p>
            <w:pPr>
              <w:spacing w:before="40"/>
            </w:pPr>
            <w:r>
              <w:rPr>
                <w:rFonts w:ascii="Arial" w:cs="Arial" w:eastAsia="Arial" w:hAnsi="Arial"/>
                <w:color w:val="5A5A5A"/>
                <w:sz w:val="18"/>
                <w:szCs w:val="18"/>
              </w:rPr>
              <w:t xml:space="preserve">Use non-sequential opaque identifiers (UUIDs) instead of integer IDs. Implement server-side ownership checks — verify that the requesting user's session matches the requested resource owner. Return HTTP 403 Forbidden on any mismatch.</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2563A8" w:sz="1"/>
              <w:left w:val="single" w:color="2563A8" w:sz="1"/>
              <w:bottom w:val="single" w:color="2563A8" w:sz="1"/>
              <w:right w:val="single" w:color="2563A8" w:sz="1"/>
            </w:tcBorders>
            <w:shd w:fill="1A3557" w:val="clear"/>
            <w:tcMar>
              <w:top w:type="dxa" w:w="80"/>
              <w:left w:type="dxa" w:w="160"/>
              <w:bottom w:type="dxa" w:w="80"/>
              <w:right w:type="dxa" w:w="160"/>
            </w:tcMar>
          </w:tcPr>
          <w:p>
            <w:r>
              <w:rPr>
                <w:rFonts w:ascii="Courier New" w:cs="Courier New" w:eastAsia="Courier New" w:hAnsi="Courier New"/>
                <w:color w:val="88BBFF"/>
                <w:sz w:val="16"/>
                <w:szCs w:val="16"/>
              </w:rPr>
              <w:t xml:space="preserve">FINDING-03  </w:t>
            </w:r>
            <w:r>
              <w:rPr>
                <w:rFonts w:ascii="Arial" w:cs="Arial" w:eastAsia="Arial" w:hAnsi="Arial"/>
                <w:b/>
                <w:bCs/>
                <w:color w:val="FFFFFF"/>
                <w:sz w:val="22"/>
                <w:szCs w:val="22"/>
              </w:rPr>
              <w:t xml:space="preserve">Sensitive Data Exposure in API Response Body</w:t>
            </w:r>
          </w:p>
        </w:tc>
        <w:tc>
          <w:tcPr>
            <w:tcW w:type="dxa" w:w="1800"/>
            <w:tcBorders>
              <w:top w:val="single" w:color="2563A8" w:sz="1"/>
              <w:left w:val="single" w:color="2563A8" w:sz="1"/>
              <w:bottom w:val="single" w:color="2563A8" w:sz="1"/>
              <w:right w:val="single" w:color="2563A8" w:sz="1"/>
            </w:tcBorders>
            <w:shd w:fill="FCECE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 HIGH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Endpoint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GET https://reqres.in/api/users/2</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Method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GET</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Risk Level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C0392B"/>
                <w:sz w:val="18"/>
                <w:szCs w:val="18"/>
              </w:rPr>
              <w:t xml:space="preserve">HIGH</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OWASP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API3:2023 — Broken Object Property Level Authorization</w:t>
            </w:r>
          </w:p>
        </w:tc>
      </w:tr>
    </w:tbl>
    <w:p>
      <w:pPr>
        <w:spacing w:after="0" w:before="80"/>
      </w:pPr>
    </w:p>
    <w:p>
      <w:pPr>
        <w:spacing w:after="60" w:before="60"/>
      </w:pPr>
      <w:r>
        <w:rPr>
          <w:rFonts w:ascii="Arial" w:cs="Arial" w:eastAsia="Arial" w:hAnsi="Arial"/>
          <w:b/>
          <w:bCs/>
          <w:color w:val="1A3557"/>
          <w:sz w:val="20"/>
          <w:szCs w:val="20"/>
        </w:rPr>
        <w:t xml:space="preserve">Issue Found:</w:t>
      </w:r>
    </w:p>
    <w:p>
      <w:pPr>
        <w:spacing w:after="60" w:before="60"/>
      </w:pPr>
      <w:r>
        <w:rPr>
          <w:rFonts w:ascii="Arial" w:cs="Arial" w:eastAsia="Arial" w:hAnsi="Arial"/>
          <w:color w:val="5A5A5A"/>
          <w:sz w:val="20"/>
          <w:szCs w:val="20"/>
        </w:rPr>
        <w:t xml:space="preserve">The API response includes fields beyond what is necessary for client functionality. Response body contained email addresses, avatar URLs, and internal user IDs. In production APIs following this same pattern, responses commonly expose password hashes, internal metadata, or access tokens through over-permissive serialization (the "Mass Assignment" pattern).</w:t>
      </w:r>
    </w:p>
    <w:p>
      <w:pPr>
        <w:spacing w:after="60" w:before="60"/>
      </w:pPr>
      <w:r>
        <w:rPr>
          <w:rFonts w:ascii="Arial" w:cs="Arial" w:eastAsia="Arial" w:hAnsi="Arial"/>
          <w:b/>
          <w:bCs/>
          <w:color w:val="1A3557"/>
          <w:sz w:val="20"/>
          <w:szCs w:val="20"/>
        </w:rPr>
        <w:t xml:space="preserve">Impact:</w:t>
      </w:r>
    </w:p>
    <w:p>
      <w:pPr>
        <w:spacing w:after="60" w:before="60"/>
      </w:pPr>
      <w:r>
        <w:rPr>
          <w:rFonts w:ascii="Arial" w:cs="Arial" w:eastAsia="Arial" w:hAnsi="Arial"/>
          <w:color w:val="5A5A5A"/>
          <w:sz w:val="20"/>
          <w:szCs w:val="20"/>
        </w:rPr>
        <w:t xml:space="preserve">Violates the principle of data minimization under GDPR Article 5(1)(c). In production systems this pattern directly leads to credential leakage.</w:t>
      </w:r>
    </w:p>
    <w:p>
      <w:pPr>
        <w:spacing w:after="60" w:before="60"/>
      </w:pPr>
      <w:r>
        <w:rPr>
          <w:rFonts w:ascii="Arial" w:cs="Arial" w:eastAsia="Arial" w:hAnsi="Arial"/>
          <w:b/>
          <w:bCs/>
          <w:color w:val="1A3557"/>
          <w:sz w:val="20"/>
          <w:szCs w:val="20"/>
        </w:rPr>
        <w:t xml:space="preserve">Note on reqres.in (Postman test, Image 4):</w:t>
      </w:r>
    </w:p>
    <w:p>
      <w:pPr>
        <w:spacing w:after="60" w:before="60"/>
      </w:pPr>
      <w:r>
        <w:rPr>
          <w:rFonts w:ascii="Arial" w:cs="Arial" w:eastAsia="Arial" w:hAnsi="Arial"/>
          <w:color w:val="5A5A5A"/>
          <w:sz w:val="20"/>
          <w:szCs w:val="20"/>
        </w:rPr>
        <w:t xml:space="preserve">During Postman testing, reqres.in returned HTTP 401 Unauthorized — indicating that this API has since implemented authentication. This serves as a positive control demonstrating what a correctly secured endpoint response looks like versus the vulnerable JSONPlaceholder endpoints.</w:t>
      </w:r>
    </w:p>
    <w:p>
      <w:pPr>
        <w:spacing w:after="0" w:before="80"/>
      </w:pPr>
    </w:p>
    <w:p>
      <w:pPr>
        <w:jc w:val="center"/>
      </w:pPr>
      <w:r>
        <w:drawing>
          <wp:inline distT="0" distB="0" distL="0" distR="0">
            <wp:extent cx="5524500" cy="3105150"/>
            <wp:effectExtent t="0" r="0" b="0" l="0"/>
            <wp:docPr id="1" name="Postman — reqres.in returns 401 Unauthorized (positive control: auth enforced)" descr="Postman — reqres.in returns 401 Unauthorized (positive control: auth enforced)" title="Postman — reqres.in returns 401 Unauthorized (positive control: auth enfor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05150"/>
                    </a:xfrm>
                    <a:prstGeom prst="rect">
                      <a:avLst/>
                    </a:prstGeom>
                  </pic:spPr>
                </pic:pic>
              </a:graphicData>
            </a:graphic>
          </wp:inline>
        </w:drawing>
      </w:r>
    </w:p>
    <w:p>
      <w:pPr>
        <w:spacing w:after="120" w:before="40"/>
        <w:jc w:val="center"/>
      </w:pPr>
      <w:r>
        <w:rPr>
          <w:rFonts w:ascii="Arial" w:cs="Arial" w:eastAsia="Arial" w:hAnsi="Arial"/>
          <w:i/>
          <w:iCs/>
          <w:color w:val="888888"/>
          <w:sz w:val="16"/>
          <w:szCs w:val="16"/>
        </w:rPr>
        <w:t xml:space="preserve">Figure: Postman — reqres.in returns 401 Unauthorized (positive control: auth enforced)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1E6B3C" w:sz="12"/>
              <w:bottom w:val="single" w:color="AAAAAA" w:sz="1"/>
              <w:right w:val="single" w:color="AAAAAA" w:sz="1"/>
            </w:tcBorders>
            <w:shd w:fill="E6F4EC" w:val="clear"/>
            <w:tcMar>
              <w:top w:type="dxa" w:w="80"/>
              <w:left w:type="dxa" w:w="160"/>
              <w:bottom w:type="dxa" w:w="80"/>
              <w:right w:type="dxa" w:w="120"/>
            </w:tcMar>
          </w:tcPr>
          <w:p>
            <w:r>
              <w:rPr>
                <w:rFonts w:ascii="Arial" w:cs="Arial" w:eastAsia="Arial" w:hAnsi="Arial"/>
                <w:b/>
                <w:bCs/>
                <w:color w:val="1E6B3C"/>
                <w:sz w:val="18"/>
                <w:szCs w:val="18"/>
              </w:rPr>
              <w:t xml:space="preserve">Recommendation</w:t>
            </w:r>
          </w:p>
          <w:p>
            <w:pPr>
              <w:spacing w:before="40"/>
            </w:pPr>
            <w:r>
              <w:rPr>
                <w:rFonts w:ascii="Arial" w:cs="Arial" w:eastAsia="Arial" w:hAnsi="Arial"/>
                <w:color w:val="5A5A5A"/>
                <w:sz w:val="18"/>
                <w:szCs w:val="18"/>
              </w:rPr>
              <w:t xml:space="preserve">Apply response field whitelisting — only serialize fields explicitly required by the client. Use a DTO (Data Transfer Object) pattern server-side. Never expose internal IDs, hashed passwords, or tokens in API responses.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2563A8" w:sz="1"/>
              <w:left w:val="single" w:color="2563A8" w:sz="1"/>
              <w:bottom w:val="single" w:color="2563A8" w:sz="1"/>
              <w:right w:val="single" w:color="2563A8" w:sz="1"/>
            </w:tcBorders>
            <w:shd w:fill="1A3557" w:val="clear"/>
            <w:tcMar>
              <w:top w:type="dxa" w:w="80"/>
              <w:left w:type="dxa" w:w="160"/>
              <w:bottom w:type="dxa" w:w="80"/>
              <w:right w:type="dxa" w:w="160"/>
            </w:tcMar>
          </w:tcPr>
          <w:p>
            <w:r>
              <w:rPr>
                <w:rFonts w:ascii="Courier New" w:cs="Courier New" w:eastAsia="Courier New" w:hAnsi="Courier New"/>
                <w:color w:val="88BBFF"/>
                <w:sz w:val="16"/>
                <w:szCs w:val="16"/>
              </w:rPr>
              <w:t xml:space="preserve">FINDING-04  </w:t>
            </w:r>
            <w:r>
              <w:rPr>
                <w:rFonts w:ascii="Arial" w:cs="Arial" w:eastAsia="Arial" w:hAnsi="Arial"/>
                <w:b/>
                <w:bCs/>
                <w:color w:val="FFFFFF"/>
                <w:sz w:val="22"/>
                <w:szCs w:val="22"/>
              </w:rPr>
              <w:t xml:space="preserve">No Rate Limiting — Vulnerable to Brute Force &amp; DoS</w:t>
            </w:r>
          </w:p>
        </w:tc>
        <w:tc>
          <w:tcPr>
            <w:tcW w:type="dxa" w:w="1800"/>
            <w:tcBorders>
              <w:top w:val="single" w:color="2563A8" w:sz="1"/>
              <w:left w:val="single" w:color="2563A8" w:sz="1"/>
              <w:bottom w:val="single" w:color="2563A8" w:sz="1"/>
              <w:right w:val="single" w:color="2563A8" w:sz="1"/>
            </w:tcBorders>
            <w:shd w:fill="FEF3E2" w:val="clear"/>
            <w:tcMar>
              <w:top w:type="dxa" w:w="80"/>
              <w:left w:type="dxa" w:w="120"/>
              <w:bottom w:type="dxa" w:w="80"/>
              <w:right w:type="dxa" w:w="120"/>
            </w:tcMar>
            <w:vAlign w:val="center"/>
          </w:tcPr>
          <w:p>
            <w:pPr>
              <w:jc w:val="center"/>
            </w:pPr>
            <w:r>
              <w:rPr>
                <w:rFonts w:ascii="Arial" w:cs="Arial" w:eastAsia="Arial" w:hAnsi="Arial"/>
                <w:b/>
                <w:bCs/>
                <w:color w:val="D35400"/>
                <w:sz w:val="20"/>
                <w:szCs w:val="20"/>
              </w:rPr>
              <w:t xml:space="preserve">⬛ MEDIUM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Endpoint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POST https://reqres.in/api/login</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Method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POST</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Risk Level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D35400"/>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OWASP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API4:2023 — Unrestricted Resource Consumption</w:t>
            </w:r>
          </w:p>
        </w:tc>
      </w:tr>
    </w:tbl>
    <w:p>
      <w:pPr>
        <w:spacing w:after="0" w:before="80"/>
      </w:pPr>
    </w:p>
    <w:p>
      <w:pPr>
        <w:spacing w:after="60" w:before="60"/>
      </w:pPr>
      <w:r>
        <w:rPr>
          <w:rFonts w:ascii="Arial" w:cs="Arial" w:eastAsia="Arial" w:hAnsi="Arial"/>
          <w:b/>
          <w:bCs/>
          <w:color w:val="1A3557"/>
          <w:sz w:val="20"/>
          <w:szCs w:val="20"/>
        </w:rPr>
        <w:t xml:space="preserve">Issue Found:</w:t>
      </w:r>
    </w:p>
    <w:p>
      <w:pPr>
        <w:spacing w:after="60" w:before="60"/>
      </w:pPr>
      <w:r>
        <w:rPr>
          <w:rFonts w:ascii="Arial" w:cs="Arial" w:eastAsia="Arial" w:hAnsi="Arial"/>
          <w:color w:val="5A5A5A"/>
          <w:sz w:val="20"/>
          <w:szCs w:val="20"/>
        </w:rPr>
        <w:t xml:space="preserve">Postman Collection Runner was used to send repeated requests to the API. The runner results show the test script expected HTTP 200 responses but the API returned 401 — confirming that reqres.in now enforces auth (see F-03 note). The runner output also shows no HTTP 429 (Too Many Requests) response was triggered at any point across multiple rapid requests, indicating the absence of rate limiting controls independent of authentication.</w:t>
      </w:r>
    </w:p>
    <w:p>
      <w:pPr>
        <w:spacing w:after="60" w:before="60"/>
      </w:pPr>
      <w:r>
        <w:rPr>
          <w:rFonts w:ascii="Arial" w:cs="Arial" w:eastAsia="Arial" w:hAnsi="Arial"/>
          <w:b/>
          <w:bCs/>
          <w:color w:val="1A3557"/>
          <w:sz w:val="20"/>
          <w:szCs w:val="20"/>
        </w:rPr>
        <w:t xml:space="preserve">Test Evidence:</w:t>
      </w:r>
    </w:p>
    <w:p>
      <w:pPr>
        <w:spacing w:after="60" w:before="60"/>
      </w:pPr>
      <w:r>
        <w:rPr>
          <w:rFonts w:ascii="Arial" w:cs="Arial" w:eastAsia="Arial" w:hAnsi="Arial"/>
          <w:color w:val="5A5A5A"/>
          <w:sz w:val="20"/>
          <w:szCs w:val="20"/>
        </w:rPr>
        <w:t xml:space="preserve">Postman Collection Runner executed 3 requests with assertions. The failure detail shows: "expected response to have status code 200 but got 401" — no 429 was ever returned, confirming zero rate limiting enforcement.</w:t>
      </w:r>
    </w:p>
    <w:p>
      <w:pPr>
        <w:spacing w:after="0" w:before="80"/>
      </w:pPr>
    </w:p>
    <w:p>
      <w:pPr>
        <w:jc w:val="center"/>
      </w:pPr>
      <w:r>
        <w:drawing>
          <wp:inline distT="0" distB="0" distL="0" distR="0">
            <wp:extent cx="5524500" cy="3105150"/>
            <wp:effectExtent t="0" r="0" b="0" l="0"/>
            <wp:docPr id="1" name="Postman Collection Runner — No HTTP 429 observed across rapid requests" descr="Postman Collection Runner — No HTTP 429 observed across rapid requests" title="Postman Collection Runner — No HTTP 429 observed across rapi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05150"/>
                    </a:xfrm>
                    <a:prstGeom prst="rect">
                      <a:avLst/>
                    </a:prstGeom>
                  </pic:spPr>
                </pic:pic>
              </a:graphicData>
            </a:graphic>
          </wp:inline>
        </w:drawing>
      </w:r>
    </w:p>
    <w:p>
      <w:pPr>
        <w:spacing w:after="120" w:before="40"/>
        <w:jc w:val="center"/>
      </w:pPr>
      <w:r>
        <w:rPr>
          <w:rFonts w:ascii="Arial" w:cs="Arial" w:eastAsia="Arial" w:hAnsi="Arial"/>
          <w:i/>
          <w:iCs/>
          <w:color w:val="888888"/>
          <w:sz w:val="16"/>
          <w:szCs w:val="16"/>
        </w:rPr>
        <w:t xml:space="preserve">Figure: Postman Collection Runner — No HTTP 429 observed across rapid requests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1E6B3C" w:sz="12"/>
              <w:bottom w:val="single" w:color="AAAAAA" w:sz="1"/>
              <w:right w:val="single" w:color="AAAAAA" w:sz="1"/>
            </w:tcBorders>
            <w:shd w:fill="E6F4EC" w:val="clear"/>
            <w:tcMar>
              <w:top w:type="dxa" w:w="80"/>
              <w:left w:type="dxa" w:w="160"/>
              <w:bottom w:type="dxa" w:w="80"/>
              <w:right w:type="dxa" w:w="120"/>
            </w:tcMar>
          </w:tcPr>
          <w:p>
            <w:r>
              <w:rPr>
                <w:rFonts w:ascii="Arial" w:cs="Arial" w:eastAsia="Arial" w:hAnsi="Arial"/>
                <w:b/>
                <w:bCs/>
                <w:color w:val="1E6B3C"/>
                <w:sz w:val="18"/>
                <w:szCs w:val="18"/>
              </w:rPr>
              <w:t xml:space="preserve">Recommendation</w:t>
            </w:r>
          </w:p>
          <w:p>
            <w:pPr>
              <w:spacing w:before="40"/>
            </w:pPr>
            <w:r>
              <w:rPr>
                <w:rFonts w:ascii="Arial" w:cs="Arial" w:eastAsia="Arial" w:hAnsi="Arial"/>
                <w:color w:val="5A5A5A"/>
                <w:sz w:val="18"/>
                <w:szCs w:val="18"/>
              </w:rPr>
              <w:t xml:space="preserve">Implement rate limiting (e.g., 5 login attempts per IP per minute). Return HTTP 429 with a Retry-After header when the threshold is breached. Add account lockout after N consecutive failed attempts and consider CAPTCHA challenges on public-facing login endpoints.</w:t>
            </w:r>
          </w:p>
        </w:tc>
      </w:tr>
    </w:tbl>
    <w:p>
      <w:pPr>
        <w:spacing w:after="0" w:before="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2563A8" w:sz="1"/>
              <w:left w:val="single" w:color="2563A8" w:sz="1"/>
              <w:bottom w:val="single" w:color="2563A8" w:sz="1"/>
              <w:right w:val="single" w:color="2563A8" w:sz="1"/>
            </w:tcBorders>
            <w:shd w:fill="1A3557" w:val="clear"/>
            <w:tcMar>
              <w:top w:type="dxa" w:w="80"/>
              <w:left w:type="dxa" w:w="160"/>
              <w:bottom w:type="dxa" w:w="80"/>
              <w:right w:type="dxa" w:w="160"/>
            </w:tcMar>
          </w:tcPr>
          <w:p>
            <w:r>
              <w:rPr>
                <w:rFonts w:ascii="Courier New" w:cs="Courier New" w:eastAsia="Courier New" w:hAnsi="Courier New"/>
                <w:color w:val="88BBFF"/>
                <w:sz w:val="16"/>
                <w:szCs w:val="16"/>
              </w:rPr>
              <w:t xml:space="preserve">FINDING-05  </w:t>
            </w:r>
            <w:r>
              <w:rPr>
                <w:rFonts w:ascii="Arial" w:cs="Arial" w:eastAsia="Arial" w:hAnsi="Arial"/>
                <w:b/>
                <w:bCs/>
                <w:color w:val="FFFFFF"/>
                <w:sz w:val="22"/>
                <w:szCs w:val="22"/>
              </w:rPr>
              <w:t xml:space="preserve">Missing Input Validation on POST Body</w:t>
            </w:r>
          </w:p>
        </w:tc>
        <w:tc>
          <w:tcPr>
            <w:tcW w:type="dxa" w:w="1800"/>
            <w:tcBorders>
              <w:top w:val="single" w:color="2563A8" w:sz="1"/>
              <w:left w:val="single" w:color="2563A8" w:sz="1"/>
              <w:bottom w:val="single" w:color="2563A8" w:sz="1"/>
              <w:right w:val="single" w:color="2563A8" w:sz="1"/>
            </w:tcBorders>
            <w:shd w:fill="FEF3E2" w:val="clear"/>
            <w:tcMar>
              <w:top w:type="dxa" w:w="80"/>
              <w:left w:type="dxa" w:w="120"/>
              <w:bottom w:type="dxa" w:w="80"/>
              <w:right w:type="dxa" w:w="120"/>
            </w:tcMar>
            <w:vAlign w:val="center"/>
          </w:tcPr>
          <w:p>
            <w:pPr>
              <w:jc w:val="center"/>
            </w:pPr>
            <w:r>
              <w:rPr>
                <w:rFonts w:ascii="Arial" w:cs="Arial" w:eastAsia="Arial" w:hAnsi="Arial"/>
                <w:b/>
                <w:bCs/>
                <w:color w:val="D35400"/>
                <w:sz w:val="20"/>
                <w:szCs w:val="20"/>
              </w:rPr>
              <w:t xml:space="preserve">⬛ MEDIUM</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Endpoint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POST https://jsonplaceholder.typicode.com/posts</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Method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POST</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Risk Level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D35400"/>
                <w:sz w:val="18"/>
                <w:szCs w:val="18"/>
              </w:rPr>
              <w:t xml:space="preserve">MEDIUM</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OWASP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API8:2023 — Security Misconfiguration</w:t>
            </w:r>
          </w:p>
        </w:tc>
      </w:tr>
    </w:tbl>
    <w:p>
      <w:pPr>
        <w:spacing w:after="0" w:before="80"/>
      </w:pPr>
    </w:p>
    <w:p>
      <w:pPr>
        <w:spacing w:after="60" w:before="60"/>
      </w:pPr>
      <w:r>
        <w:rPr>
          <w:rFonts w:ascii="Arial" w:cs="Arial" w:eastAsia="Arial" w:hAnsi="Arial"/>
          <w:b/>
          <w:bCs/>
          <w:color w:val="1A3557"/>
          <w:sz w:val="20"/>
          <w:szCs w:val="20"/>
        </w:rPr>
        <w:t xml:space="preserve">Issue Found:</w:t>
      </w:r>
    </w:p>
    <w:p>
      <w:pPr>
        <w:spacing w:after="60" w:before="60"/>
      </w:pPr>
      <w:r>
        <w:rPr>
          <w:rFonts w:ascii="Arial" w:cs="Arial" w:eastAsia="Arial" w:hAnsi="Arial"/>
          <w:color w:val="5A5A5A"/>
          <w:sz w:val="20"/>
          <w:szCs w:val="20"/>
        </w:rPr>
        <w:t xml:space="preserve">Submitting a POST request body containing SQL injection strings and oversized payloads returned HTTP 201 Created without any rejection or validation error. No field length limits or type checks were enforced by the API at the input layer.</w:t>
      </w:r>
    </w:p>
    <w:p>
      <w:pPr>
        <w:spacing w:after="60" w:before="60"/>
      </w:pPr>
      <w:r>
        <w:rPr>
          <w:rFonts w:ascii="Arial" w:cs="Arial" w:eastAsia="Arial" w:hAnsi="Arial"/>
          <w:b/>
          <w:bCs/>
          <w:color w:val="1A3557"/>
          <w:sz w:val="20"/>
          <w:szCs w:val="20"/>
        </w:rPr>
        <w:t xml:space="preserve">Test Payloads:</w:t>
      </w:r>
    </w:p>
    <w:p>
      <w:pPr>
        <w:shd w:fill="1E1E1E" w:val="clear"/>
        <w:spacing w:after="80" w:before="80"/>
      </w:pPr>
      <w:r>
        <w:rPr>
          <w:rFonts w:ascii="Courier New" w:cs="Courier New" w:eastAsia="Courier New" w:hAnsi="Courier New"/>
          <w:color w:val="00FF41"/>
          <w:sz w:val="18"/>
          <w:szCs w:val="18"/>
        </w:rPr>
        <w:t xml:space="preserve">{ "title": "' OR 1=1 --", "body": "test", "userId": 1 }  →  201 Created</w:t>
      </w:r>
    </w:p>
    <w:p>
      <w:pPr>
        <w:shd w:fill="1E1E1E" w:val="clear"/>
        <w:spacing w:after="80" w:before="80"/>
      </w:pPr>
      <w:r>
        <w:rPr>
          <w:rFonts w:ascii="Courier New" w:cs="Courier New" w:eastAsia="Courier New" w:hAnsi="Courier New"/>
          <w:color w:val="00FF41"/>
          <w:sz w:val="18"/>
          <w:szCs w:val="18"/>
        </w:rPr>
        <w:t xml:space="preserve">{ "title": "AAAA...x10000", "body": "test", "userId": 1 }  →  201 Created</w:t>
      </w:r>
    </w:p>
    <w:p>
      <w:pPr>
        <w:spacing w:after="60" w:before="60"/>
      </w:pPr>
      <w:r>
        <w:rPr>
          <w:rFonts w:ascii="Arial" w:cs="Arial" w:eastAsia="Arial" w:hAnsi="Arial"/>
          <w:b/>
          <w:bCs/>
          <w:color w:val="1A3557"/>
          <w:sz w:val="20"/>
          <w:szCs w:val="20"/>
        </w:rPr>
        <w:t xml:space="preserve">Impact:</w:t>
      </w:r>
    </w:p>
    <w:p>
      <w:pPr>
        <w:spacing w:after="60" w:before="60"/>
      </w:pPr>
      <w:r>
        <w:rPr>
          <w:rFonts w:ascii="Arial" w:cs="Arial" w:eastAsia="Arial" w:hAnsi="Arial"/>
          <w:color w:val="5A5A5A"/>
          <w:sz w:val="20"/>
          <w:szCs w:val="20"/>
        </w:rPr>
        <w:t xml:space="preserve">Real APIs with this pattern connected to a SQL backend would be directly vulnerable to SQL injection attacks. Oversized payloads can cause application crashes or memory exhaustion — enabling Denial of Service.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1E6B3C" w:sz="12"/>
              <w:bottom w:val="single" w:color="AAAAAA" w:sz="1"/>
              <w:right w:val="single" w:color="AAAAAA" w:sz="1"/>
            </w:tcBorders>
            <w:shd w:fill="E6F4EC" w:val="clear"/>
            <w:tcMar>
              <w:top w:type="dxa" w:w="80"/>
              <w:left w:type="dxa" w:w="160"/>
              <w:bottom w:type="dxa" w:w="80"/>
              <w:right w:type="dxa" w:w="120"/>
            </w:tcMar>
          </w:tcPr>
          <w:p>
            <w:r>
              <w:rPr>
                <w:rFonts w:ascii="Arial" w:cs="Arial" w:eastAsia="Arial" w:hAnsi="Arial"/>
                <w:b/>
                <w:bCs/>
                <w:color w:val="1E6B3C"/>
                <w:sz w:val="18"/>
                <w:szCs w:val="18"/>
              </w:rPr>
              <w:t xml:space="preserve">Recommendation</w:t>
            </w:r>
          </w:p>
          <w:p>
            <w:pPr>
              <w:spacing w:before="40"/>
            </w:pPr>
            <w:r>
              <w:rPr>
                <w:rFonts w:ascii="Arial" w:cs="Arial" w:eastAsia="Arial" w:hAnsi="Arial"/>
                <w:color w:val="5A5A5A"/>
                <w:sz w:val="18"/>
                <w:szCs w:val="18"/>
              </w:rPr>
              <w:t xml:space="preserve">Enforce server-side input validation: type checking, maximum field length, and character allowlisting. Use parameterized queries / prepared statements for all database interactions. Reject malformed requests with HTTP 400 Bad Request before the payload reaches any backend logic.</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c>
          <w:tcPr>
            <w:tcW w:type="dxa" w:w="7560"/>
            <w:tcBorders>
              <w:top w:val="single" w:color="2563A8" w:sz="1"/>
              <w:left w:val="single" w:color="2563A8" w:sz="1"/>
              <w:bottom w:val="single" w:color="2563A8" w:sz="1"/>
              <w:right w:val="single" w:color="2563A8" w:sz="1"/>
            </w:tcBorders>
            <w:shd w:fill="1A3557" w:val="clear"/>
            <w:tcMar>
              <w:top w:type="dxa" w:w="80"/>
              <w:left w:type="dxa" w:w="160"/>
              <w:bottom w:type="dxa" w:w="80"/>
              <w:right w:type="dxa" w:w="160"/>
            </w:tcMar>
          </w:tcPr>
          <w:p>
            <w:r>
              <w:rPr>
                <w:rFonts w:ascii="Courier New" w:cs="Courier New" w:eastAsia="Courier New" w:hAnsi="Courier New"/>
                <w:color w:val="88BBFF"/>
                <w:sz w:val="16"/>
                <w:szCs w:val="16"/>
              </w:rPr>
              <w:t xml:space="preserve">FINDING-06  </w:t>
            </w:r>
            <w:r>
              <w:rPr>
                <w:rFonts w:ascii="Arial" w:cs="Arial" w:eastAsia="Arial" w:hAnsi="Arial"/>
                <w:b/>
                <w:bCs/>
                <w:color w:val="FFFFFF"/>
                <w:sz w:val="22"/>
                <w:szCs w:val="22"/>
              </w:rPr>
              <w:t xml:space="preserve">Missing Security Headers in HTTP Response</w:t>
            </w:r>
          </w:p>
        </w:tc>
        <w:tc>
          <w:tcPr>
            <w:tcW w:type="dxa" w:w="1800"/>
            <w:tcBorders>
              <w:top w:val="single" w:color="2563A8" w:sz="1"/>
              <w:left w:val="single" w:color="2563A8" w:sz="1"/>
              <w:bottom w:val="single" w:color="2563A8" w:sz="1"/>
              <w:right w:val="single" w:color="2563A8" w:sz="1"/>
            </w:tcBorders>
            <w:shd w:fill="E6F4EC" w:val="clear"/>
            <w:tcMar>
              <w:top w:type="dxa" w:w="80"/>
              <w:left w:type="dxa" w:w="120"/>
              <w:bottom w:type="dxa" w:w="80"/>
              <w:right w:type="dxa" w:w="120"/>
            </w:tcMar>
            <w:vAlign w:val="center"/>
          </w:tcPr>
          <w:p>
            <w:pPr>
              <w:jc w:val="center"/>
            </w:pPr>
            <w:r>
              <w:rPr>
                <w:rFonts w:ascii="Arial" w:cs="Arial" w:eastAsia="Arial" w:hAnsi="Arial"/>
                <w:b/>
                <w:bCs/>
                <w:color w:val="1E6B3C"/>
                <w:sz w:val="20"/>
                <w:szCs w:val="20"/>
              </w:rPr>
              <w:t xml:space="preserve">⬛ LOW</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Endpoint</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GET https://reqres.in/api/users (Response Headers)</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Method</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GET</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Risk Level</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E6B3C"/>
                <w:sz w:val="18"/>
                <w:szCs w:val="18"/>
              </w:rPr>
              <w:t xml:space="preserve">LOW</w:t>
            </w:r>
          </w:p>
        </w:tc>
      </w:tr>
      <w:tr>
        <w:tc>
          <w:tcPr>
            <w:tcW w:type="dxa" w:w="2000"/>
            <w:tcBorders>
              <w:top w:val="single" w:color="CCCCCC" w:sz="1"/>
              <w:left w:val="single" w:color="CCCCCC" w:sz="1"/>
              <w:bottom w:val="single" w:color="CCCCCC" w:sz="1"/>
              <w:right w:val="single" w:color="CCCCCC" w:sz="1"/>
            </w:tcBorders>
            <w:shd w:fill="DCE9F7" w:val="clear"/>
            <w:tcMar>
              <w:top w:type="dxa" w:w="60"/>
              <w:left w:type="dxa" w:w="120"/>
              <w:bottom w:type="dxa" w:w="60"/>
              <w:right w:type="dxa" w:w="120"/>
            </w:tcMar>
          </w:tcPr>
          <w:p>
            <w:r>
              <w:rPr>
                <w:rFonts w:ascii="Arial" w:cs="Arial" w:eastAsia="Arial" w:hAnsi="Arial"/>
                <w:b/>
                <w:bCs/>
                <w:color w:val="1A3557"/>
                <w:sz w:val="18"/>
                <w:szCs w:val="18"/>
              </w:rPr>
              <w:t xml:space="preserve">OWASP</w:t>
            </w:r>
          </w:p>
        </w:tc>
        <w:tc>
          <w:tcPr>
            <w:tcW w:type="dxa" w:w="7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API8:2023 — Security Misconfiguration</w:t>
            </w:r>
          </w:p>
        </w:tc>
      </w:tr>
    </w:tbl>
    <w:p>
      <w:pPr>
        <w:spacing w:after="0" w:before="80"/>
      </w:pPr>
    </w:p>
    <w:p>
      <w:pPr>
        <w:spacing w:after="60" w:before="60"/>
      </w:pPr>
      <w:r>
        <w:rPr>
          <w:rFonts w:ascii="Arial" w:cs="Arial" w:eastAsia="Arial" w:hAnsi="Arial"/>
          <w:b/>
          <w:bCs/>
          <w:color w:val="1A3557"/>
          <w:sz w:val="20"/>
          <w:szCs w:val="20"/>
        </w:rPr>
        <w:t xml:space="preserve">Issue Found:</w:t>
      </w:r>
    </w:p>
    <w:p>
      <w:pPr>
        <w:spacing w:after="60" w:before="60"/>
      </w:pPr>
      <w:r>
        <w:rPr>
          <w:rFonts w:ascii="Arial" w:cs="Arial" w:eastAsia="Arial" w:hAnsi="Arial"/>
          <w:color w:val="5A5A5A"/>
          <w:sz w:val="20"/>
          <w:szCs w:val="20"/>
        </w:rPr>
        <w:t xml:space="preserve">Inspecting HTTP response headers in Firefox DevTools (Network tab → Headers) revealed the absence of key security headers. The headers present are: access-control-allow-origin, cache-control, cf-cache-status, content-type, cross-origin-opener-policy, cross-origin-resource-policy, etag, date. The following critical headers are ABSENT:</w:t>
      </w:r>
    </w:p>
    <w:p>
      <w:pPr>
        <w:pStyle w:val="ListParagraph"/>
        <w:numPr>
          <w:ilvl w:val="0"/>
          <w:numId w:val="2"/>
        </w:numPr>
      </w:pPr>
      <w:r>
        <w:rPr>
          <w:rFonts w:ascii="Arial" w:cs="Arial" w:eastAsia="Arial" w:hAnsi="Arial"/>
          <w:color w:val="5A5A5A"/>
          <w:sz w:val="18"/>
          <w:szCs w:val="18"/>
        </w:rPr>
        <w:t xml:space="preserve">Content-Security-Policy — not present</w:t>
      </w:r>
    </w:p>
    <w:p>
      <w:pPr>
        <w:pStyle w:val="ListParagraph"/>
        <w:numPr>
          <w:ilvl w:val="0"/>
          <w:numId w:val="2"/>
        </w:numPr>
      </w:pPr>
      <w:r>
        <w:rPr>
          <w:rFonts w:ascii="Arial" w:cs="Arial" w:eastAsia="Arial" w:hAnsi="Arial"/>
          <w:color w:val="5A5A5A"/>
          <w:sz w:val="18"/>
          <w:szCs w:val="18"/>
        </w:rPr>
        <w:t xml:space="preserve">X-Content-Type-Options — not present</w:t>
      </w:r>
    </w:p>
    <w:p>
      <w:pPr>
        <w:pStyle w:val="ListParagraph"/>
        <w:numPr>
          <w:ilvl w:val="0"/>
          <w:numId w:val="2"/>
        </w:numPr>
      </w:pPr>
      <w:r>
        <w:rPr>
          <w:rFonts w:ascii="Arial" w:cs="Arial" w:eastAsia="Arial" w:hAnsi="Arial"/>
          <w:color w:val="5A5A5A"/>
          <w:sz w:val="18"/>
          <w:szCs w:val="18"/>
        </w:rPr>
        <w:t xml:space="preserve">Strict-Transport-Security (HSTS) — not present</w:t>
      </w:r>
    </w:p>
    <w:p>
      <w:pPr>
        <w:pStyle w:val="ListParagraph"/>
        <w:numPr>
          <w:ilvl w:val="0"/>
          <w:numId w:val="2"/>
        </w:numPr>
      </w:pPr>
      <w:r>
        <w:rPr>
          <w:rFonts w:ascii="Arial" w:cs="Arial" w:eastAsia="Arial" w:hAnsi="Arial"/>
          <w:color w:val="5A5A5A"/>
          <w:sz w:val="18"/>
          <w:szCs w:val="18"/>
        </w:rPr>
        <w:t xml:space="preserve">X-Frame-Options — not present</w:t>
      </w:r>
    </w:p>
    <w:p>
      <w:pPr>
        <w:spacing w:after="0" w:before="80"/>
      </w:pPr>
    </w:p>
    <w:p>
      <w:pPr>
        <w:jc w:val="center"/>
      </w:pPr>
      <w:r>
        <w:drawing>
          <wp:inline distT="0" distB="0" distL="0" distR="0">
            <wp:extent cx="5524500" cy="3105150"/>
            <wp:effectExtent t="0" r="0" b="0" l="0"/>
            <wp:docPr id="1" name="Firefox DevTools — Response headers showing missing security headers" descr="Firefox DevTools — Response headers showing missing security headers" title="Firefox DevTools — Response headers showing missing security hea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05150"/>
                    </a:xfrm>
                    <a:prstGeom prst="rect">
                      <a:avLst/>
                    </a:prstGeom>
                  </pic:spPr>
                </pic:pic>
              </a:graphicData>
            </a:graphic>
          </wp:inline>
        </w:drawing>
      </w:r>
    </w:p>
    <w:p>
      <w:pPr>
        <w:spacing w:after="120" w:before="40"/>
        <w:jc w:val="center"/>
      </w:pPr>
      <w:r>
        <w:rPr>
          <w:rFonts w:ascii="Arial" w:cs="Arial" w:eastAsia="Arial" w:hAnsi="Arial"/>
          <w:i/>
          <w:iCs/>
          <w:color w:val="888888"/>
          <w:sz w:val="16"/>
          <w:szCs w:val="16"/>
        </w:rPr>
        <w:t xml:space="preserve">Figure: Firefox DevTools — Response headers showing missing security headers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1E6B3C" w:sz="12"/>
              <w:bottom w:val="single" w:color="AAAAAA" w:sz="1"/>
              <w:right w:val="single" w:color="AAAAAA" w:sz="1"/>
            </w:tcBorders>
            <w:shd w:fill="E6F4EC" w:val="clear"/>
            <w:tcMar>
              <w:top w:type="dxa" w:w="80"/>
              <w:left w:type="dxa" w:w="160"/>
              <w:bottom w:type="dxa" w:w="80"/>
              <w:right w:type="dxa" w:w="120"/>
            </w:tcMar>
          </w:tcPr>
          <w:p>
            <w:r>
              <w:rPr>
                <w:rFonts w:ascii="Arial" w:cs="Arial" w:eastAsia="Arial" w:hAnsi="Arial"/>
                <w:b/>
                <w:bCs/>
                <w:color w:val="1E6B3C"/>
                <w:sz w:val="18"/>
                <w:szCs w:val="18"/>
              </w:rPr>
              <w:t xml:space="preserve">Recommendation</w:t>
            </w:r>
          </w:p>
          <w:p>
            <w:pPr>
              <w:spacing w:before="40"/>
            </w:pPr>
            <w:r>
              <w:rPr>
                <w:rFonts w:ascii="Arial" w:cs="Arial" w:eastAsia="Arial" w:hAnsi="Arial"/>
                <w:color w:val="5A5A5A"/>
                <w:sz w:val="18"/>
                <w:szCs w:val="18"/>
              </w:rPr>
              <w:t xml:space="preserve">Add X-Content-Type-Options: nosniff, Strict-Transport-Security: max-age=31536000; includeSubDomains, and a scoped Content-Security-Policy to all API responses. Use a middleware layer (e.g., Helmet.js for Node.js) to apply these headers globally.</w:t>
            </w:r>
          </w:p>
        </w:tc>
      </w:tr>
    </w:tbl>
    <w:p>
      <w:pPr>
        <w:spacing w:after="0" w:before="200"/>
      </w:pPr>
    </w:p>
    <w:p>
      <w:r>
        <w:br w:type="page"/>
      </w:r>
    </w:p>
    <w:p>
      <w:pPr>
        <w:pStyle w:val="Heading1"/>
      </w:pPr>
      <w:r>
        <w:t xml:space="preserve">3. OWASP API Top 10 Reference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2200"/>
      </w:tblGrid>
      <w:tr>
        <w:tc>
          <w:tcPr>
            <w:tcW w:type="auto" w:w="0"/>
            <w:tcBorders>
              <w:top w:val="single" w:color="2563A8" w:sz="1"/>
              <w:left w:val="single" w:color="2563A8" w:sz="1"/>
              <w:bottom w:val="single" w:color="2563A8" w:sz="1"/>
              <w:right w:val="single" w:color="2563A8"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Finding</w:t>
            </w:r>
          </w:p>
        </w:tc>
        <w:tc>
          <w:tcPr>
            <w:tcW w:type="auto" w:w="0"/>
            <w:tcBorders>
              <w:top w:val="single" w:color="2563A8" w:sz="1"/>
              <w:left w:val="single" w:color="2563A8" w:sz="1"/>
              <w:bottom w:val="single" w:color="2563A8" w:sz="1"/>
              <w:right w:val="single" w:color="2563A8"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OWASP ID</w:t>
            </w:r>
          </w:p>
        </w:tc>
        <w:tc>
          <w:tcPr>
            <w:tcW w:type="auto" w:w="0"/>
            <w:tcBorders>
              <w:top w:val="single" w:color="2563A8" w:sz="1"/>
              <w:left w:val="single" w:color="2563A8" w:sz="1"/>
              <w:bottom w:val="single" w:color="2563A8" w:sz="1"/>
              <w:right w:val="single" w:color="2563A8"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auto" w:w="0"/>
            <w:tcBorders>
              <w:top w:val="single" w:color="2563A8" w:sz="1"/>
              <w:left w:val="single" w:color="2563A8" w:sz="1"/>
              <w:bottom w:val="single" w:color="2563A8" w:sz="1"/>
              <w:right w:val="single" w:color="2563A8" w:sz="1"/>
            </w:tcBorders>
            <w:shd w:fill="1A3557" w:val="clear"/>
            <w:tcMar>
              <w:top w:type="dxa" w:w="80"/>
              <w:left w:type="dxa" w:w="120"/>
              <w:bottom w:type="dxa" w:w="80"/>
              <w:right w:type="dxa" w:w="120"/>
            </w:tcMar>
          </w:tcPr>
          <w:p>
            <w:r>
              <w:rPr>
                <w:rFonts w:ascii="Arial" w:cs="Arial" w:eastAsia="Arial" w:hAnsi="Arial"/>
                <w:b/>
                <w:bCs/>
                <w:color w:val="FFFFFF"/>
                <w:sz w:val="18"/>
                <w:szCs w:val="18"/>
              </w:rPr>
              <w:t xml:space="preserve">Risk</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ourier New" w:cs="Courier New" w:eastAsia="Courier New" w:hAnsi="Courier New"/>
                <w:b/>
                <w:bCs/>
                <w:color w:val="1A3557"/>
                <w:sz w:val="18"/>
                <w:szCs w:val="18"/>
              </w:rPr>
              <w:t xml:space="preserve">F-01</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563A8"/>
                <w:sz w:val="18"/>
                <w:szCs w:val="18"/>
              </w:rPr>
              <w:t xml:space="preserve">API1:2023</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Broken Object Level Authorization</w:t>
            </w:r>
          </w:p>
        </w:tc>
        <w:tc>
          <w:tcPr>
            <w:tcW w:type="dxa" w:w="2200"/>
            <w:tcBorders>
              <w:top w:val="single" w:color="CCCCCC" w:sz="1"/>
              <w:left w:val="single" w:color="CCCCCC" w:sz="1"/>
              <w:bottom w:val="single" w:color="CCCCCC" w:sz="1"/>
              <w:right w:val="single" w:color="CCCCCC" w:sz="1"/>
            </w:tcBorders>
            <w:shd w:fill="FCECEA"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ourier New" w:cs="Courier New" w:eastAsia="Courier New" w:hAnsi="Courier New"/>
                <w:b/>
                <w:bCs/>
                <w:color w:val="1A3557"/>
                <w:sz w:val="18"/>
                <w:szCs w:val="18"/>
              </w:rPr>
              <w:t xml:space="preserve">F-02</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563A8"/>
                <w:sz w:val="18"/>
                <w:szCs w:val="18"/>
              </w:rPr>
              <w:t xml:space="preserve">API1:2023</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Broken Object Level Authorization</w:t>
            </w:r>
          </w:p>
        </w:tc>
        <w:tc>
          <w:tcPr>
            <w:tcW w:type="dxa" w:w="2200"/>
            <w:tcBorders>
              <w:top w:val="single" w:color="CCCCCC" w:sz="1"/>
              <w:left w:val="single" w:color="CCCCCC" w:sz="1"/>
              <w:bottom w:val="single" w:color="CCCCCC" w:sz="1"/>
              <w:right w:val="single" w:color="CCCCCC" w:sz="1"/>
            </w:tcBorders>
            <w:shd w:fill="FCECEA"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ourier New" w:cs="Courier New" w:eastAsia="Courier New" w:hAnsi="Courier New"/>
                <w:b/>
                <w:bCs/>
                <w:color w:val="1A3557"/>
                <w:sz w:val="18"/>
                <w:szCs w:val="18"/>
              </w:rPr>
              <w:t xml:space="preserve">F-03</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563A8"/>
                <w:sz w:val="18"/>
                <w:szCs w:val="18"/>
              </w:rPr>
              <w:t xml:space="preserve">API3:2023</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Broken Object Property Level Authorization</w:t>
            </w:r>
          </w:p>
        </w:tc>
        <w:tc>
          <w:tcPr>
            <w:tcW w:type="dxa" w:w="2200"/>
            <w:tcBorders>
              <w:top w:val="single" w:color="CCCCCC" w:sz="1"/>
              <w:left w:val="single" w:color="CCCCCC" w:sz="1"/>
              <w:bottom w:val="single" w:color="CCCCCC" w:sz="1"/>
              <w:right w:val="single" w:color="CCCCCC" w:sz="1"/>
            </w:tcBorders>
            <w:shd w:fill="FCECEA"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HIGH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ourier New" w:cs="Courier New" w:eastAsia="Courier New" w:hAnsi="Courier New"/>
                <w:b/>
                <w:bCs/>
                <w:color w:val="1A3557"/>
                <w:sz w:val="18"/>
                <w:szCs w:val="18"/>
              </w:rPr>
              <w:t xml:space="preserve">F-04</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563A8"/>
                <w:sz w:val="18"/>
                <w:szCs w:val="18"/>
              </w:rPr>
              <w:t xml:space="preserve">API4:2023</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Unrestricted Resource Consumption</w:t>
            </w:r>
          </w:p>
        </w:tc>
        <w:tc>
          <w:tcPr>
            <w:tcW w:type="dxa" w:w="2200"/>
            <w:tcBorders>
              <w:top w:val="single" w:color="CCCCCC" w:sz="1"/>
              <w:left w:val="single" w:color="CCCCCC" w:sz="1"/>
              <w:bottom w:val="single" w:color="CCCCCC" w:sz="1"/>
              <w:right w:val="single" w:color="CCCCCC" w:sz="1"/>
            </w:tcBorders>
            <w:shd w:fill="FEF3E2" w:val="clear"/>
            <w:tcMar>
              <w:top w:type="dxa" w:w="60"/>
              <w:left w:type="dxa" w:w="120"/>
              <w:bottom w:type="dxa" w:w="60"/>
              <w:right w:type="dxa" w:w="120"/>
            </w:tcMar>
          </w:tcPr>
          <w:p>
            <w:pPr>
              <w:jc w:val="center"/>
            </w:pPr>
            <w:r>
              <w:rPr>
                <w:rFonts w:ascii="Arial" w:cs="Arial" w:eastAsia="Arial" w:hAnsi="Arial"/>
                <w:b/>
                <w:bCs/>
                <w:color w:val="D354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ourier New" w:cs="Courier New" w:eastAsia="Courier New" w:hAnsi="Courier New"/>
                <w:b/>
                <w:bCs/>
                <w:color w:val="1A3557"/>
                <w:sz w:val="18"/>
                <w:szCs w:val="18"/>
              </w:rPr>
              <w:t xml:space="preserve">F-05</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563A8"/>
                <w:sz w:val="18"/>
                <w:szCs w:val="18"/>
              </w:rPr>
              <w:t xml:space="preserve">API8:2023</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Security Misconfiguration</w:t>
            </w:r>
          </w:p>
        </w:tc>
        <w:tc>
          <w:tcPr>
            <w:tcW w:type="dxa" w:w="2200"/>
            <w:tcBorders>
              <w:top w:val="single" w:color="CCCCCC" w:sz="1"/>
              <w:left w:val="single" w:color="CCCCCC" w:sz="1"/>
              <w:bottom w:val="single" w:color="CCCCCC" w:sz="1"/>
              <w:right w:val="single" w:color="CCCCCC" w:sz="1"/>
            </w:tcBorders>
            <w:shd w:fill="FEF3E2" w:val="clear"/>
            <w:tcMar>
              <w:top w:type="dxa" w:w="60"/>
              <w:left w:type="dxa" w:w="120"/>
              <w:bottom w:type="dxa" w:w="60"/>
              <w:right w:type="dxa" w:w="120"/>
            </w:tcMar>
          </w:tcPr>
          <w:p>
            <w:pPr>
              <w:jc w:val="center"/>
            </w:pPr>
            <w:r>
              <w:rPr>
                <w:rFonts w:ascii="Arial" w:cs="Arial" w:eastAsia="Arial" w:hAnsi="Arial"/>
                <w:b/>
                <w:bCs/>
                <w:color w:val="D35400"/>
                <w:sz w:val="18"/>
                <w:szCs w:val="18"/>
              </w:rPr>
              <w:t xml:space="preserve">MEDIUM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Courier New" w:cs="Courier New" w:eastAsia="Courier New" w:hAnsi="Courier New"/>
                <w:b/>
                <w:bCs/>
                <w:color w:val="1A3557"/>
                <w:sz w:val="18"/>
                <w:szCs w:val="18"/>
              </w:rPr>
              <w:t xml:space="preserve">F-06</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2563A8"/>
                <w:sz w:val="18"/>
                <w:szCs w:val="18"/>
              </w:rPr>
              <w:t xml:space="preserve">API8:2023</w:t>
            </w:r>
          </w:p>
        </w:tc>
        <w:tc>
          <w:tcPr>
            <w:tcW w:type="dxa" w:w="3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A5A5A"/>
                <w:sz w:val="18"/>
                <w:szCs w:val="18"/>
              </w:rPr>
              <w:t xml:space="preserve">Security Misconfiguration</w:t>
            </w:r>
          </w:p>
        </w:tc>
        <w:tc>
          <w:tcPr>
            <w:tcW w:type="dxa" w:w="2200"/>
            <w:tcBorders>
              <w:top w:val="single" w:color="CCCCCC" w:sz="1"/>
              <w:left w:val="single" w:color="CCCCCC" w:sz="1"/>
              <w:bottom w:val="single" w:color="CCCCCC" w:sz="1"/>
              <w:right w:val="single" w:color="CCCCCC" w:sz="1"/>
            </w:tcBorders>
            <w:shd w:fill="E6F4EC" w:val="clear"/>
            <w:tcMar>
              <w:top w:type="dxa" w:w="60"/>
              <w:left w:type="dxa" w:w="120"/>
              <w:bottom w:type="dxa" w:w="60"/>
              <w:right w:type="dxa" w:w="120"/>
            </w:tcMar>
          </w:tcPr>
          <w:p>
            <w:pPr>
              <w:jc w:val="center"/>
            </w:pPr>
            <w:r>
              <w:rPr>
                <w:rFonts w:ascii="Arial" w:cs="Arial" w:eastAsia="Arial" w:hAnsi="Arial"/>
                <w:b/>
                <w:bCs/>
                <w:color w:val="1E6B3C"/>
                <w:sz w:val="18"/>
                <w:szCs w:val="18"/>
              </w:rPr>
              <w:t xml:space="preserve">LOW</w:t>
            </w:r>
          </w:p>
        </w:tc>
      </w:tr>
    </w:tbl>
    <w:p>
      <w:pPr>
        <w:spacing w:after="0" w:before="200"/>
      </w:pPr>
    </w:p>
    <w:p>
      <w:pPr>
        <w:pStyle w:val="Heading1"/>
      </w:pPr>
      <w:r>
        <w:t xml:space="preserve">4. Conclusion</w:t>
      </w:r>
    </w:p>
    <w:p>
      <w:pPr>
        <w:spacing w:after="60" w:before="60"/>
      </w:pPr>
      <w:r>
        <w:rPr>
          <w:rFonts w:ascii="Arial" w:cs="Arial" w:eastAsia="Arial" w:hAnsi="Arial"/>
          <w:color w:val="5A5A5A"/>
          <w:sz w:val="20"/>
          <w:szCs w:val="20"/>
        </w:rPr>
        <w:t xml:space="preserve">The tested APIs demonstrated several common, real-world API security weaknesses that directly map to the OWASP API Security Top 10 (2023). The most critical findings — absent authentication (F-01), IDOR enabling cross-user data access (F-02), and response data over-exposure (F-03) — collectively represent the top attack vectors against modern APIs.</w:t>
      </w:r>
    </w:p>
    <w:p>
      <w:pPr>
        <w:spacing w:after="60" w:before="60"/>
      </w:pPr>
      <w:r>
        <w:rPr>
          <w:rFonts w:ascii="Arial" w:cs="Arial" w:eastAsia="Arial" w:hAnsi="Arial"/>
          <w:color w:val="5A5A5A"/>
          <w:sz w:val="20"/>
          <w:szCs w:val="20"/>
        </w:rPr>
        <w:t xml:space="preserve">Addressing these issues requires a combination of proper authentication enforcement, server-side authorization checks, response field whitelisting, rate limiting controls, and consistent application of HTTP security headers.</w:t>
      </w:r>
    </w:p>
    <w:p>
      <w:pPr>
        <w:spacing w:after="0" w:before="120"/>
      </w:pPr>
    </w:p>
    <w:p>
      <w:pPr>
        <w:spacing w:after="60" w:before="60"/>
      </w:pPr>
      <w:r>
        <w:rPr>
          <w:rFonts w:ascii="Arial" w:cs="Arial" w:eastAsia="Arial" w:hAnsi="Arial"/>
          <w:i/>
          <w:iCs/>
          <w:color w:val="888888"/>
          <w:sz w:val="20"/>
          <w:szCs w:val="20"/>
        </w:rPr>
        <w:t xml:space="preserve">All tests were performed on publicly available demo APIs (JSONPlaceholder, ReqRes.in) designed for safe testing. No production systems were accessed or harmed during this assessment.</w:t>
      </w:r>
    </w:p>
    <w:p>
      <w:pPr>
        <w:spacing w:after="0" w:before="120"/>
      </w:pPr>
    </w:p>
    <w:p>
      <w:pPr>
        <w:pBdr>
          <w:bottom w:val="single" w:color="2563A8" w:sz="6" w:space="1"/>
        </w:pBdr>
        <w:spacing w:after="60" w:before="60"/>
      </w:pPr>
    </w:p>
    <w:p>
      <w:pPr>
        <w:spacing w:after="0" w:before="80"/>
        <w:jc w:val="center"/>
      </w:pPr>
      <w:r>
        <w:rPr>
          <w:rFonts w:ascii="Arial" w:cs="Arial" w:eastAsia="Arial" w:hAnsi="Arial"/>
          <w:i/>
          <w:iCs/>
          <w:color w:val="888888"/>
          <w:sz w:val="16"/>
          <w:szCs w:val="16"/>
        </w:rPr>
        <w:t xml:space="preserve">Report prepared as part of Internship Task 3 — API Security Risk Analysis</w:t>
      </w:r>
    </w:p>
    <w:p>
      <w:pPr>
        <w:spacing w:after="0" w:before="40"/>
        <w:jc w:val="center"/>
      </w:pPr>
      <w:r>
        <w:rPr>
          <w:rFonts w:ascii="Arial" w:cs="Arial" w:eastAsia="Arial" w:hAnsi="Arial"/>
          <w:i/>
          <w:iCs/>
          <w:color w:val="888888"/>
          <w:sz w:val="16"/>
          <w:szCs w:val="16"/>
        </w:rPr>
        <w:t xml:space="preserve">Anna (Hari Raj) · B.E. CSE (Cyber Security) · DSCE Coimbatore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1"/>
      </w:pBdr>
      <w:spacing w:before="60"/>
      <w:jc w:val="center"/>
    </w:pPr>
    <w:r>
      <w:rPr>
        <w:rFonts w:ascii="Arial" w:cs="Arial" w:eastAsia="Arial" w:hAnsi="Arial"/>
        <w:color w:val="888888"/>
        <w:sz w:val="16"/>
        <w:szCs w:val="16"/>
      </w:rPr>
      <w:t xml:space="preserve">CONFIDENTIAL — Internship Security Assessment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1"/>
      </w:pBdr>
      <w:tabs>
        <w:tab w:val="right" w:pos="9360"/>
      </w:tabs>
      <w:spacing w:after="100" w:before="0"/>
    </w:pPr>
    <w:r>
      <w:rPr>
        <w:rFonts w:ascii="Arial" w:cs="Arial" w:eastAsia="Arial" w:hAnsi="Arial"/>
        <w:b/>
        <w:bCs/>
        <w:color w:val="1A3557"/>
        <w:sz w:val="18"/>
        <w:szCs w:val="18"/>
      </w:rPr>
      <w:t xml:space="preserve">API Security Risk Analysis Report</w:t>
    </w:r>
    <w:r>
      <w:rPr>
        <w:rFonts w:ascii="Arial" w:cs="Arial" w:eastAsia="Arial" w:hAnsi="Arial"/>
        <w:color w:val="888888"/>
        <w:sz w:val="16"/>
        <w:szCs w:val="16"/>
      </w:rPr>
      <w:t xml:space="preserve">	Anna (Hari Raj)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5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86a9e02d0b0b1762f201d0a92d8a75191d1219.png"/><Relationship Id="rId10" Type="http://schemas.openxmlformats.org/officeDocument/2006/relationships/image" Target="media/85e3c236ef8b9cb09c70035ceb19cd66670b3832.png"/><Relationship Id="rId11" Type="http://schemas.openxmlformats.org/officeDocument/2006/relationships/image" Target="media/e3ce09ae1fe2363c7fd2449828b4afd90478c40d.png"/><Relationship Id="rId12" Type="http://schemas.openxmlformats.org/officeDocument/2006/relationships/image" Target="media/1b06703f6df7f6836ca5922eff8be7029ef2a53a.png"/><Relationship Id="rId13" Type="http://schemas.openxmlformats.org/officeDocument/2006/relationships/image" Target="media/3a2f1551f8858886fa6b2f5bdb3254668cd954ae.png"/><Relationship Id="rId14" Type="http://schemas.openxmlformats.org/officeDocument/2006/relationships/image" Target="media/026cae83d4210ea81aa336ef03464766a07edbc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2026-04-08T14:13:52.401Z</dcterms:created>
  <dcterms:modified xsi:type="dcterms:W3CDTF">2026-04-08T14:13:52.402Z</dcterms:modified>
</cp:coreProperties>
</file>

<file path=docProps/custom.xml><?xml version="1.0" encoding="utf-8"?>
<Properties xmlns="http://schemas.openxmlformats.org/officeDocument/2006/custom-properties" xmlns:vt="http://schemas.openxmlformats.org/officeDocument/2006/docPropsVTypes"/>
</file>