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18E2" w:rsidRDefault="003118E2" w:rsidP="003118E2">
      <w:pPr>
        <w:rPr>
          <w:b/>
          <w:sz w:val="30"/>
        </w:rPr>
      </w:pPr>
      <w:r>
        <w:rPr>
          <w:b/>
          <w:sz w:val="30"/>
        </w:rPr>
        <w:t>Hariram S(192512209)</w:t>
      </w:r>
    </w:p>
    <w:p w:rsidR="007B796D" w:rsidRDefault="00F82A2F">
      <w:pPr>
        <w:jc w:val="center"/>
      </w:pPr>
      <w:r>
        <w:rPr>
          <w:b/>
          <w:sz w:val="30"/>
        </w:rPr>
        <w:t>ECA56 – ADVANCED WIRELESS COMMUNICATION SYSTEMS</w:t>
      </w:r>
    </w:p>
    <w:p w:rsidR="007B796D" w:rsidRDefault="00F82A2F">
      <w:pPr>
        <w:jc w:val="center"/>
      </w:pPr>
      <w:r>
        <w:rPr>
          <w:b/>
          <w:sz w:val="26"/>
        </w:rPr>
        <w:t>CO1 INTEGRATED ENGINEERING ANALYSIS AND PLANNING ASSIGNMENT</w:t>
      </w:r>
    </w:p>
    <w:p w:rsidR="007B796D" w:rsidRDefault="007B796D"/>
    <w:p w:rsidR="007B796D" w:rsidRDefault="00F82A2F">
      <w:pPr>
        <w:pStyle w:val="Heading1"/>
      </w:pPr>
      <w:r>
        <w:t>1. Requirements and Planning Assumptions</w:t>
      </w:r>
    </w:p>
    <w:p w:rsidR="007B796D" w:rsidRDefault="00F82A2F">
      <w:r>
        <w:t>The regional operator must provide</w:t>
      </w:r>
      <w:r>
        <w:t xml:space="preserve"> adequate busy-hour capacity, maintain call continuity for mobile users, control interference, and select spectrum appropriate to coverage and capacity needs. The analysis uses the supplied planning values: cell radius r = 2 km, cluster size of 19 cells, r</w:t>
      </w:r>
      <w:r>
        <w:t>euse cluster size N = 7, 1,000 subscribers generating 0.08 Erlang each, 100 initial traffic channels, and a maximum blocking probability of 2%.</w:t>
      </w:r>
    </w:p>
    <w:p w:rsidR="007B796D" w:rsidRDefault="00F82A2F">
      <w:r>
        <w:t>Assumptions: (i) the hexagonal cell is an ideal geometric approximation; (ii) traffic is modelled as offered Erl</w:t>
      </w:r>
      <w:r>
        <w:t>angs with blocked calls cleared, as required by Erlang B; (iii) no separate thermal-noise value is supplied, so the SINR calculation includes the stated co-channel and adjacent-channel interference only; (iv) the route cell length of 1 km is interpreted as</w:t>
      </w:r>
      <w:r>
        <w:t xml:space="preserve"> the distance between successive cell-boundary crossings along the route; and (v) the simple handoff drop-risk estimate treats 1% target-cell unavailability as the probability that a target is unavailable at the handoff instant.</w:t>
      </w:r>
    </w:p>
    <w:p w:rsidR="007B796D" w:rsidRDefault="00F82A2F">
      <w:pPr>
        <w:pStyle w:val="Heading1"/>
      </w:pPr>
      <w:r>
        <w:t>2. Stage 1 – Evolution of M</w:t>
      </w:r>
      <w:r>
        <w:t>obile Systems</w:t>
      </w:r>
    </w:p>
    <w:p w:rsidR="007B796D" w:rsidRDefault="00F82A2F">
      <w:pPr>
        <w:pStyle w:val="Heading2"/>
      </w:pPr>
      <w:r>
        <w:t>2.1 Generational comparison</w:t>
      </w:r>
    </w:p>
    <w:tbl>
      <w:tblPr>
        <w:tblStyle w:val="TableGrid"/>
        <w:tblW w:w="0" w:type="auto"/>
        <w:jc w:val="center"/>
        <w:tblLook w:val="04A0" w:firstRow="1" w:lastRow="0" w:firstColumn="1" w:lastColumn="0" w:noHBand="0" w:noVBand="1"/>
      </w:tblPr>
      <w:tblGrid>
        <w:gridCol w:w="3360"/>
        <w:gridCol w:w="3360"/>
        <w:gridCol w:w="3360"/>
      </w:tblGrid>
      <w:tr w:rsidR="007B796D">
        <w:trPr>
          <w:jc w:val="center"/>
        </w:trPr>
        <w:tc>
          <w:tcPr>
            <w:tcW w:w="3360" w:type="dxa"/>
            <w:vAlign w:val="center"/>
          </w:tcPr>
          <w:p w:rsidR="007B796D" w:rsidRDefault="00F82A2F">
            <w:r>
              <w:rPr>
                <w:sz w:val="18"/>
              </w:rPr>
              <w:t>Generation</w:t>
            </w:r>
          </w:p>
        </w:tc>
        <w:tc>
          <w:tcPr>
            <w:tcW w:w="3360" w:type="dxa"/>
            <w:vAlign w:val="center"/>
          </w:tcPr>
          <w:p w:rsidR="007B796D" w:rsidRDefault="00F82A2F">
            <w:r>
              <w:rPr>
                <w:sz w:val="18"/>
              </w:rPr>
              <w:t>Technology / capability</w:t>
            </w:r>
          </w:p>
        </w:tc>
        <w:tc>
          <w:tcPr>
            <w:tcW w:w="3360" w:type="dxa"/>
            <w:vAlign w:val="center"/>
          </w:tcPr>
          <w:p w:rsidR="007B796D" w:rsidRDefault="00F82A2F">
            <w:r>
              <w:rPr>
                <w:sz w:val="18"/>
              </w:rPr>
              <w:t>Engineering interpretation / limitation</w:t>
            </w:r>
          </w:p>
        </w:tc>
      </w:tr>
      <w:tr w:rsidR="007B796D">
        <w:trPr>
          <w:jc w:val="center"/>
        </w:trPr>
        <w:tc>
          <w:tcPr>
            <w:tcW w:w="3360" w:type="dxa"/>
            <w:vAlign w:val="center"/>
          </w:tcPr>
          <w:p w:rsidR="007B796D" w:rsidRDefault="00F82A2F">
            <w:r>
              <w:rPr>
                <w:sz w:val="18"/>
              </w:rPr>
              <w:t>1G</w:t>
            </w:r>
          </w:p>
        </w:tc>
        <w:tc>
          <w:tcPr>
            <w:tcW w:w="3360" w:type="dxa"/>
            <w:vAlign w:val="center"/>
          </w:tcPr>
          <w:p w:rsidR="007B796D" w:rsidRDefault="00F82A2F">
            <w:r>
              <w:rPr>
                <w:sz w:val="18"/>
              </w:rPr>
              <w:t>AMPS; analog voice; FDMA; 800 MHz; 30 kHz channels</w:t>
            </w:r>
          </w:p>
        </w:tc>
        <w:tc>
          <w:tcPr>
            <w:tcW w:w="3360" w:type="dxa"/>
            <w:vAlign w:val="center"/>
          </w:tcPr>
          <w:p w:rsidR="007B796D" w:rsidRDefault="00F82A2F">
            <w:r>
              <w:rPr>
                <w:sz w:val="18"/>
              </w:rPr>
              <w:t>Primarily voice service. Analog transmission offered limited capacity and was more v</w:t>
            </w:r>
            <w:r>
              <w:rPr>
                <w:sz w:val="18"/>
              </w:rPr>
              <w:t>ulnerable to noise and interception than later digital systems.</w:t>
            </w:r>
          </w:p>
        </w:tc>
      </w:tr>
      <w:tr w:rsidR="007B796D">
        <w:trPr>
          <w:jc w:val="center"/>
        </w:trPr>
        <w:tc>
          <w:tcPr>
            <w:tcW w:w="3360" w:type="dxa"/>
            <w:vAlign w:val="center"/>
          </w:tcPr>
          <w:p w:rsidR="007B796D" w:rsidRDefault="00F82A2F">
            <w:r>
              <w:rPr>
                <w:sz w:val="18"/>
              </w:rPr>
              <w:t>2G</w:t>
            </w:r>
          </w:p>
        </w:tc>
        <w:tc>
          <w:tcPr>
            <w:tcW w:w="3360" w:type="dxa"/>
            <w:vAlign w:val="center"/>
          </w:tcPr>
          <w:p w:rsidR="007B796D" w:rsidRDefault="00F82A2F">
            <w:r>
              <w:rPr>
                <w:sz w:val="18"/>
              </w:rPr>
              <w:t>GSM; digital transmission; 900 MHz; 200 kHz carrier with 8 TDMA slots</w:t>
            </w:r>
          </w:p>
        </w:tc>
        <w:tc>
          <w:tcPr>
            <w:tcW w:w="3360" w:type="dxa"/>
            <w:vAlign w:val="center"/>
          </w:tcPr>
          <w:p w:rsidR="007B796D" w:rsidRDefault="00F82A2F">
            <w:r>
              <w:rPr>
                <w:sz w:val="18"/>
              </w:rPr>
              <w:t>Improved voice quality, spectral efficiency and support for digital services. TDMA allows several users to share a car</w:t>
            </w:r>
            <w:r>
              <w:rPr>
                <w:sz w:val="18"/>
              </w:rPr>
              <w:t>rier in different time slots.</w:t>
            </w:r>
          </w:p>
        </w:tc>
      </w:tr>
      <w:tr w:rsidR="007B796D">
        <w:trPr>
          <w:jc w:val="center"/>
        </w:trPr>
        <w:tc>
          <w:tcPr>
            <w:tcW w:w="3360" w:type="dxa"/>
            <w:vAlign w:val="center"/>
          </w:tcPr>
          <w:p w:rsidR="007B796D" w:rsidRDefault="00F82A2F">
            <w:r>
              <w:rPr>
                <w:sz w:val="18"/>
              </w:rPr>
              <w:t>3G</w:t>
            </w:r>
          </w:p>
        </w:tc>
        <w:tc>
          <w:tcPr>
            <w:tcW w:w="3360" w:type="dxa"/>
            <w:vAlign w:val="center"/>
          </w:tcPr>
          <w:p w:rsidR="007B796D" w:rsidRDefault="00F82A2F">
            <w:r>
              <w:rPr>
                <w:sz w:val="18"/>
              </w:rPr>
              <w:t>UMTS; 5 MHz carrier</w:t>
            </w:r>
          </w:p>
        </w:tc>
        <w:tc>
          <w:tcPr>
            <w:tcW w:w="3360" w:type="dxa"/>
            <w:vAlign w:val="center"/>
          </w:tcPr>
          <w:p w:rsidR="007B796D" w:rsidRDefault="00F82A2F">
            <w:r>
              <w:rPr>
                <w:sz w:val="18"/>
              </w:rPr>
              <w:t>Introduced higher-rate data and multimedia services. Greater data demand required wider carriers and improved radio-resource management.</w:t>
            </w:r>
          </w:p>
        </w:tc>
      </w:tr>
      <w:tr w:rsidR="007B796D">
        <w:trPr>
          <w:jc w:val="center"/>
        </w:trPr>
        <w:tc>
          <w:tcPr>
            <w:tcW w:w="3360" w:type="dxa"/>
            <w:vAlign w:val="center"/>
          </w:tcPr>
          <w:p w:rsidR="007B796D" w:rsidRDefault="00F82A2F">
            <w:r>
              <w:rPr>
                <w:sz w:val="18"/>
              </w:rPr>
              <w:t>4G</w:t>
            </w:r>
          </w:p>
        </w:tc>
        <w:tc>
          <w:tcPr>
            <w:tcW w:w="3360" w:type="dxa"/>
            <w:vAlign w:val="center"/>
          </w:tcPr>
          <w:p w:rsidR="007B796D" w:rsidRDefault="00F82A2F">
            <w:r>
              <w:rPr>
                <w:sz w:val="18"/>
              </w:rPr>
              <w:t>LTE; OFDMA and MIMO</w:t>
            </w:r>
          </w:p>
        </w:tc>
        <w:tc>
          <w:tcPr>
            <w:tcW w:w="3360" w:type="dxa"/>
            <w:vAlign w:val="center"/>
          </w:tcPr>
          <w:p w:rsidR="007B796D" w:rsidRDefault="00F82A2F">
            <w:r>
              <w:rPr>
                <w:sz w:val="18"/>
              </w:rPr>
              <w:t xml:space="preserve">Supports high-throughput mobile </w:t>
            </w:r>
            <w:r>
              <w:rPr>
                <w:sz w:val="18"/>
              </w:rPr>
              <w:t>broadband. OFDMA schedules users across time/frequency resources, while MIMO improves spectral efficiency and link performance.</w:t>
            </w:r>
          </w:p>
        </w:tc>
      </w:tr>
      <w:tr w:rsidR="007B796D">
        <w:trPr>
          <w:jc w:val="center"/>
        </w:trPr>
        <w:tc>
          <w:tcPr>
            <w:tcW w:w="3360" w:type="dxa"/>
            <w:vAlign w:val="center"/>
          </w:tcPr>
          <w:p w:rsidR="007B796D" w:rsidRDefault="00F82A2F">
            <w:r>
              <w:rPr>
                <w:sz w:val="18"/>
              </w:rPr>
              <w:t>5G</w:t>
            </w:r>
          </w:p>
        </w:tc>
        <w:tc>
          <w:tcPr>
            <w:tcW w:w="3360" w:type="dxa"/>
            <w:vAlign w:val="center"/>
          </w:tcPr>
          <w:p w:rsidR="007B796D" w:rsidRDefault="00F82A2F">
            <w:r>
              <w:rPr>
                <w:sz w:val="18"/>
              </w:rPr>
              <w:t>NR; eMBB, URLLC, massive IoT; mid-band and mmWave; beamforming</w:t>
            </w:r>
          </w:p>
        </w:tc>
        <w:tc>
          <w:tcPr>
            <w:tcW w:w="3360" w:type="dxa"/>
            <w:vAlign w:val="center"/>
          </w:tcPr>
          <w:p w:rsidR="007B796D" w:rsidRDefault="00F82A2F">
            <w:r>
              <w:rPr>
                <w:sz w:val="18"/>
              </w:rPr>
              <w:t>Supports enhanced broadband, low-latency/high-reliability ser</w:t>
            </w:r>
            <w:r>
              <w:rPr>
                <w:sz w:val="18"/>
              </w:rPr>
              <w:t>vices and large-scale IoT. Dense deployments and higher-frequency links make beam management and coverage planning important.</w:t>
            </w:r>
          </w:p>
        </w:tc>
      </w:tr>
      <w:tr w:rsidR="007B796D">
        <w:trPr>
          <w:jc w:val="center"/>
        </w:trPr>
        <w:tc>
          <w:tcPr>
            <w:tcW w:w="3360" w:type="dxa"/>
            <w:vAlign w:val="center"/>
          </w:tcPr>
          <w:p w:rsidR="007B796D" w:rsidRDefault="00F82A2F">
            <w:r>
              <w:rPr>
                <w:sz w:val="18"/>
              </w:rPr>
              <w:t>6G vision</w:t>
            </w:r>
          </w:p>
        </w:tc>
        <w:tc>
          <w:tcPr>
            <w:tcW w:w="3360" w:type="dxa"/>
            <w:vAlign w:val="center"/>
          </w:tcPr>
          <w:p w:rsidR="007B796D" w:rsidRDefault="00F82A2F">
            <w:r>
              <w:rPr>
                <w:sz w:val="18"/>
              </w:rPr>
              <w:t>THz, AI-native networking, holographic communication, tactile internet and ISAC</w:t>
            </w:r>
          </w:p>
        </w:tc>
        <w:tc>
          <w:tcPr>
            <w:tcW w:w="3360" w:type="dxa"/>
            <w:vAlign w:val="center"/>
          </w:tcPr>
          <w:p w:rsidR="007B796D" w:rsidRDefault="00F82A2F">
            <w:r>
              <w:rPr>
                <w:sz w:val="18"/>
              </w:rPr>
              <w:t>A future vision rather than a fully dep</w:t>
            </w:r>
            <w:r>
              <w:rPr>
                <w:sz w:val="18"/>
              </w:rPr>
              <w:t>loyed generation. Very high frequencies and advanced sensing/AI may enable new services, but propagation, hardware, power and standardisation remain challenges.</w:t>
            </w:r>
          </w:p>
        </w:tc>
      </w:tr>
    </w:tbl>
    <w:p w:rsidR="007B796D" w:rsidRDefault="00F82A2F">
      <w:pPr>
        <w:pStyle w:val="Heading2"/>
      </w:pPr>
      <w:r>
        <w:t>2.2 Wavelength and idealised 1G channel count</w:t>
      </w:r>
    </w:p>
    <w:p w:rsidR="007B796D" w:rsidRDefault="00F82A2F">
      <w:r>
        <w:t xml:space="preserve">Wavelength is λ = c/f. At 800 MHz, λ = (3 × 10⁸ </w:t>
      </w:r>
      <w:r>
        <w:t>m/s)/(800 × 10⁶ Hz) = 0.375 m.</w:t>
      </w:r>
    </w:p>
    <w:p w:rsidR="007B796D" w:rsidRDefault="00F82A2F">
      <w:r>
        <w:lastRenderedPageBreak/>
        <w:t>Idealised number of 30 kHz channels in a 10 MHz allocation = 10,000 kHz / 30 kHz = 333.33, so at most 333 whole channel-widths fit arithmetically. This is not a practical usable-channel count: real systems require guard bands</w:t>
      </w:r>
      <w:r>
        <w:t xml:space="preserve"> and channel plans, and AMPS uses paired spectrum for duplex operation. The exact usable count therefore depends on how the 10 MHz allocation is defined and divided.</w:t>
      </w:r>
    </w:p>
    <w:p w:rsidR="007B796D" w:rsidRDefault="00F82A2F">
      <w:r>
        <w:t xml:space="preserve">Overall, mobile systems evolved from analogue voice to digital voice and data, broadband, </w:t>
      </w:r>
      <w:r>
        <w:t>low-latency services and massive connectivity. As capacity increased, efficient spectrum reuse, scheduling, MIMO/beamforming and interference coordination became increasingly important.</w:t>
      </w:r>
    </w:p>
    <w:p w:rsidR="007B796D" w:rsidRDefault="00F82A2F">
      <w:pPr>
        <w:pStyle w:val="Heading1"/>
      </w:pPr>
      <w:r>
        <w:t>3. Stage 2 – Cell Coverage and Frequency Reuse</w:t>
      </w:r>
    </w:p>
    <w:p w:rsidR="007B796D" w:rsidRDefault="00F82A2F">
      <w:r>
        <w:t>For a regular hexagonal</w:t>
      </w:r>
      <w:r>
        <w:t xml:space="preserve"> cell with radius r measured from its centre to a vertex, area A = (3√3/2)r².</w:t>
      </w:r>
    </w:p>
    <w:p w:rsidR="007B796D" w:rsidRDefault="00F82A2F">
      <w:r>
        <w:t>Acell = (3√3/2)(2 km)² = 10.392 km² (approximately). For a 19-cell planning cluster, Acluster = 19 × 10.392 = 197.45 km².</w:t>
      </w:r>
    </w:p>
    <w:p w:rsidR="007B796D" w:rsidRDefault="00F82A2F">
      <w:r>
        <w:t xml:space="preserve">Frequency reuse fraction = 1/N = 1/7 = 0.1429, or about </w:t>
      </w:r>
      <w:r>
        <w:t>14.29% of the total available frequency set assigned to each cell in a reuse-7 pattern. Reuse distance: D = r√(3N) = 2√(21) = 9.17 km.</w:t>
      </w:r>
    </w:p>
    <w:p w:rsidR="007B796D" w:rsidRDefault="00F82A2F">
      <w:r>
        <w:t xml:space="preserve">The hexagonal model assumes uniform terrain, regular cell spacing and idealised boundaries. Real radio coverage is not </w:t>
      </w:r>
      <w:r>
        <w:t>guaranteed by geometric area: buildings, terrain, foliage, antenna patterns, fading, load and interference can create holes or overlap. A drive test and radio-propagation model are needed to validate coverage.</w:t>
      </w:r>
    </w:p>
    <w:p w:rsidR="007B796D" w:rsidRDefault="00F82A2F">
      <w:r>
        <w:t>Capacity-expansion options: cell splitting add</w:t>
      </w:r>
      <w:r>
        <w:t>s smaller cells and reuses spectrum more often; sectoring uses directional antennas to reduce the number of interferers seen by each sector; microcells serve smaller outdoor areas; picocells improve indoor or hotspot coverage; femtocells provide very local</w:t>
      </w:r>
      <w:r>
        <w:t xml:space="preserve"> indoor service. A suitable first step is sectoring and targeted small-cell deployment in verified busy hotspots, followed by cell splitting where demand remains high. These measures increase spatial reuse, but poorly coordinated deployments can increase i</w:t>
      </w:r>
      <w:r>
        <w:t>nterference; smaller cells also increase handoff frequency.</w:t>
      </w:r>
    </w:p>
    <w:p w:rsidR="007B796D" w:rsidRDefault="00F82A2F">
      <w:pPr>
        <w:pStyle w:val="Heading1"/>
      </w:pPr>
      <w:r>
        <w:t>4. Stage 3 – Traffic and Channel Capacity</w:t>
      </w:r>
    </w:p>
    <w:p w:rsidR="007B796D" w:rsidRDefault="00F82A2F">
      <w:r>
        <w:t>Offered busy-hour traffic: A = number of subscribers × traffic per subscriber = 1,000 × 0.08 = 80 Erlangs.</w:t>
      </w:r>
    </w:p>
    <w:p w:rsidR="007B796D" w:rsidRDefault="00F82A2F">
      <w:r>
        <w:t>Erlang B is calculated recursively using B(0,A)</w:t>
      </w:r>
      <w:r>
        <w:t xml:space="preserve"> = 1 and B(n,A) = [A × B(n−1,A)]/[n + A × B(n−1,A)], where A = 80 Erlangs and n is the number of channels.</w:t>
      </w:r>
    </w:p>
    <w:p w:rsidR="007B796D" w:rsidRDefault="00F82A2F">
      <w:r>
        <w:t>With 100 channels, Erlang B blocking probability is approximately 0.399%, which meets the 2% target. Checking smaller channel counts, 91 channels giv</w:t>
      </w:r>
      <w:r>
        <w:t>es 2.254% and 92 channels gives 1.922%. Therefore, the smallest channel count meeting the target is 92.</w:t>
      </w:r>
    </w:p>
    <w:p w:rsidR="007B796D" w:rsidRDefault="00F82A2F">
      <w:r>
        <w:t>At least one 100-channel base-station channel group is sufficient in this simplified pooled calculation, because 92 required channels are below 100. The</w:t>
      </w:r>
      <w:r>
        <w:t xml:space="preserve"> 100-channel group has a modelled blocking probability of about 0.399%. This does not mean one physical site will serve the whole region: channel allocation, geographic distribution, frequency reuse, busy-hour variation, sectorisation, control channels and</w:t>
      </w:r>
      <w:r>
        <w:t xml:space="preserve"> per-cell traffic must be considered in a real site plan.</w:t>
      </w:r>
    </w:p>
    <w:p w:rsidR="007B796D" w:rsidRDefault="00F82A2F">
      <w:r>
        <w:t xml:space="preserve">The offered-traffic model assumes the 1,000 subscribers collectively generate an average of 80 Erlangs in the busy hour and that arrivals are approximately random with blocked calls cleared. Adding </w:t>
      </w:r>
      <w:r>
        <w:t>channels reduces blocking but costs spectrum and infrastructure; adding sites can improve spatial capacity but adds backhaul, power, maintenance and interference-management requirements.</w:t>
      </w:r>
    </w:p>
    <w:p w:rsidR="007B796D" w:rsidRDefault="00F82A2F">
      <w:pPr>
        <w:pStyle w:val="Heading1"/>
      </w:pPr>
      <w:r>
        <w:lastRenderedPageBreak/>
        <w:t>5. Stage 4 – Mobility and Handoff</w:t>
      </w:r>
    </w:p>
    <w:p w:rsidR="007B796D" w:rsidRDefault="00F82A2F">
      <w:r>
        <w:t>Speed = 60 km/h = 16.67 m/s. Distan</w:t>
      </w:r>
      <w:r>
        <w:t>ce travelled during a 6 s overlap = 16.67 × 6 ≈ 100 m.</w:t>
      </w:r>
    </w:p>
    <w:p w:rsidR="007B796D" w:rsidRDefault="00F82A2F">
      <w:r>
        <w:t>At 60 km/h, the user travels 1 km per minute. If the nominal 1 km route cell length is the distance between successive cell crossings, the estimate is approximately 1 hard handoff per minute, or 60 per</w:t>
      </w:r>
      <w:r>
        <w:t xml:space="preserve"> hour. Actual handoff frequency depends on cell geometry, route direction, overlap, signal thresholds and network layout.</w:t>
      </w:r>
    </w:p>
    <w:p w:rsidR="007B796D" w:rsidRDefault="00F82A2F">
      <w:r>
        <w:t>Hard handoff uses break-before-make: the old link is released before the new one is fully established, which can interrupt service but</w:t>
      </w:r>
      <w:r>
        <w:t xml:space="preserve"> generally uses fewer simultaneous radio resources. Soft handoff maintains links to multiple base stations during transition, improving continuity but consuming additional radio/network resources; it is associated particularly with CDMA systems. Softer han</w:t>
      </w:r>
      <w:r>
        <w:t>doff is between sectors of the same base station and can also improve continuity while requiring extra resources within that site.</w:t>
      </w:r>
    </w:p>
    <w:p w:rsidR="007B796D" w:rsidRDefault="00F82A2F">
      <w:r>
        <w:t>A simple estimate of drop risk for one handoff is 1% if the only failure event considered is that the target cell is unavaila</w:t>
      </w:r>
      <w:r>
        <w:t>ble at the handoff instant. The 0.5 s interruption is 0.5/6 = 8.33% of the 6 s overlap interval, but this ratio is not itself a call-drop probability. A more realistic estimate needs handoff success statistics, radio-link timers, signal levels, load, and w</w:t>
      </w:r>
      <w:r>
        <w:t>hether interruption exceeds the service tolerance.</w:t>
      </w:r>
    </w:p>
    <w:p w:rsidR="007B796D" w:rsidRDefault="00F82A2F">
      <w:pPr>
        <w:pStyle w:val="Heading1"/>
      </w:pPr>
      <w:r>
        <w:t>6. Stage 5 – Interference and Spectrum Bands</w:t>
      </w:r>
    </w:p>
    <w:p w:rsidR="007B796D" w:rsidRDefault="00F82A2F">
      <w:pPr>
        <w:pStyle w:val="Heading2"/>
      </w:pPr>
      <w:r>
        <w:t>6.1 Carrier-to-interference ratio and SINR</w:t>
      </w:r>
    </w:p>
    <w:p w:rsidR="007B796D" w:rsidRDefault="00F82A2F">
      <w:r>
        <w:t>Using only the co-channel interferer: C/I = S − I₁ = (−70) − (−85) = 15 dB.</w:t>
      </w:r>
    </w:p>
    <w:p w:rsidR="007B796D" w:rsidRDefault="00F82A2F">
      <w:r>
        <w:t xml:space="preserve">To add interference powers, convert from </w:t>
      </w:r>
      <w:r>
        <w:t>dBm to linear power. Relative to 1 mW: I₁ = 10^(−85/10) mW and I₂ = 10^(−90/10) mW. Total interference Itotal = 10 log₁₀(10^(−85/10) + 10^(−90/10)) = −83.81 dBm.</w:t>
      </w:r>
    </w:p>
    <w:p w:rsidR="007B796D" w:rsidRDefault="00F82A2F">
      <w:r>
        <w:t>SINR = S − Itotal = (−70) − (−83.81) = 13.81 dB. The target is 15 dB, so the target is not met</w:t>
      </w:r>
      <w:r>
        <w:t>; the result is about 1.19 dB below the target. This calculation excludes thermal noise because no noise level was supplied.</w:t>
      </w:r>
    </w:p>
    <w:p w:rsidR="007B796D" w:rsidRDefault="00F82A2F">
      <w:r>
        <w:t>A suitable mitigation is to improve antenna sectorisation/tilt and coordinate reuse or transmit power to reduce the dominant interf</w:t>
      </w:r>
      <w:r>
        <w:t>erence. Beamforming can also direct energy toward the intended user. The trade-off is added optimisation complexity and the possibility of reduced coverage or weaker service at cell edges if power or beam directions are too restrictive.</w:t>
      </w:r>
    </w:p>
    <w:p w:rsidR="007B796D" w:rsidRDefault="00F82A2F">
      <w:pPr>
        <w:pStyle w:val="Heading2"/>
      </w:pPr>
      <w:r>
        <w:t xml:space="preserve">6.2 Frequency-band </w:t>
      </w:r>
      <w:r>
        <w:t>comparison at 100 m</w:t>
      </w:r>
    </w:p>
    <w:tbl>
      <w:tblPr>
        <w:tblStyle w:val="TableGrid"/>
        <w:tblW w:w="0" w:type="auto"/>
        <w:jc w:val="center"/>
        <w:tblLook w:val="04A0" w:firstRow="1" w:lastRow="0" w:firstColumn="1" w:lastColumn="0" w:noHBand="0" w:noVBand="1"/>
      </w:tblPr>
      <w:tblGrid>
        <w:gridCol w:w="2520"/>
        <w:gridCol w:w="2520"/>
        <w:gridCol w:w="2520"/>
        <w:gridCol w:w="2520"/>
      </w:tblGrid>
      <w:tr w:rsidR="007B796D">
        <w:trPr>
          <w:jc w:val="center"/>
        </w:trPr>
        <w:tc>
          <w:tcPr>
            <w:tcW w:w="2520" w:type="dxa"/>
          </w:tcPr>
          <w:p w:rsidR="007B796D" w:rsidRDefault="00F82A2F">
            <w:r>
              <w:rPr>
                <w:sz w:val="19"/>
              </w:rPr>
              <w:t>Band</w:t>
            </w:r>
          </w:p>
        </w:tc>
        <w:tc>
          <w:tcPr>
            <w:tcW w:w="2520" w:type="dxa"/>
          </w:tcPr>
          <w:p w:rsidR="007B796D" w:rsidRDefault="00F82A2F">
            <w:r>
              <w:rPr>
                <w:sz w:val="19"/>
              </w:rPr>
              <w:t>Wavelength λ</w:t>
            </w:r>
          </w:p>
        </w:tc>
        <w:tc>
          <w:tcPr>
            <w:tcW w:w="2520" w:type="dxa"/>
          </w:tcPr>
          <w:p w:rsidR="007B796D" w:rsidRDefault="00F82A2F">
            <w:r>
              <w:rPr>
                <w:sz w:val="19"/>
              </w:rPr>
              <w:t>FSPL at 100 m</w:t>
            </w:r>
          </w:p>
        </w:tc>
        <w:tc>
          <w:tcPr>
            <w:tcW w:w="2520" w:type="dxa"/>
          </w:tcPr>
          <w:p w:rsidR="007B796D" w:rsidRDefault="00F82A2F">
            <w:r>
              <w:rPr>
                <w:sz w:val="19"/>
              </w:rPr>
              <w:t>Difference vs 900 MHz</w:t>
            </w:r>
          </w:p>
        </w:tc>
      </w:tr>
      <w:tr w:rsidR="007B796D">
        <w:trPr>
          <w:jc w:val="center"/>
        </w:trPr>
        <w:tc>
          <w:tcPr>
            <w:tcW w:w="2520" w:type="dxa"/>
          </w:tcPr>
          <w:p w:rsidR="007B796D" w:rsidRDefault="00F82A2F">
            <w:r>
              <w:rPr>
                <w:sz w:val="19"/>
              </w:rPr>
              <w:t>900 MHz</w:t>
            </w:r>
          </w:p>
        </w:tc>
        <w:tc>
          <w:tcPr>
            <w:tcW w:w="2520" w:type="dxa"/>
          </w:tcPr>
          <w:p w:rsidR="007B796D" w:rsidRDefault="00F82A2F">
            <w:r>
              <w:rPr>
                <w:sz w:val="19"/>
              </w:rPr>
              <w:t>0.3333 m</w:t>
            </w:r>
          </w:p>
        </w:tc>
        <w:tc>
          <w:tcPr>
            <w:tcW w:w="2520" w:type="dxa"/>
          </w:tcPr>
          <w:p w:rsidR="007B796D" w:rsidRDefault="00F82A2F">
            <w:r>
              <w:rPr>
                <w:sz w:val="19"/>
              </w:rPr>
              <w:t>71.53 dB</w:t>
            </w:r>
          </w:p>
        </w:tc>
        <w:tc>
          <w:tcPr>
            <w:tcW w:w="2520" w:type="dxa"/>
          </w:tcPr>
          <w:p w:rsidR="007B796D" w:rsidRDefault="00F82A2F">
            <w:r>
              <w:rPr>
                <w:sz w:val="19"/>
              </w:rPr>
              <w:t>0.00 dB</w:t>
            </w:r>
          </w:p>
        </w:tc>
      </w:tr>
      <w:tr w:rsidR="007B796D">
        <w:trPr>
          <w:jc w:val="center"/>
        </w:trPr>
        <w:tc>
          <w:tcPr>
            <w:tcW w:w="2520" w:type="dxa"/>
          </w:tcPr>
          <w:p w:rsidR="007B796D" w:rsidRDefault="00F82A2F">
            <w:r>
              <w:rPr>
                <w:sz w:val="19"/>
              </w:rPr>
              <w:t>3.5 GHz</w:t>
            </w:r>
          </w:p>
        </w:tc>
        <w:tc>
          <w:tcPr>
            <w:tcW w:w="2520" w:type="dxa"/>
          </w:tcPr>
          <w:p w:rsidR="007B796D" w:rsidRDefault="00F82A2F">
            <w:r>
              <w:rPr>
                <w:sz w:val="19"/>
              </w:rPr>
              <w:t>0.0857 m</w:t>
            </w:r>
          </w:p>
        </w:tc>
        <w:tc>
          <w:tcPr>
            <w:tcW w:w="2520" w:type="dxa"/>
          </w:tcPr>
          <w:p w:rsidR="007B796D" w:rsidRDefault="00F82A2F">
            <w:r>
              <w:rPr>
                <w:sz w:val="19"/>
              </w:rPr>
              <w:t>83.32 dB</w:t>
            </w:r>
          </w:p>
        </w:tc>
        <w:tc>
          <w:tcPr>
            <w:tcW w:w="2520" w:type="dxa"/>
          </w:tcPr>
          <w:p w:rsidR="007B796D" w:rsidRDefault="00F82A2F">
            <w:r>
              <w:rPr>
                <w:sz w:val="19"/>
              </w:rPr>
              <w:t>11.80 dB</w:t>
            </w:r>
          </w:p>
        </w:tc>
      </w:tr>
      <w:tr w:rsidR="007B796D">
        <w:trPr>
          <w:jc w:val="center"/>
        </w:trPr>
        <w:tc>
          <w:tcPr>
            <w:tcW w:w="2520" w:type="dxa"/>
          </w:tcPr>
          <w:p w:rsidR="007B796D" w:rsidRDefault="00F82A2F">
            <w:r>
              <w:rPr>
                <w:sz w:val="19"/>
              </w:rPr>
              <w:t>28 GHz</w:t>
            </w:r>
          </w:p>
        </w:tc>
        <w:tc>
          <w:tcPr>
            <w:tcW w:w="2520" w:type="dxa"/>
          </w:tcPr>
          <w:p w:rsidR="007B796D" w:rsidRDefault="00F82A2F">
            <w:r>
              <w:rPr>
                <w:sz w:val="19"/>
              </w:rPr>
              <w:t>0.0107 m</w:t>
            </w:r>
          </w:p>
        </w:tc>
        <w:tc>
          <w:tcPr>
            <w:tcW w:w="2520" w:type="dxa"/>
          </w:tcPr>
          <w:p w:rsidR="007B796D" w:rsidRDefault="00F82A2F">
            <w:r>
              <w:rPr>
                <w:sz w:val="19"/>
              </w:rPr>
              <w:t>101.38 dB</w:t>
            </w:r>
          </w:p>
        </w:tc>
        <w:tc>
          <w:tcPr>
            <w:tcW w:w="2520" w:type="dxa"/>
          </w:tcPr>
          <w:p w:rsidR="007B796D" w:rsidRDefault="00F82A2F">
            <w:r>
              <w:rPr>
                <w:sz w:val="19"/>
              </w:rPr>
              <w:t>29.86 dB</w:t>
            </w:r>
          </w:p>
        </w:tc>
      </w:tr>
    </w:tbl>
    <w:p w:rsidR="007B796D" w:rsidRDefault="00F82A2F">
      <w:r>
        <w:t xml:space="preserve">The free-space path-loss model is FSPL = 20 log₁₀(4πd/λ), with d = 100 m. </w:t>
      </w:r>
      <w:r>
        <w:t>Results are 71.53 dB at 900 MHz, 83.32 dB at 3.5 GHz and 101.38 dB at 28 GHz. Relative to 900 MHz, the losses increase by 11.80 dB and 29.86 dB, respectively.</w:t>
      </w:r>
    </w:p>
    <w:p w:rsidR="007B796D" w:rsidRDefault="00F82A2F">
      <w:r>
        <w:t>At 900 MHz, the longer wavelength generally provides better diffraction and building penetration,</w:t>
      </w:r>
      <w:r>
        <w:t xml:space="preserve"> supporting wider-area coverage, although antenna elements tend to be larger. At 3.5 GHz, antennas can be smaller and more bandwidth may be available, making it useful for a balance of coverage and capacity. At 28 GHz, very small wavelengths allow compact </w:t>
      </w:r>
      <w:r>
        <w:t>arrays with many elements and highly directional beamforming, but blockage and penetration losses are usually more severe and dense sites may be required. Higher free-space path loss alone does not determine performance: bandwidth, antenna gain, array gain</w:t>
      </w:r>
      <w:r>
        <w:t>, transmit power, receiver sensitivity, blockage, deployment density and interference also matter.</w:t>
      </w:r>
    </w:p>
    <w:p w:rsidR="007B796D" w:rsidRDefault="00F82A2F">
      <w:pPr>
        <w:pStyle w:val="Heading1"/>
      </w:pPr>
      <w:r>
        <w:lastRenderedPageBreak/>
        <w:t>7. Stage 6 – Spectrum Coordination and Deployment Recommendation</w:t>
      </w:r>
    </w:p>
    <w:p w:rsidR="007B796D" w:rsidRDefault="00F82A2F">
      <w:r>
        <w:t xml:space="preserve">ITU-R is the International Telecommunication Union’s Radiocommunication Sector; it develops </w:t>
      </w:r>
      <w:r>
        <w:t>technical studies, recommendations and procedures supporting global radio-frequency use. The World Radiocommunication Conference (WRC) is the international conference that reviews and, where agreed, revises the Radio Regulations, including international fr</w:t>
      </w:r>
      <w:r>
        <w:t xml:space="preserve">equency allocations and conditions. The Radiocommunication Bureau (BR) supports the process, processes frequency assignments/notifications, maintains relevant international records and helps apply the Radio Regulations. International coordination provides </w:t>
      </w:r>
      <w:r>
        <w:t>a framework for national regulators to allocate compatible bands and for operators to avoid harmful cross-border interference; national licensing and implementation decisions remain with the relevant regulator.</w:t>
      </w:r>
    </w:p>
    <w:p w:rsidR="007B796D" w:rsidRDefault="00F82A2F">
      <w:pPr>
        <w:pStyle w:val="Heading1"/>
      </w:pPr>
      <w:r>
        <w:t xml:space="preserve">8. Integrated Recommendation: Phased Network </w:t>
      </w:r>
      <w:r>
        <w:t>Plan</w:t>
      </w:r>
    </w:p>
    <w:p w:rsidR="007B796D" w:rsidRDefault="00F82A2F">
      <w:r>
        <w:t xml:space="preserve">Phase 1 – Establish the baseline. Use 900 MHz for broad-area coverage and indoor reach where the band is available and licensed. Validate the idealised hexagonal plan with propagation modelling, drive tests and busy-hour measurements. The model gives </w:t>
      </w:r>
      <w:r>
        <w:t>10.392 km² per cell, 197.45 km² for the 19-cell cluster, and a reuse distance of about 9.17 km for N = 7.</w:t>
      </w:r>
    </w:p>
    <w:p w:rsidR="007B796D" w:rsidRDefault="00F82A2F">
      <w:r>
        <w:t>Phase 2 – Relieve congestion. The planning-area demand is 80 Erlangs. Erlang B indicates 92 channels are the minimum for a 2% blocking target under th</w:t>
      </w:r>
      <w:r>
        <w:t>e pooled-traffic assumptions; 100 channels give approximately 0.399% blocking. Confirm whether channels are actually poolable and distribute capacity by cell/sector demand. Apply sectoring, carrier/resource optimisation and targeted micro/picocells at hots</w:t>
      </w:r>
      <w:r>
        <w:t>pots. Monitor the cost of more sites and the resulting increase in handoffs.</w:t>
      </w:r>
    </w:p>
    <w:p w:rsidR="007B796D" w:rsidRDefault="00F82A2F">
      <w:r>
        <w:t>Phase 3 – Improve mobility and interference. Use handoff parameter tuning, adequate overlap and route testing. The user travels about 100 m during the 6 s overlap and, under the s</w:t>
      </w:r>
      <w:r>
        <w:t>tated route-length interpretation, crosses about one cell boundary per minute. The co-channel-only C/I is 15 dB, but the combined interference case gives SINR ≈ 13.81 dB, below the 15 dB target. Prioritise interference measurement, antenna optimisation, re</w:t>
      </w:r>
      <w:r>
        <w:t>use coordination and, where supported, beamforming.</w:t>
      </w:r>
    </w:p>
    <w:p w:rsidR="007B796D" w:rsidRDefault="00F82A2F">
      <w:r>
        <w:t xml:space="preserve">Phase 4 – Add capacity with higher bands. Deploy 3.5 GHz where additional bandwidth and mid-band capacity are needed, while retaining lower-band coverage. Use 28 GHz selectively for dense hotspots or </w:t>
      </w:r>
      <w:r>
        <w:t>line-of-sight capacity where site density, beam alignment and blockage mitigation are feasible. Do not select a band from FSPL alone; verify end-to-end link budgets and real propagation.</w:t>
      </w:r>
    </w:p>
    <w:p w:rsidR="007B796D" w:rsidRDefault="00F82A2F">
      <w:r>
        <w:t xml:space="preserve">Phase 5 – Prepare for future evolution. Track 5G NR capabilities and </w:t>
      </w:r>
      <w:r>
        <w:t>standards developments toward the 6G vision, but avoid basing current investment on unstandardised assumptions about THz or holographic services. Use measured demand, spectrum availability, equipment maturity, energy use and total cost of ownership to trig</w:t>
      </w:r>
      <w:r>
        <w:t>ger each phase.</w:t>
      </w:r>
    </w:p>
    <w:p w:rsidR="003118E2" w:rsidRDefault="00F82A2F">
      <w:r>
        <w:t>Before implementation, verify the meaning of the 10 MHz 1G allocation and duplex arrangement, the actual channel plan and spectrum licences, spatial distribution of subscribers, busy-hour traffic variation, cell-specific Erlang B requiremen</w:t>
      </w:r>
      <w:r>
        <w:t>ts, terrain/building losses, antenna patterns, thermal noise and receiver performance, interference from all relevant sources, handoff success statistics, backhaul capacity and the availability of suitable equipment. The recommendation is therefore staged:</w:t>
      </w:r>
      <w:r>
        <w:t xml:space="preserve"> preserve wide-area coverage, add targeted capacity based on measured demand, correct the identified interference shortfall, and use higher-frequency bands where their capacity advantages outweigh propagation constraints.</w:t>
      </w:r>
    </w:p>
    <w:p w:rsidR="003118E2" w:rsidRDefault="003118E2">
      <w:r>
        <w:br w:type="page"/>
      </w:r>
    </w:p>
    <w:p w:rsidR="007B796D" w:rsidRDefault="007B796D">
      <w:bookmarkStart w:id="0" w:name="_GoBack"/>
      <w:bookmarkEnd w:id="0"/>
    </w:p>
    <w:p w:rsidR="007B796D" w:rsidRDefault="00F82A2F">
      <w:pPr>
        <w:pStyle w:val="Heading1"/>
      </w:pPr>
      <w:r>
        <w:t>9. Conclusion</w:t>
      </w:r>
    </w:p>
    <w:p w:rsidR="007B796D" w:rsidRDefault="00F82A2F">
      <w:r>
        <w:t>The calculations sho</w:t>
      </w:r>
      <w:r>
        <w:t>w that network planning must balance coverage, capacity, mobility and interference rather than optimise any one factor in isolation. The idealised geometry and reuse calculations provide a starting layout, while Erlang B indicates the minimum pooled channe</w:t>
      </w:r>
      <w:r>
        <w:t>l requirement. Mobility estimates show that handoff performance matters on the stated route, and the combined interference case misses the required SINR by about 1.19 dB. A phased strategy using lower-band coverage, targeted capacity expansion, interferenc</w:t>
      </w:r>
      <w:r>
        <w:t>e optimisation and selective mid-band/mmWave deployment is the most defensible approach, subject to field measurements and regulatory constraints.</w:t>
      </w:r>
    </w:p>
    <w:p w:rsidR="007B796D" w:rsidRDefault="00F82A2F">
      <w:pPr>
        <w:pStyle w:val="Heading1"/>
      </w:pPr>
      <w:r>
        <w:t>References</w:t>
      </w:r>
    </w:p>
    <w:p w:rsidR="007B796D" w:rsidRDefault="00F82A2F">
      <w:r>
        <w:t>1. ECA56 Advanced Wireless Communication Systems, CO1 Integrated Engineering Analysis and Planning</w:t>
      </w:r>
      <w:r>
        <w:t xml:space="preserve"> Assignment, supplied planning data and task statements.</w:t>
      </w:r>
    </w:p>
    <w:p w:rsidR="007B796D" w:rsidRDefault="00F82A2F">
      <w:r>
        <w:t>2. ITU Radiocommunication Sector (ITU-R), general role and Radio Regulations framework. Consult current official ITU-R and WRC materials when preparing a final submission with external citations.</w:t>
      </w:r>
    </w:p>
    <w:sectPr w:rsidR="007B796D"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2A2F" w:rsidRDefault="00F82A2F">
      <w:pPr>
        <w:spacing w:after="0" w:line="240" w:lineRule="auto"/>
      </w:pPr>
      <w:r>
        <w:separator/>
      </w:r>
    </w:p>
  </w:endnote>
  <w:endnote w:type="continuationSeparator" w:id="0">
    <w:p w:rsidR="00F82A2F" w:rsidRDefault="00F82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796D" w:rsidRDefault="00F82A2F">
    <w:pPr>
      <w:pStyle w:val="Footer"/>
      <w:jc w:val="center"/>
    </w:pPr>
    <w:r>
      <w:t xml:space="preserve">ECA56 CO1 Assignment Answers  |  Page </w:t>
    </w:r>
    <w:r>
      <w:fldChar w:fldCharType="begin"/>
    </w:r>
    <w:r>
      <w:instrText>PAGE</w:instrText>
    </w:r>
    <w:r>
      <w:fldChar w:fldCharType="separate"/>
    </w:r>
    <w:r w:rsidR="003118E2">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2A2F" w:rsidRDefault="00F82A2F">
      <w:pPr>
        <w:spacing w:after="0" w:line="240" w:lineRule="auto"/>
      </w:pPr>
      <w:r>
        <w:separator/>
      </w:r>
    </w:p>
  </w:footnote>
  <w:footnote w:type="continuationSeparator" w:id="0">
    <w:p w:rsidR="00F82A2F" w:rsidRDefault="00F82A2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118E2"/>
    <w:rsid w:val="00326F90"/>
    <w:rsid w:val="007B796D"/>
    <w:rsid w:val="00AA1D8D"/>
    <w:rsid w:val="00B47730"/>
    <w:rsid w:val="00CB0664"/>
    <w:rsid w:val="00F82A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7D7868D-D78C-444B-83D0-504C0B6FA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605FC4-C97B-45DD-A293-57915A82B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2168</Words>
  <Characters>12358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14498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2026-10-28T04:02:00Z</dcterms:created>
  <dcterms:modified xsi:type="dcterms:W3CDTF">2026-10-28T04:02:00Z</dcterms:modified>
  <cp:category/>
</cp:coreProperties>
</file>