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2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360" w:lineRule="auto"/>
        <w:rPr/>
      </w:pPr>
      <w:r w:rsidDel="00000000" w:rsidR="00000000" w:rsidRPr="00000000">
        <w:rPr>
          <w:rtl w:val="0"/>
        </w:rPr>
        <w:t xml:space="preserve">Literature Review &amp; Research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Graph Neural Networks for Digital Banking: Anomaly Detection, Fraud Prevention, and Risk Analytics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BCSE355L – Cloud Architecture Design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Phase-I Report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Course Instructor:</w:t>
      </w:r>
      <w:r w:rsidDel="00000000" w:rsidR="00000000" w:rsidRPr="00000000">
        <w:rPr>
          <w:rtl w:val="0"/>
        </w:rPr>
        <w:t xml:space="preserve"> Dr. Priya V | </w:t>
      </w:r>
      <w:r w:rsidDel="00000000" w:rsidR="00000000" w:rsidRPr="00000000">
        <w:rPr>
          <w:b w:val="1"/>
          <w:bCs w:val="1"/>
          <w:rtl w:val="0"/>
        </w:rPr>
        <w:t xml:space="preserve">Team of 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Submission Date:</w:t>
      </w:r>
      <w:r w:rsidDel="00000000" w:rsidR="00000000" w:rsidRPr="00000000">
        <w:rPr>
          <w:rtl w:val="0"/>
        </w:rPr>
        <w:t xml:space="preserve"> 31 July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Document scope:</w:t>
      </w:r>
      <w:r w:rsidDel="00000000" w:rsidR="00000000" w:rsidRPr="00000000">
        <w:rPr>
          <w:rtl w:val="0"/>
        </w:rPr>
        <w:t xml:space="preserve"> Analysis of five research articles selected as the foundational literature base for the Phase-I proposal.</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This report analyses five recent research articles selected to ground the proposed system — an explainable, graph neural network (GNN)-based cloud performance and transaction analytics platform for digital banking. The core technical pillars of the project — graph-based structural modeling, low-latency processing, explainable AI (XAI), and cloud/financial-system performance monitoring — are each represented across the selected literature. For each paper, this report summarizes the objective, methodology, dataset, key quantitative findings, and limitations, followed by a comparative analysis and a synthesis of research gaps that motivate the project's proposed design.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Review Methodology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Candidate articles were identified through targeted searches across academic repositories (IEEE Xplore, ScienceDirect, ResearchGate, and ICLR) using combinations of the keywords “graph neural network,” “digital banking,” “financial anomaly detection,” “explainable AI / XAI,” “low-latency cloud,” and “fraud detection.” Selection prioritized: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Recency:</w:t>
      </w:r>
      <w:r w:rsidDel="00000000" w:rsidR="00000000" w:rsidRPr="00000000">
        <w:rPr>
          <w:rtl w:val="0"/>
        </w:rPr>
        <w:t xml:space="preserve"> 2025–2026 publications.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Empirical Rigor:</w:t>
      </w:r>
      <w:r w:rsidDel="00000000" w:rsidR="00000000" w:rsidRPr="00000000">
        <w:rPr>
          <w:rtl w:val="0"/>
        </w:rPr>
        <w:t xml:space="preserve"> Papers reporting quantitative evaluation on real or large-scale transactional datasets.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b w:val="1"/>
          <w:bCs w:val="1"/>
          <w:rtl w:val="0"/>
        </w:rPr>
        <w:t xml:space="preserve">Direct Relevance:</w:t>
      </w:r>
      <w:r w:rsidDel="00000000" w:rsidR="00000000" w:rsidRPr="00000000">
        <w:rPr>
          <w:rtl w:val="0"/>
        </w:rPr>
        <w:t xml:space="preserve"> Direct alignment with at least two of the project's key technical pillars (GNNs, explainability, digital banking, cloud architecture).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3. Individual Paper Analysis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Real-Time Financial Fraud Detection Using Adaptive Graph Neural Networks and Federated Learning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Reference:</w:t>
      </w:r>
      <w:r w:rsidDel="00000000" w:rsidR="00000000" w:rsidRPr="00000000">
        <w:rPr>
          <w:rtl w:val="0"/>
        </w:rPr>
        <w:t xml:space="preserve"> Dağ, A., Sahin, S., &amp; Karaköse, M. (2025). Real-Time Financial Fraud Detection Using Adaptive Graph Neural Networks and Federated Learning. </w:t>
      </w:r>
      <w:r w:rsidDel="00000000" w:rsidR="00000000" w:rsidRPr="00000000">
        <w:rPr>
          <w:i w:val="1"/>
          <w:iCs w:val="1"/>
          <w:rtl w:val="0"/>
        </w:rPr>
        <w:t xml:space="preserve">International Journal of Management and Data Analytics</w:t>
      </w:r>
      <w:r w:rsidDel="00000000" w:rsidR="00000000" w:rsidRPr="00000000">
        <w:rPr>
          <w:rtl w:val="0"/>
        </w:rPr>
        <w:t xml:space="preserve">, 5(1), 98–110.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Objective:</w:t>
      </w:r>
      <w:r w:rsidDel="00000000" w:rsidR="00000000" w:rsidRPr="00000000">
        <w:rPr>
          <w:rtl w:val="0"/>
        </w:rPr>
        <w:t xml:space="preserve"> Develop a real-time, privacy-preserving financial fraud detection framework that dynamically adapts to evolving fraud patterns across multiple banking institutions without exposing sensitive customer transaction data.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Methodology:</w:t>
      </w:r>
      <w:r w:rsidDel="00000000" w:rsidR="00000000" w:rsidRPr="00000000">
        <w:rPr>
          <w:rtl w:val="0"/>
        </w:rPr>
        <w:t xml:space="preserve"> Integrates adaptive GNN layers with Federated Learning (FL). The GNN models dynamic structural relationships between accounts, cards, and payment terminals. Local GNN parameters are aggregated globally via FL across bank nodes. Post-hoc Explainable AI (XAI) attributions are embedded into local prediction heads to provide regulatory-compliant decision trails.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Dataset:</w:t>
      </w:r>
      <w:r w:rsidDel="00000000" w:rsidR="00000000" w:rsidRPr="00000000">
        <w:rPr>
          <w:rtl w:val="0"/>
        </w:rPr>
        <w:t xml:space="preserve"> Evaluated on benchmark financial transaction datasets alongside an enterprise multi-bank transactional log dataset (containing over 1.2 million account nodes and temporal edges).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Achieves a 15–30% increase in fraud detection accuracy compared to baseline ML models (Random Forest, XGBoost) and static GNNs.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Reduces false-positive rates by 28.4% across federated banking nodes.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Preserves data privacy guarantees under regulatory constraints (GDPR/PCI-DSS) while maintaining model convergence.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Communication overhead during global FL aggregation rounds increases sync latency in high-throughput cloud environments.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Explanations are computed locally per node and lack global topological context across the entire federated network.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00" w:before="120" w:lineRule="auto"/>
        <w:rPr/>
      </w:pPr>
      <w:r w:rsidDel="00000000" w:rsidR="00000000" w:rsidRPr="00000000">
        <w:rPr>
          <w:b w:val="1"/>
          <w:bCs w:val="1"/>
          <w:rtl w:val="0"/>
        </w:rPr>
        <w:t xml:space="preserve">Relevance to Project:</w:t>
      </w:r>
      <w:r w:rsidDel="00000000" w:rsidR="00000000" w:rsidRPr="00000000">
        <w:rPr>
          <w:rtl w:val="0"/>
        </w:rPr>
        <w:t xml:space="preserve"> Demonstrates how GNNs can be paired with privacy-preserving cloud topologies (Federated Learning) in digital banking, establishing a key baseline for distributed banking cloud architecture.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Combining Graph Neural Networks and Anomaly Detection for Low-Latency Credit Card Fraud Prevention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Reference:</w:t>
      </w:r>
      <w:r w:rsidDel="00000000" w:rsidR="00000000" w:rsidRPr="00000000">
        <w:rPr>
          <w:rtl w:val="0"/>
        </w:rPr>
        <w:t xml:space="preserve"> Albert, N., &amp; Finnegan, A. (2025). Combining Graph Neural Networks and Anomaly Detection for Low-Latency Credit Card Fraud Prevention. </w:t>
      </w:r>
      <w:r w:rsidDel="00000000" w:rsidR="00000000" w:rsidRPr="00000000">
        <w:rPr>
          <w:i w:val="1"/>
          <w:iCs w:val="1"/>
          <w:rtl w:val="0"/>
        </w:rPr>
        <w:t xml:space="preserve">ResearchGate / International Journal of Advanced Signal and Image Processing</w:t>
      </w:r>
      <w:r w:rsidDel="00000000" w:rsidR="00000000" w:rsidRPr="00000000">
        <w:rPr>
          <w:rtl w:val="0"/>
        </w:rPr>
        <w:t xml:space="preserve">, 12(2), 1880–1894.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Objective:</w:t>
      </w:r>
      <w:r w:rsidDel="00000000" w:rsidR="00000000" w:rsidRPr="00000000">
        <w:rPr>
          <w:rtl w:val="0"/>
        </w:rPr>
        <w:t xml:space="preserve"> Design a hybrid dual-component architecture capable of detecting multi-entity fraud schemes while operating within strict real-time payment gateway latency constraints (&lt;50ms).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Methodology:</w:t>
      </w:r>
      <w:r w:rsidDel="00000000" w:rsidR="00000000" w:rsidRPr="00000000">
        <w:rPr>
          <w:rtl w:val="0"/>
        </w:rPr>
        <w:t xml:space="preserve"> Implements a two-path pipeline combining a GNN pathway for structural relational patterns with a statistical anomaly detection pathway. Dynamic weighting balances relational signals with metric deviations. System optimizations include graph pruning, asynchronous feature computation, model quantization (8-bit precision), and hardware GPU acceleration.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Dataset:</w:t>
      </w:r>
      <w:r w:rsidDel="00000000" w:rsidR="00000000" w:rsidRPr="00000000">
        <w:rPr>
          <w:rtl w:val="0"/>
        </w:rPr>
        <w:t xml:space="preserve"> Evaluated on the IEEE-CIS Fraud Detection dataset (~590,000 transactions, 3.5% fraud) and a proprietary bank dataset (~50 million transactions, 0.1% fraud imbalance).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Outperforms Random Forest and XGBoost baselines in ROC-AUC with significant false-positive reduction.</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Reaches sub-50ms inference latency required for live payment processing.</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Generates real-time interpretable explanations highlighting influential neighboring entities and deviating statistical features.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Relies on memory graph pruning, which may drop long-tail temporal dependencies for dormant accounts.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Performance degrades under cold-start conditions for novel user accounts with sparse historical edges.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00" w:before="120" w:lineRule="auto"/>
        <w:rPr/>
      </w:pPr>
      <w:r w:rsidDel="00000000" w:rsidR="00000000" w:rsidRPr="00000000">
        <w:rPr>
          <w:b w:val="1"/>
          <w:bCs w:val="1"/>
          <w:rtl w:val="0"/>
        </w:rPr>
        <w:t xml:space="preserve">Relevance to Project:</w:t>
      </w:r>
      <w:r w:rsidDel="00000000" w:rsidR="00000000" w:rsidRPr="00000000">
        <w:rPr>
          <w:rtl w:val="0"/>
        </w:rPr>
        <w:t xml:space="preserve"> Supplies rigorous quantitative benchmarks for cloud inference latency (&lt;50ms) and proves that GNN relational modeling can be optimized for real-time payment rails.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Explainable Hybrid Graph Neural Networks and Large Language Models for Intelligent Financial Fraud Detection and Risk Analytics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Reference:</w:t>
      </w:r>
      <w:r w:rsidDel="00000000" w:rsidR="00000000" w:rsidRPr="00000000">
        <w:rPr>
          <w:rtl w:val="0"/>
        </w:rPr>
        <w:t xml:space="preserve"> Collins, N., Gabriel, S., Mate, Z., Micheal, J., &amp; Michael, G. (2026). Explainable Hybrid Graph Neural Networks and Large Language Models for Intelligent Financial Fraud Detection and Risk Analytics. </w:t>
      </w:r>
      <w:r w:rsidDel="00000000" w:rsidR="00000000" w:rsidRPr="00000000">
        <w:rPr>
          <w:i w:val="1"/>
          <w:iCs w:val="1"/>
          <w:rtl w:val="0"/>
        </w:rPr>
        <w:t xml:space="preserve">IEEE Conference Proceedings / ResearchGate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Objective:</w:t>
      </w:r>
      <w:r w:rsidDel="00000000" w:rsidR="00000000" w:rsidRPr="00000000">
        <w:rPr>
          <w:rtl w:val="0"/>
        </w:rPr>
        <w:t xml:space="preserve"> Bridge the explainability gap in automated banking compliance by unifying structural GNN transaction embeddings with Large Language Model (LLM) narrative reasoning.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Methodology:</w:t>
      </w:r>
      <w:r w:rsidDel="00000000" w:rsidR="00000000" w:rsidRPr="00000000">
        <w:rPr>
          <w:rtl w:val="0"/>
        </w:rPr>
        <w:t xml:space="preserve"> Combines a heterogeneous GNN (R-GCN) that extracts graph topology embeddings (suspicious clusters, circular transfer rings) with an LLM that processes unstructured text (suspicious activity reports, customer communications). The hybrid framework synthesizes structural and contextual intelligence to generate human-readable audit trails for regulators.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Dataset:</w:t>
      </w:r>
      <w:r w:rsidDel="00000000" w:rsidR="00000000" w:rsidRPr="00000000">
        <w:rPr>
          <w:rtl w:val="0"/>
        </w:rPr>
        <w:t xml:space="preserve"> Proprietary digital banking risk dataset comprising transaction graph clusters paired with unstructured compliance log narratives.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Outperforms single-modality GNN and LLM models on complex, coordinated fraud rings.</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Substantially reduces manual compliance review time per flagged case by automating audit report generation.</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Successfully identifies money laundering patterns invisible to isolated tabular or narrative analysis.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High computational footprint due to LLM inference, requiring specialized cloud GPU clusters.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Real-time deployment is challenging; best suited for asynchronous or batch risk auditing rather than inline payment authorization.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00" w:before="120" w:lineRule="auto"/>
        <w:rPr/>
      </w:pPr>
      <w:r w:rsidDel="00000000" w:rsidR="00000000" w:rsidRPr="00000000">
        <w:rPr>
          <w:b w:val="1"/>
          <w:bCs w:val="1"/>
          <w:rtl w:val="0"/>
        </w:rPr>
        <w:t xml:space="preserve">Relevance to Project:</w:t>
      </w:r>
      <w:r w:rsidDel="00000000" w:rsidR="00000000" w:rsidRPr="00000000">
        <w:rPr>
          <w:rtl w:val="0"/>
        </w:rPr>
        <w:t xml:space="preserve"> Provides an architectural template for combining GNN structural outputs with XAI/LLM layers to fulfill stringent digital banking regulatory and auditing mandates.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ECCFD-GNN: A Novel Risk-Sensitive Graph Neural Network Model for Fraudulent Transaction Detection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Reference:</w:t>
      </w:r>
      <w:r w:rsidDel="00000000" w:rsidR="00000000" w:rsidRPr="00000000">
        <w:rPr>
          <w:rtl w:val="0"/>
        </w:rPr>
        <w:t xml:space="preserve"> Srivastava, S., Gupta, V., Mehndiratta, V., &amp; Rani, S. (2026). ECCFD-GNN: A Novel Risk-Sensitive Graph Neural Network Model for Fraudulent Transaction Detection. </w:t>
      </w:r>
      <w:r w:rsidDel="00000000" w:rsidR="00000000" w:rsidRPr="00000000">
        <w:rPr>
          <w:i w:val="1"/>
          <w:iCs w:val="1"/>
          <w:rtl w:val="0"/>
        </w:rPr>
        <w:t xml:space="preserve">Advances in Sustainable Science Engineering and Technology</w:t>
      </w:r>
      <w:r w:rsidDel="00000000" w:rsidR="00000000" w:rsidRPr="00000000">
        <w:rPr>
          <w:rtl w:val="0"/>
        </w:rPr>
        <w:t xml:space="preserve">, 8(3), 02603032.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Objective:</w:t>
      </w:r>
      <w:r w:rsidDel="00000000" w:rsidR="00000000" w:rsidRPr="00000000">
        <w:rPr>
          <w:rtl w:val="0"/>
        </w:rPr>
        <w:t xml:space="preserve"> Address extreme class imbalance in credit card transaction graphs by introducing a multi-graph structural framework and explicit risk-score integration.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Methodology:</w:t>
      </w:r>
      <w:r w:rsidDel="00000000" w:rsidR="00000000" w:rsidRPr="00000000">
        <w:rPr>
          <w:rtl w:val="0"/>
        </w:rPr>
        <w:t xml:space="preserve"> Introduces ECCFD-GNN, which constructs three distinct graph topologies: KNN graphs, Radius Graphs (grouping transactions by spatio-temporal proximity), and Feature-Correlation Graphs. Incorporates a dynamic "risk score" feature derived from cardholder behavior (amount, time, location) directly into message-passing aggregation.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Dataset:</w:t>
      </w:r>
      <w:r w:rsidDel="00000000" w:rsidR="00000000" w:rsidRPr="00000000">
        <w:rPr>
          <w:rtl w:val="0"/>
        </w:rPr>
        <w:t xml:space="preserve"> Evaluated using graph-aware cross-validation on real-world credit card transaction datasets with severe class imbalance.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Radius and Feature-Correlation graphs effectively capture subtle interdependencies that traditional models miss.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Achieves high precision and recall on extreme minority-class fraud instances.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Ablation confirms that combining feature-correlation structures with risk scoring significantly reduces misclassifications.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Constructing multiple parallel graphs (KNN, Radius, Feature-Correlation) increases memory consumption in large-scale deployments.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Radius threshold parameters require periodic domain tuning.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00" w:before="120" w:lineRule="auto"/>
        <w:rPr/>
      </w:pPr>
      <w:r w:rsidDel="00000000" w:rsidR="00000000" w:rsidRPr="00000000">
        <w:rPr>
          <w:b w:val="1"/>
          <w:bCs w:val="1"/>
          <w:rtl w:val="0"/>
        </w:rPr>
        <w:t xml:space="preserve">Relevance to Project:</w:t>
      </w:r>
      <w:r w:rsidDel="00000000" w:rsidR="00000000" w:rsidRPr="00000000">
        <w:rPr>
          <w:rtl w:val="0"/>
        </w:rPr>
        <w:t xml:space="preserve"> Demonstrates how custom multi-graph topologies and feature-correlation structures can be engineered into GNN architectures to handle extreme class imbalance in digital banking.</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SpaceGNN: Multi-Space Graph Neural Network for Node Anomaly Detection with Extremely Limited Labels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Reference:</w:t>
      </w:r>
      <w:r w:rsidDel="00000000" w:rsidR="00000000" w:rsidRPr="00000000">
        <w:rPr>
          <w:rtl w:val="0"/>
        </w:rPr>
        <w:t xml:space="preserve"> Dong, Y., et al. (2025). SpaceGNN: Multi-Space Graph Neural Network for Node Anomaly Detection with Extremely Limited Labels. </w:t>
      </w:r>
      <w:r w:rsidDel="00000000" w:rsidR="00000000" w:rsidRPr="00000000">
        <w:rPr>
          <w:i w:val="1"/>
          <w:iCs w:val="1"/>
          <w:rtl w:val="0"/>
        </w:rPr>
        <w:t xml:space="preserve">Proceedings of the International Conference on Learning Representations (ICLR)</w:t>
      </w:r>
      <w:r w:rsidDel="00000000" w:rsidR="00000000" w:rsidRPr="00000000">
        <w:rPr>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Objective:</w:t>
      </w:r>
      <w:r w:rsidDel="00000000" w:rsidR="00000000" w:rsidRPr="00000000">
        <w:rPr>
          <w:rtl w:val="0"/>
        </w:rPr>
        <w:t xml:space="preserve"> Detect anomalous nodes in complex transaction and cloud infrastructure networks when labeled fraud data is extremely scarce (&lt;0.1% labeled nodes).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Methodology:</w:t>
      </w:r>
      <w:r w:rsidDel="00000000" w:rsidR="00000000" w:rsidRPr="00000000">
        <w:rPr>
          <w:rtl w:val="0"/>
        </w:rPr>
        <w:t xml:space="preserve"> Constructs a multi-space GNN architecture that projects node relationships simultaneously into Euclidean space (for local attribute similarities) and Hyperbolic space (for hierarchical network structures and power-law distributions). A joint loss function aligns features across spaces to identify anomalous structural outliers with minimal semi-supervised supervision.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Dataset:</w:t>
      </w:r>
      <w:r w:rsidDel="00000000" w:rsidR="00000000" w:rsidRPr="00000000">
        <w:rPr>
          <w:rtl w:val="0"/>
        </w:rPr>
        <w:t xml:space="preserve"> Tested on benchmark graph anomaly datasets, including financial transaction network benchmarks (Elliptic, FinGNN) and cloud topology graphs.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Outperforms standard GCN, GraphSAGE, and GAT baselines by 18.2% AUC-ROC under ultra-low label availability (1–5 labeled anomalies per 10,000 nodes).</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Effectively captures hierarchical money laundering trees and nested cloud infrastructure dependencies via hyperbolic embeddings.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High mathematical complexity and manifold mapping operations increase training time per epoch.</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Requires careful tuning of hyperbolic curvature hyper-parameters.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80" w:before="120" w:lineRule="auto"/>
        <w:rPr/>
      </w:pPr>
      <w:r w:rsidDel="00000000" w:rsidR="00000000" w:rsidRPr="00000000">
        <w:rPr>
          <w:b w:val="1"/>
          <w:bCs w:val="1"/>
          <w:rtl w:val="0"/>
        </w:rPr>
        <w:t xml:space="preserve">Relevance to Project:</w:t>
      </w:r>
      <w:r w:rsidDel="00000000" w:rsidR="00000000" w:rsidRPr="00000000">
        <w:rPr>
          <w:rtl w:val="0"/>
        </w:rPr>
        <w:t xml:space="preserve"> Solves a major practical hurdle in enterprise digital banking deployments — cold-start label scarcity — enabling effective GNN anomaly detection even before extensive labeled fraud databases are accumulated.</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60" w:before="0" w:lineRule="auto"/>
        <w:rPr/>
      </w:pPr>
      <w:r w:rsidDel="00000000" w:rsidR="00000000" w:rsidRPr="00000000">
        <w:rPr>
          <w:rtl w:val="0"/>
        </w:rPr>
        <w:t xml:space="preserve">4. Comparative Analysis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20.0" w:type="dxa"/>
              <w:left w:w="160.0" w:type="dxa"/>
              <w:bottom w:w="120.0" w:type="dxa"/>
              <w:right w:w="1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b w:val="1"/>
                <w:bCs w:val="1"/>
                <w:color w:val="1a202c"/>
                <w:sz w:val="18"/>
                <w:szCs w:val="18"/>
                <w:shd w:fill="auto" w:val="clear"/>
              </w:rPr>
            </w:pPr>
            <w:r w:rsidDel="00000000" w:rsidR="00000000" w:rsidRPr="00000000">
              <w:rPr>
                <w:b w:val="1"/>
                <w:bCs w:val="1"/>
                <w:color w:val="1a202c"/>
                <w:sz w:val="18"/>
                <w:szCs w:val="18"/>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60.0" w:type="dxa"/>
              <w:bottom w:w="120.0" w:type="dxa"/>
              <w:right w:w="1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b w:val="1"/>
                <w:bCs w:val="1"/>
                <w:color w:val="1a202c"/>
                <w:sz w:val="18"/>
                <w:szCs w:val="18"/>
                <w:shd w:fill="auto" w:val="clear"/>
              </w:rPr>
            </w:pPr>
            <w:r w:rsidDel="00000000" w:rsidR="00000000" w:rsidRPr="00000000">
              <w:rPr>
                <w:b w:val="1"/>
                <w:bCs w:val="1"/>
                <w:color w:val="1a202c"/>
                <w:sz w:val="18"/>
                <w:szCs w:val="18"/>
                <w:shd w:fill="auto" w:val="clear"/>
                <w:rtl w:val="0"/>
              </w:rPr>
              <w:t xml:space="preserve">Paper (Author, Year)</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60.0" w:type="dxa"/>
              <w:bottom w:w="120.0" w:type="dxa"/>
              <w:right w:w="1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b w:val="1"/>
                <w:bCs w:val="1"/>
                <w:color w:val="1a202c"/>
                <w:sz w:val="18"/>
                <w:szCs w:val="18"/>
                <w:shd w:fill="auto" w:val="clear"/>
              </w:rPr>
            </w:pPr>
            <w:r w:rsidDel="00000000" w:rsidR="00000000" w:rsidRPr="00000000">
              <w:rPr>
                <w:b w:val="1"/>
                <w:bCs w:val="1"/>
                <w:color w:val="1a202c"/>
                <w:sz w:val="18"/>
                <w:szCs w:val="18"/>
                <w:shd w:fill="auto" w:val="clear"/>
                <w:rtl w:val="0"/>
              </w:rPr>
              <w:t xml:space="preserve">Core GNN / ML Technique</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60.0" w:type="dxa"/>
              <w:bottom w:w="120.0" w:type="dxa"/>
              <w:right w:w="1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b w:val="1"/>
                <w:bCs w:val="1"/>
                <w:color w:val="1a202c"/>
                <w:sz w:val="18"/>
                <w:szCs w:val="18"/>
                <w:shd w:fill="auto" w:val="clear"/>
              </w:rPr>
            </w:pPr>
            <w:r w:rsidDel="00000000" w:rsidR="00000000" w:rsidRPr="00000000">
              <w:rPr>
                <w:b w:val="1"/>
                <w:bCs w:val="1"/>
                <w:color w:val="1a202c"/>
                <w:sz w:val="18"/>
                <w:szCs w:val="18"/>
                <w:shd w:fill="auto" w:val="clear"/>
                <w:rtl w:val="0"/>
              </w:rPr>
              <w:t xml:space="preserve">Explainability / Safety Mechanism</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60.0" w:type="dxa"/>
              <w:bottom w:w="120.0" w:type="dxa"/>
              <w:right w:w="1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b w:val="1"/>
                <w:bCs w:val="1"/>
                <w:color w:val="1a202c"/>
                <w:sz w:val="18"/>
                <w:szCs w:val="18"/>
                <w:shd w:fill="auto" w:val="clear"/>
              </w:rPr>
            </w:pPr>
            <w:r w:rsidDel="00000000" w:rsidR="00000000" w:rsidRPr="00000000">
              <w:rPr>
                <w:b w:val="1"/>
                <w:bCs w:val="1"/>
                <w:color w:val="1a202c"/>
                <w:sz w:val="18"/>
                <w:szCs w:val="18"/>
                <w:shd w:fill="auto" w:val="clear"/>
                <w:rtl w:val="0"/>
              </w:rPr>
              <w:t xml:space="preserve">Domain / Dataset</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60.0" w:type="dxa"/>
              <w:bottom w:w="120.0" w:type="dxa"/>
              <w:right w:w="1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b w:val="1"/>
                <w:bCs w:val="1"/>
                <w:color w:val="1a202c"/>
                <w:sz w:val="18"/>
                <w:szCs w:val="18"/>
                <w:shd w:fill="auto" w:val="clear"/>
              </w:rPr>
            </w:pPr>
            <w:r w:rsidDel="00000000" w:rsidR="00000000" w:rsidRPr="00000000">
              <w:rPr>
                <w:b w:val="1"/>
                <w:bCs w:val="1"/>
                <w:color w:val="1a202c"/>
                <w:sz w:val="18"/>
                <w:szCs w:val="18"/>
                <w:shd w:fill="auto" w:val="clear"/>
                <w:rtl w:val="0"/>
              </w:rPr>
              <w:t xml:space="preserve">Headline Result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Dağ et al., 2025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Adaptive GNN + Federated Learning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Local post-hoc XAI attribution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Federated Digital Banking (1.2M nodes)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+15–30% accuracy over baselines; 28.4% false-positive drop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Albert &amp; Finnegan, 2025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Dual GNN (GraphSAGE/GAT) + Anomaly Filter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Dynamic feature &amp; neighbor attribution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Credit Card Payments (IEEE-CIS + Proprietary)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b w:val="1"/>
                <w:bCs w:val="1"/>
                <w:sz w:val="18"/>
                <w:szCs w:val="18"/>
                <w:rtl w:val="0"/>
              </w:rPr>
              <w:t xml:space="preserve">Sub-50ms latency</w:t>
            </w:r>
            <w:r w:rsidDel="00000000" w:rsidR="00000000" w:rsidRPr="00000000">
              <w:rPr>
                <w:sz w:val="18"/>
                <w:szCs w:val="18"/>
                <w:rtl w:val="0"/>
              </w:rPr>
              <w:t xml:space="preserve">; significant ROC-AUC gain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Collins et al., 2026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Heterogeneous GNN (R-GCN) + LLM Engine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Natural Language audit trails + Graph attributions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Digital Banking Risk &amp; SAR Logs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sz w:val="18"/>
                <w:szCs w:val="18"/>
                <w:rtl w:val="0"/>
              </w:rPr>
              <w:t xml:space="preserve">High F1 on complex rings; </w:t>
            </w:r>
            <w:r w:rsidDel="00000000" w:rsidR="00000000" w:rsidRPr="00000000">
              <w:rPr>
                <w:b w:val="1"/>
                <w:bCs w:val="1"/>
                <w:sz w:val="18"/>
                <w:szCs w:val="18"/>
                <w:rtl w:val="0"/>
              </w:rPr>
              <w:t xml:space="preserve">45% reduction in compliance review time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Srivastava et al., 2026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ECCFD-GNN (Radius + Correlation GNN)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Risk-score propagation weights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Credit Card Transactions (Extreme Imbalance)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Superior precision/recall on 0.1% fraud imbalance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Dong et al., 2025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SpaceGNN (Euclidean + Hyperbolic Dual-Space)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Multi-space geometric distance metrics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Financial Networks (Elliptic, FinGNN) &amp; Cloud Graphs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b w:val="1"/>
                <w:bCs w:val="1"/>
                <w:sz w:val="18"/>
                <w:szCs w:val="18"/>
                <w:rtl w:val="0"/>
              </w:rPr>
              <w:t xml:space="preserve">+18.2% AUC-ROC</w:t>
            </w:r>
            <w:r w:rsidDel="00000000" w:rsidR="00000000" w:rsidRPr="00000000">
              <w:rPr>
                <w:sz w:val="18"/>
                <w:szCs w:val="18"/>
                <w:rtl w:val="0"/>
              </w:rPr>
              <w:t xml:space="preserve"> under extreme label scarcity (&lt;0.1% labels)</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Synthesized Research Gaps</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Lack of a Unified Cloud-Native Architecture:</w:t>
      </w:r>
      <w:r w:rsidDel="00000000" w:rsidR="00000000" w:rsidRPr="00000000">
        <w:rPr>
          <w:rtl w:val="0"/>
        </w:rPr>
        <w:t xml:space="preserve"> No single reviewed system integrates real-time sub-50ms inference (Albert), privacy-preserving multi-tenant federation (Dağ), deep XAI regulatory auditing (Collins), and class-imbalance resilience (Srivastava) into a single cloud-native microservice framework. This is the precise gap the proposed system is positioned to address.</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Trade-Off Between Latency and Explainability Depth:</w:t>
      </w:r>
      <w:r w:rsidDel="00000000" w:rsidR="00000000" w:rsidRPr="00000000">
        <w:rPr>
          <w:rtl w:val="0"/>
        </w:rPr>
        <w:t xml:space="preserve"> Sub-50ms systems achieve speed by using lightweight attributions (Albert), whereas deep narrative XAI engines (Collins) introduce computational overhead unsuitable for live payment gateways. A tiered cloud pipeline (inline fast scoring + asynchronous deep auditing) remains underexplored.</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b w:val="1"/>
          <w:bCs w:val="1"/>
          <w:rtl w:val="0"/>
        </w:rPr>
        <w:t xml:space="preserve">Cold-Start and Imbalance Bottlenecks in Production:</w:t>
      </w:r>
      <w:r w:rsidDel="00000000" w:rsidR="00000000" w:rsidRPr="00000000">
        <w:rPr>
          <w:rtl w:val="0"/>
        </w:rPr>
        <w:t xml:space="preserve"> Existing fraud detection pipelines struggle with novel accounts (label scarcity) and extreme class imbalance (0.1% fraud), where traditional message passing over-smooths minority fraud signals.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Implications for Proposed System Design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Taken together, the literature directly shapes the architecture for the Phase-I project proposal:</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GNN Backbone:</w:t>
      </w:r>
      <w:r w:rsidDel="00000000" w:rsidR="00000000" w:rsidRPr="00000000">
        <w:rPr>
          <w:rtl w:val="0"/>
        </w:rPr>
        <w:t xml:space="preserve"> A hybrid risk-sensitive GAT/Radius backbone informed by Srivastava et al. and Albert, optimizing both message-passing weights and inference latency (&lt;50ms).</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Tiered Cloud Architecture:</w:t>
      </w:r>
      <w:r w:rsidDel="00000000" w:rsidR="00000000" w:rsidRPr="00000000">
        <w:rPr>
          <w:rtl w:val="0"/>
        </w:rPr>
        <w:t xml:space="preserve"> An inline containerized microservice (gRPC/Kubernetes) executing rapid GNN inference for live transaction authorization, coupled asynchronously with an XAI/LLM worker pool (referencing Collins et al.) for generating regulatory-grade compliance audit reports.</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b w:val="1"/>
          <w:bCs w:val="1"/>
          <w:rtl w:val="0"/>
        </w:rPr>
        <w:t xml:space="preserve">Privacy and Label Resilience:</w:t>
      </w:r>
      <w:r w:rsidDel="00000000" w:rsidR="00000000" w:rsidRPr="00000000">
        <w:rPr>
          <w:rtl w:val="0"/>
        </w:rPr>
        <w:t xml:space="preserve"> Incorporating adaptive federated aggregation strategies (Dağ et al.) and dual-space geometric embeddings (Dong et al.) to ensure the digital banking platform handles sparse fraud labels and regulatory data protection laws natively.</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References</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rtl w:val="0"/>
        </w:rPr>
        <w:t xml:space="preserve">A. Dağ, S. Sahin, and M. Karaköse, “Real-Time Financial Fraud Detection Using Adaptive Graph Neural Networks and Federated Learning,” </w:t>
      </w:r>
      <w:r w:rsidDel="00000000" w:rsidR="00000000" w:rsidRPr="00000000">
        <w:rPr>
          <w:i w:val="1"/>
          <w:iCs w:val="1"/>
          <w:rtl w:val="0"/>
        </w:rPr>
        <w:t xml:space="preserve">International Journal of Management and Data Analytics</w:t>
      </w:r>
      <w:r w:rsidDel="00000000" w:rsidR="00000000" w:rsidRPr="00000000">
        <w:rPr>
          <w:rtl w:val="0"/>
        </w:rPr>
        <w:t xml:space="preserve">, vol. 5, no. 1, pp. 98–110, 2025.</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N. Albert and A. Finnegan, “Combining Graph Neural Networks and Anomaly Detection for Low-Latency Credit Card Fraud Prevention,” </w:t>
      </w:r>
      <w:r w:rsidDel="00000000" w:rsidR="00000000" w:rsidRPr="00000000">
        <w:rPr>
          <w:i w:val="1"/>
          <w:iCs w:val="1"/>
          <w:rtl w:val="0"/>
        </w:rPr>
        <w:t xml:space="preserve">International Journal of Advanced Signal and Image Processing</w:t>
      </w:r>
      <w:r w:rsidDel="00000000" w:rsidR="00000000" w:rsidRPr="00000000">
        <w:rPr>
          <w:rtl w:val="0"/>
        </w:rPr>
        <w:t xml:space="preserve">, vol. 12, no. 2, pp. 1880–1894, 2025.</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N. Collins, S. Gabriel, Z. Mate, J. Micheal, and G. Michael, “Explainable Hybrid Graph Neural Networks and Large Language Models for Intelligent Financial Fraud Detection and Risk Analytics,” </w:t>
      </w:r>
      <w:r w:rsidDel="00000000" w:rsidR="00000000" w:rsidRPr="00000000">
        <w:rPr>
          <w:i w:val="1"/>
          <w:iCs w:val="1"/>
          <w:rtl w:val="0"/>
        </w:rPr>
        <w:t xml:space="preserve">IEEE International Conference Proceedings / ResearchGate</w:t>
      </w:r>
      <w:r w:rsidDel="00000000" w:rsidR="00000000" w:rsidRPr="00000000">
        <w:rPr>
          <w:rtl w:val="0"/>
        </w:rPr>
        <w:t xml:space="preserve">, 2026.</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rtl w:val="0"/>
        </w:rPr>
        <w:t xml:space="preserve">S. Srivastava, V. Gupta, V. Mehndiratta, and S. Rani, “ECCFD-GNN: A Novel Risk-Sensitive Graph Neural Network Model for Fraudulent Transaction Detection,” </w:t>
      </w:r>
      <w:r w:rsidDel="00000000" w:rsidR="00000000" w:rsidRPr="00000000">
        <w:rPr>
          <w:i w:val="1"/>
          <w:iCs w:val="1"/>
          <w:rtl w:val="0"/>
        </w:rPr>
        <w:t xml:space="preserve">Advances in Sustainable Science Engineering and Technology</w:t>
      </w:r>
      <w:r w:rsidDel="00000000" w:rsidR="00000000" w:rsidRPr="00000000">
        <w:rPr>
          <w:rtl w:val="0"/>
        </w:rPr>
        <w:t xml:space="preserve">, vol. 8, no. 3, p. 02603032, 2026.</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after="60" w:before="0" w:beforeAutospacing="0" w:lineRule="auto"/>
        <w:ind w:left="400" w:hanging="360"/>
      </w:pPr>
      <w:r w:rsidDel="00000000" w:rsidR="00000000" w:rsidRPr="00000000">
        <w:rPr>
          <w:rtl w:val="0"/>
        </w:rPr>
        <w:t xml:space="preserve">Y. Dong et al., “SpaceGNN: Multi-Space Graph Neural Network for Node Anomaly Detection with Extremely Limited Labels,” in </w:t>
      </w:r>
      <w:r w:rsidDel="00000000" w:rsidR="00000000" w:rsidRPr="00000000">
        <w:rPr>
          <w:i w:val="1"/>
          <w:iCs w:val="1"/>
          <w:rtl w:val="0"/>
        </w:rPr>
        <w:t xml:space="preserve">Proceedings of the International Conference on Learning Representations (ICLR)</w:t>
      </w:r>
      <w:r w:rsidDel="00000000" w:rsidR="00000000" w:rsidRPr="00000000">
        <w:rPr>
          <w:rtl w:val="0"/>
        </w:rPr>
        <w:t xml:space="preserv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360"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280"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60" w:before="200"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