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20"/>
        <w:jc w:val="center"/>
      </w:pPr>
      <w:r>
        <w:rPr>
          <w:b/>
          <w:bCs/>
          <w:color w:val="1F3864"/>
          <w:sz w:val="40"/>
          <w:szCs w:val="40"/>
        </w:rPr>
        <w:t xml:space="preserve">Literature Review &amp; Research Analysis</w:t>
      </w:r>
    </w:p>
    <w:p>
      <w:pPr>
        <w:spacing w:after="400"/>
        <w:jc w:val="center"/>
      </w:pPr>
      <w:r>
        <w:rPr>
          <w:b/>
          <w:bCs/>
          <w:color w:val="2E74B5"/>
          <w:sz w:val="26"/>
          <w:szCs w:val="26"/>
        </w:rPr>
        <w:t xml:space="preserve">Explainable AI-Based Cloud Performance Analytics for Digital Banking using Graph Neural Networks</w:t>
      </w:r>
    </w:p>
    <w:p>
      <w:pPr>
        <w:spacing w:after="60"/>
        <w:jc w:val="center"/>
      </w:pPr>
      <w:r>
        <w:rPr>
          <w:sz w:val="24"/>
          <w:szCs w:val="24"/>
        </w:rPr>
        <w:t xml:space="preserve">BCSE355L – Cloud Architecture Design</w:t>
      </w:r>
    </w:p>
    <w:p>
      <w:pPr>
        <w:spacing w:after="60"/>
        <w:jc w:val="center"/>
      </w:pPr>
      <w:r>
        <w:rPr>
          <w:i/>
          <w:iCs/>
          <w:sz w:val="24"/>
          <w:szCs w:val="24"/>
        </w:rPr>
        <w:t xml:space="preserve">Project Phase-I Report</w:t>
      </w:r>
    </w:p>
    <w:p>
      <w:pPr>
        <w:spacing w:after="400"/>
        <w:jc w:val="center"/>
      </w:pPr>
      <w:r>
        <w:rPr>
          <w:color w:val="595959"/>
          <w:sz w:val="22"/>
          <w:szCs w:val="22"/>
        </w:rPr>
        <w:t xml:space="preserve">Course Instructor: Dr. Priya V   |   Team of 3</w:t>
      </w:r>
    </w:p>
    <w:p>
      <w:pPr>
        <w:spacing w:after="40"/>
        <w:jc w:val="center"/>
      </w:pPr>
      <w:r>
        <w:rPr>
          <w:color w:val="595959"/>
          <w:sz w:val="22"/>
          <w:szCs w:val="22"/>
        </w:rPr>
        <w:t xml:space="preserve">Submission Date: 30 July 2026</w:t>
      </w:r>
    </w:p>
    <w:p>
      <w:pPr>
        <w:spacing w:before="700"/>
        <w:jc w:val="center"/>
      </w:pPr>
      <w:r>
        <w:rPr>
          <w:i/>
          <w:iCs/>
          <w:color w:val="595959"/>
          <w:sz w:val="20"/>
          <w:szCs w:val="20"/>
        </w:rPr>
        <w:t xml:space="preserve">Document scope: analysis of five research articles selected as the foundational literature base for the Phase-I proposal.</w:t>
      </w:r>
    </w:p>
    <w:p>
      <w:r>
        <w:br w:type="page"/>
      </w:r>
    </w:p>
    <w:p>
      <w:pPr>
        <w:pStyle w:val="Heading1"/>
        <w:pBdr>
          <w:bottom w:val="single" w:color="2E74B5" w:sz="8" w:space="4"/>
        </w:pBdr>
        <w:spacing w:after="160" w:before="360"/>
      </w:pPr>
      <w:r>
        <w:rPr>
          <w:b/>
          <w:bCs/>
          <w:color w:val="1F3864"/>
          <w:sz w:val="28"/>
          <w:szCs w:val="28"/>
        </w:rPr>
        <w:t xml:space="preserve">1. Introduction</w:t>
      </w:r>
    </w:p>
    <w:p>
      <w:pPr>
        <w:spacing w:after="160" w:line="276"/>
        <w:jc w:val="both"/>
      </w:pPr>
      <w:r>
        <w:rPr>
          <w:sz w:val="22"/>
          <w:szCs w:val="22"/>
        </w:rPr>
        <w:t xml:space="preserve">This report analyses five recent research articles selected to ground the proposed system — an explainable, graph neural network (GNN)-based cloud performance analytics platform for digital banking. The three technical pillars of the project (graph-based modeling, explainability, and cloud/financial-system performance monitoring) are each represented across the selected literature, with one article anchored specifically in the FinTech/banking domain. For each paper, this report summarizes the objective, methodology, dataset, key quantitative findings, and limitations, followed by a comparative analysis and a synthesis of research gaps that motivate the project's proposed design.</w:t>
      </w:r>
    </w:p>
    <w:p>
      <w:pPr>
        <w:pStyle w:val="Heading1"/>
        <w:pBdr>
          <w:bottom w:val="single" w:color="2E74B5" w:sz="8" w:space="4"/>
        </w:pBdr>
        <w:spacing w:after="160" w:before="360"/>
      </w:pPr>
      <w:r>
        <w:rPr>
          <w:b/>
          <w:bCs/>
          <w:color w:val="1F3864"/>
          <w:sz w:val="28"/>
          <w:szCs w:val="28"/>
        </w:rPr>
        <w:t xml:space="preserve">2. Review Methodology</w:t>
      </w:r>
    </w:p>
    <w:p>
      <w:pPr>
        <w:spacing w:after="160" w:line="276"/>
        <w:jc w:val="both"/>
      </w:pPr>
      <w:r>
        <w:rPr>
          <w:sz w:val="22"/>
          <w:szCs w:val="22"/>
        </w:rPr>
        <w:t xml:space="preserve">Candidate articles were identified through targeted searches across arXiv, IEEE Xplore, ScienceDirect, and Tech Science Press (CMC) using combinations of the keywords “graph neural network,” “explainable AI / XAI,” “cloud anomaly detection,” “cloud performance,” and “FinTech / digital banking.” Selection prioritized: (a) recency (2025–2026 publications), (b) empirical rigor — papers reporting quantitative evaluation on real or purpose-built datasets, and (c) direct relevance to at least two of the project's three pillars (GNNs, explainability, cloud or financial-system performance).</w:t>
      </w:r>
    </w:p>
    <w:p>
      <w:pPr>
        <w:pStyle w:val="Heading1"/>
        <w:pBdr>
          <w:bottom w:val="single" w:color="2E74B5" w:sz="8" w:space="4"/>
        </w:pBdr>
        <w:spacing w:after="160" w:before="360"/>
      </w:pPr>
      <w:r>
        <w:rPr>
          <w:b/>
          <w:bCs/>
          <w:color w:val="1F3864"/>
          <w:sz w:val="28"/>
          <w:szCs w:val="28"/>
        </w:rPr>
        <w:t xml:space="preserve">3. Individual Paper Analysis</w:t>
      </w:r>
    </w:p>
    <w:p>
      <w:pPr>
        <w:pStyle w:val="Heading2"/>
        <w:spacing w:after="100" w:before="320"/>
      </w:pPr>
      <w:r>
        <w:rPr>
          <w:b/>
          <w:bCs/>
          <w:color w:val="2E74B5"/>
          <w:sz w:val="24"/>
          <w:szCs w:val="24"/>
        </w:rPr>
        <w:t xml:space="preserve">[1]  </w:t>
      </w:r>
      <w:r>
        <w:rPr>
          <w:b/>
          <w:bCs/>
          <w:color w:val="1F3864"/>
          <w:sz w:val="24"/>
          <w:szCs w:val="24"/>
        </w:rPr>
        <w:t xml:space="preserve">GAL-MAD: Towards Explainable Anomaly Detection in Microservice Applications Using Graph Attention Networks</w:t>
      </w:r>
    </w:p>
    <w:p>
      <w:pPr>
        <w:shd w:fill="F2F2F2" w:val="clear"/>
        <w:spacing w:after="140"/>
      </w:pPr>
      <w:r>
        <w:rPr>
          <w:i/>
          <w:iCs/>
          <w:color w:val="595959"/>
          <w:sz w:val="20"/>
          <w:szCs w:val="20"/>
        </w:rPr>
        <w:t xml:space="preserve">Akmeemana, L., Faiz, H., Attanayake, C., &amp; Wickramanayake, S. (2025). GAL-MAD: Towards Explainable Anomaly Detection in Microservice Applications Using Graph Attention Networks. arXiv:2504.00058. University of Moratuwa, Sri Lanka.</w:t>
      </w:r>
    </w:p>
    <w:p>
      <w:pPr>
        <w:spacing w:after="100" w:line="268"/>
        <w:jc w:val="both"/>
      </w:pPr>
      <w:r>
        <w:rPr>
          <w:b/>
          <w:bCs/>
          <w:color w:val="1F3864"/>
          <w:sz w:val="22"/>
          <w:szCs w:val="22"/>
        </w:rPr>
        <w:t xml:space="preserve">Objective: </w:t>
      </w:r>
      <w:r>
        <w:rPr>
          <w:sz w:val="22"/>
          <w:szCs w:val="22"/>
        </w:rPr>
        <w:t xml:space="preserve">Detect anomalies in cloud-hosted microservice applications by jointly modeling inter-service structural dependencies and temporal behavior, then explain each detected anomaly at the service and metric level.</w:t>
      </w:r>
    </w:p>
    <w:p>
      <w:pPr>
        <w:spacing w:after="100" w:line="268"/>
        <w:jc w:val="both"/>
      </w:pPr>
      <w:r>
        <w:rPr>
          <w:b/>
          <w:bCs/>
          <w:color w:val="1F3864"/>
          <w:sz w:val="22"/>
          <w:szCs w:val="22"/>
        </w:rPr>
        <w:t xml:space="preserve">Methodology: </w:t>
      </w:r>
      <w:r>
        <w:rPr>
          <w:sz w:val="22"/>
          <w:szCs w:val="22"/>
        </w:rPr>
        <w:t xml:space="preserve">An unsupervised encoder-decoder autoencoder: the encoder stacks two Graph Attention Network (GAT) layers followed by a Bidirectional LSTM to capture spatial and temporal dependencies; the model is trained only on normal telemetry and flags anomalies via reconstruction error. Post-hoc SHAP values are aggregated over anomalous time steps to localize the responsible microservice and the specific metric driving the anomaly.</w:t>
      </w:r>
    </w:p>
    <w:p>
      <w:pPr>
        <w:spacing w:after="100" w:line="268"/>
        <w:jc w:val="both"/>
      </w:pPr>
      <w:r>
        <w:rPr>
          <w:b/>
          <w:bCs/>
          <w:color w:val="1F3864"/>
          <w:sz w:val="22"/>
          <w:szCs w:val="22"/>
        </w:rPr>
        <w:t xml:space="preserve">Dataset: </w:t>
      </w:r>
      <w:r>
        <w:rPr>
          <w:sz w:val="22"/>
          <w:szCs w:val="22"/>
        </w:rPr>
        <w:t xml:space="preserve">Introduces RS-Anomic, a new open multivariate dataset built on the 12-service RobotShop e-commerce microservice application — 100,464 normal and 14,112 anomalous instances across 10 injected anomaly types (service-down, high CPU, memory leak, packet loss, response-time delay, and others).</w:t>
      </w:r>
    </w:p>
    <w:p>
      <w:pPr>
        <w:spacing w:after="60"/>
      </w:pPr>
      <w:r>
        <w:rPr>
          <w:b/>
          <w:bCs/>
          <w:color w:val="1F3864"/>
          <w:sz w:val="22"/>
          <w:szCs w:val="22"/>
        </w:rPr>
        <w:t xml:space="preserve">Key Findings</w:t>
      </w:r>
    </w:p>
    <w:p>
      <w:pPr>
        <w:pStyle w:val="ListParagraph"/>
        <w:numPr>
          <w:ilvl w:val="0"/>
          <w:numId w:val="2"/>
        </w:numPr>
        <w:spacing w:after="60" w:line="268"/>
      </w:pPr>
      <w:r>
        <w:rPr>
          <w:sz w:val="22"/>
          <w:szCs w:val="22"/>
        </w:rPr>
        <w:t xml:space="preserve">Outperforms GDN, MAD-GAN, Kitsune, and a Transformer baseline on recall across all tested normal:anomaly ratios (e.g., 98.8% recall at a 95:5 ratio vs. 80.9% for GDN).</w:t>
      </w:r>
    </w:p>
    <w:p>
      <w:pPr>
        <w:pStyle w:val="ListParagraph"/>
        <w:numPr>
          <w:ilvl w:val="0"/>
          <w:numId w:val="2"/>
        </w:numPr>
        <w:spacing w:after="60" w:line="268"/>
      </w:pPr>
      <w:r>
        <w:rPr>
          <w:sz w:val="22"/>
          <w:szCs w:val="22"/>
        </w:rPr>
        <w:t xml:space="preserve">Ablation confirms both the GAT and LSTM components are necessary — removing either reduces recall.</w:t>
      </w:r>
    </w:p>
    <w:p>
      <w:pPr>
        <w:pStyle w:val="ListParagraph"/>
        <w:numPr>
          <w:ilvl w:val="0"/>
          <w:numId w:val="2"/>
        </w:numPr>
        <w:spacing w:after="60" w:line="268"/>
      </w:pPr>
      <w:r>
        <w:rPr>
          <w:sz w:val="22"/>
          <w:szCs w:val="22"/>
        </w:rPr>
        <w:t xml:space="preserve">SHAP-based localization achieves perfect service+feature identification (10/10) for CPU, file-I/O and response-time-delay anomalies, but fails entirely (0/10) for subtle network anomalies such as low bandwidth and out-of-order packets.</w:t>
      </w:r>
    </w:p>
    <w:p>
      <w:pPr>
        <w:spacing w:after="60" w:before="100"/>
      </w:pPr>
      <w:r>
        <w:rPr>
          <w:b/>
          <w:bCs/>
          <w:color w:val="1F3864"/>
          <w:sz w:val="22"/>
          <w:szCs w:val="22"/>
        </w:rPr>
        <w:t xml:space="preserve">Limitations</w:t>
      </w:r>
    </w:p>
    <w:p>
      <w:pPr>
        <w:pStyle w:val="ListParagraph"/>
        <w:numPr>
          <w:ilvl w:val="0"/>
          <w:numId w:val="2"/>
        </w:numPr>
        <w:spacing w:after="60" w:line="268"/>
      </w:pPr>
      <w:r>
        <w:rPr>
          <w:sz w:val="22"/>
          <w:szCs w:val="22"/>
        </w:rPr>
        <w:t xml:space="preserve">Single-server testbed — does not capture distributed, auto-scaling deployments typical of production banking infrastructure.</w:t>
      </w:r>
    </w:p>
    <w:p>
      <w:pPr>
        <w:pStyle w:val="ListParagraph"/>
        <w:numPr>
          <w:ilvl w:val="0"/>
          <w:numId w:val="2"/>
        </w:numPr>
        <w:spacing w:after="60" w:line="268"/>
      </w:pPr>
      <w:r>
        <w:rPr>
          <w:sz w:val="22"/>
          <w:szCs w:val="22"/>
        </w:rPr>
        <w:t xml:space="preserve">SHAP explanations are computed post-hoc and independently of graph topology, rather than being “GNN-native.”</w:t>
      </w:r>
    </w:p>
    <w:p>
      <w:pPr>
        <w:pStyle w:val="ListParagraph"/>
        <w:numPr>
          <w:ilvl w:val="0"/>
          <w:numId w:val="2"/>
        </w:numPr>
        <w:spacing w:after="60" w:line="268"/>
      </w:pPr>
      <w:r>
        <w:rPr>
          <w:sz w:val="22"/>
          <w:szCs w:val="22"/>
        </w:rPr>
        <w:t xml:space="preserve">Explainability degrades sharply for fine-grained network-level anomalies.</w:t>
      </w:r>
    </w:p>
    <w:p>
      <w:pPr>
        <w:spacing w:after="100" w:line="268"/>
        <w:jc w:val="both"/>
      </w:pPr>
      <w:r>
        <w:rPr>
          <w:b/>
          <w:bCs/>
          <w:color w:val="1F3864"/>
          <w:sz w:val="22"/>
          <w:szCs w:val="22"/>
        </w:rPr>
        <w:t xml:space="preserve">Relevance to Project: </w:t>
      </w:r>
      <w:r>
        <w:rPr>
          <w:sz w:val="22"/>
          <w:szCs w:val="22"/>
        </w:rPr>
        <w:t xml:space="preserve">Provides a directly reusable architectural template — GAT + temporal layer + SHAP localization — for the explainability component of the proposed system, plus a reproducible open-dataset design pattern (metric taxonomy, anomaly injection method) the team can adapt for prototyping.</w:t>
      </w:r>
    </w:p>
    <w:p>
      <w:pPr>
        <w:pStyle w:val="Heading2"/>
        <w:spacing w:after="100" w:before="320"/>
      </w:pPr>
      <w:r>
        <w:rPr>
          <w:b/>
          <w:bCs/>
          <w:color w:val="2E74B5"/>
          <w:sz w:val="24"/>
          <w:szCs w:val="24"/>
        </w:rPr>
        <w:t xml:space="preserve">[2]  </w:t>
      </w:r>
      <w:r>
        <w:rPr>
          <w:b/>
          <w:bCs/>
          <w:color w:val="1F3864"/>
          <w:sz w:val="24"/>
          <w:szCs w:val="24"/>
        </w:rPr>
        <w:t xml:space="preserve">Graph Neural Networks for Anomaly Detection in Cloud Infrastructure (TAGAE)</w:t>
      </w:r>
    </w:p>
    <w:p>
      <w:pPr>
        <w:shd w:fill="F2F2F2" w:val="clear"/>
        <w:spacing w:after="140"/>
      </w:pPr>
      <w:r>
        <w:rPr>
          <w:i/>
          <w:iCs/>
          <w:color w:val="595959"/>
          <w:sz w:val="20"/>
          <w:szCs w:val="20"/>
        </w:rPr>
        <w:t xml:space="preserve">Jakkaraju, A. (2025). Graph Neural Networks for Anomaly Detection in Cloud Infrastructure. Journal of Computer and Communications, 13(10), 102–116. DOI: 10.4236/jcc.2025.1310006.</w:t>
      </w:r>
    </w:p>
    <w:p>
      <w:pPr>
        <w:spacing w:after="100" w:line="268"/>
        <w:jc w:val="both"/>
      </w:pPr>
      <w:r>
        <w:rPr>
          <w:b/>
          <w:bCs/>
          <w:color w:val="1F3864"/>
          <w:sz w:val="22"/>
          <w:szCs w:val="22"/>
        </w:rPr>
        <w:t xml:space="preserve">Objective: </w:t>
      </w:r>
      <w:r>
        <w:rPr>
          <w:sz w:val="22"/>
          <w:szCs w:val="22"/>
        </w:rPr>
        <w:t xml:space="preserve">Build a production-oriented GNN framework capable of detecting node-, edge-, and distributed-level anomalies across large-scale cloud infrastructure under real-time latency constraints.</w:t>
      </w:r>
    </w:p>
    <w:p>
      <w:pPr>
        <w:spacing w:after="100" w:line="268"/>
        <w:jc w:val="both"/>
      </w:pPr>
      <w:r>
        <w:rPr>
          <w:b/>
          <w:bCs/>
          <w:color w:val="1F3864"/>
          <w:sz w:val="22"/>
          <w:szCs w:val="22"/>
        </w:rPr>
        <w:t xml:space="preserve">Methodology: </w:t>
      </w:r>
      <w:r>
        <w:rPr>
          <w:sz w:val="22"/>
          <w:szCs w:val="22"/>
        </w:rPr>
        <w:t xml:space="preserve">Proposes the Temporal-Attentive Graph Autoencoder (TAGAE): a GAT-based structural encoder, a GRU-based temporal graph convolution (TGCN) module, and anomaly-amplification layers, trained with a focal loss to counter the severe class imbalance typical of cloud anomaly data (0.1–2%). Logs, metrics, and traces are fused into a single dynamic graph updated every 5 seconds.</w:t>
      </w:r>
    </w:p>
    <w:p>
      <w:pPr>
        <w:spacing w:after="100" w:line="268"/>
        <w:jc w:val="both"/>
      </w:pPr>
      <w:r>
        <w:rPr>
          <w:b/>
          <w:bCs/>
          <w:color w:val="1F3864"/>
          <w:sz w:val="22"/>
          <w:szCs w:val="22"/>
        </w:rPr>
        <w:t xml:space="preserve">Dataset: </w:t>
      </w:r>
      <w:r>
        <w:rPr>
          <w:sz w:val="22"/>
          <w:szCs w:val="22"/>
        </w:rPr>
        <w:t xml:space="preserve">Azure-DIAD (2,143 microservices, 18,724 edges, 4,712 labeled anomalies) and GCP Managed Dataset v3 (12,887 container instances, 41,309 edges, 9,184 SRE-validated anomalies), supplemented with chaos-engineering-generated synthetic anomalies.</w:t>
      </w:r>
    </w:p>
    <w:p>
      <w:pPr>
        <w:spacing w:after="60"/>
      </w:pPr>
      <w:r>
        <w:rPr>
          <w:b/>
          <w:bCs/>
          <w:color w:val="1F3864"/>
          <w:sz w:val="22"/>
          <w:szCs w:val="22"/>
        </w:rPr>
        <w:t xml:space="preserve">Key Findings</w:t>
      </w:r>
    </w:p>
    <w:p>
      <w:pPr>
        <w:pStyle w:val="ListParagraph"/>
        <w:numPr>
          <w:ilvl w:val="0"/>
          <w:numId w:val="2"/>
        </w:numPr>
        <w:spacing w:after="60" w:line="268"/>
      </w:pPr>
      <w:r>
        <w:rPr>
          <w:sz w:val="22"/>
          <w:szCs w:val="22"/>
        </w:rPr>
        <w:t xml:space="preserve">Achieves 94.2% F1 and 96.5% AUC-PR overall, with 68ms inference latency — a 63% reduction versus GraphSAGE.</w:t>
      </w:r>
    </w:p>
    <w:p>
      <w:pPr>
        <w:pStyle w:val="ListParagraph"/>
        <w:numPr>
          <w:ilvl w:val="0"/>
          <w:numId w:val="2"/>
        </w:numPr>
        <w:spacing w:after="60" w:line="268"/>
      </w:pPr>
      <w:r>
        <w:rPr>
          <w:sz w:val="22"/>
          <w:szCs w:val="22"/>
        </w:rPr>
        <w:t xml:space="preserve">Maintains 89.1% F1 under 40% injected feature noise and 85.6% F1 under combined noise-plus-missing-edge conditions.</w:t>
      </w:r>
    </w:p>
    <w:p>
      <w:pPr>
        <w:pStyle w:val="ListParagraph"/>
        <w:numPr>
          <w:ilvl w:val="0"/>
          <w:numId w:val="2"/>
        </w:numPr>
        <w:spacing w:after="60" w:line="268"/>
      </w:pPr>
      <w:r>
        <w:rPr>
          <w:sz w:val="22"/>
          <w:szCs w:val="22"/>
        </w:rPr>
        <w:t xml:space="preserve">Under concept-drift testing (trained on week 1, tested on week 4), TAGAE's AUC-PR drops only 8 percentage points versus 15–17 points for GCN/GraphSAGE/GAT baselines.</w:t>
      </w:r>
    </w:p>
    <w:p>
      <w:pPr>
        <w:spacing w:after="60" w:before="100"/>
      </w:pPr>
      <w:r>
        <w:rPr>
          <w:b/>
          <w:bCs/>
          <w:color w:val="1F3864"/>
          <w:sz w:val="22"/>
          <w:szCs w:val="22"/>
        </w:rPr>
        <w:t xml:space="preserve">Limitations</w:t>
      </w:r>
    </w:p>
    <w:p>
      <w:pPr>
        <w:pStyle w:val="ListParagraph"/>
        <w:numPr>
          <w:ilvl w:val="0"/>
          <w:numId w:val="2"/>
        </w:numPr>
        <w:spacing w:after="60" w:line="268"/>
      </w:pPr>
      <w:r>
        <w:rPr>
          <w:sz w:val="22"/>
          <w:szCs w:val="22"/>
        </w:rPr>
        <w:t xml:space="preserve">The authors explicitly flag an “explainability gap”: gradient-based saliency maps identify only 60–70% of true root causes, adding roughly 22 minutes to mean-time-to-resolution.</w:t>
      </w:r>
    </w:p>
    <w:p>
      <w:pPr>
        <w:pStyle w:val="ListParagraph"/>
        <w:numPr>
          <w:ilvl w:val="0"/>
          <w:numId w:val="2"/>
        </w:numPr>
        <w:spacing w:after="60" w:line="268"/>
      </w:pPr>
      <w:r>
        <w:rPr>
          <w:sz w:val="22"/>
          <w:szCs w:val="22"/>
        </w:rPr>
        <w:t xml:space="preserve">Weak zero-day generalization — a 35–40% F1 drop against novel anomaly types.</w:t>
      </w:r>
    </w:p>
    <w:p>
      <w:pPr>
        <w:pStyle w:val="ListParagraph"/>
        <w:numPr>
          <w:ilvl w:val="0"/>
          <w:numId w:val="2"/>
        </w:numPr>
        <w:spacing w:after="60" w:line="268"/>
      </w:pPr>
      <w:r>
        <w:rPr>
          <w:sz w:val="22"/>
          <w:szCs w:val="22"/>
        </w:rPr>
        <w:t xml:space="preserve">Vulnerable to adversarial edge rewiring and suffers a 37% F1 drop in cold-start deployment to unfamiliar architectures.</w:t>
      </w:r>
    </w:p>
    <w:p>
      <w:pPr>
        <w:spacing w:after="100" w:line="268"/>
        <w:jc w:val="both"/>
      </w:pPr>
      <w:r>
        <w:rPr>
          <w:b/>
          <w:bCs/>
          <w:color w:val="1F3864"/>
          <w:sz w:val="22"/>
          <w:szCs w:val="22"/>
        </w:rPr>
        <w:t xml:space="preserve">Relevance to Project: </w:t>
      </w:r>
      <w:r>
        <w:rPr>
          <w:sz w:val="22"/>
          <w:szCs w:val="22"/>
        </w:rPr>
        <w:t xml:space="preserve">Supplies rigorous, quantitative performance baselines (F1, AUC-PR, latency, noise robustness) against which the team's own model can be benchmarked, and explicitly validates the project's core premise — that explainability remains a genuinely unsolved problem in cloud performance analytics rather than an already-solved one.</w:t>
      </w:r>
    </w:p>
    <w:p>
      <w:pPr>
        <w:pStyle w:val="Heading2"/>
        <w:spacing w:after="100" w:before="320"/>
      </w:pPr>
      <w:r>
        <w:rPr>
          <w:b/>
          <w:bCs/>
          <w:color w:val="2E74B5"/>
          <w:sz w:val="24"/>
          <w:szCs w:val="24"/>
        </w:rPr>
        <w:t xml:space="preserve">[3]  </w:t>
      </w:r>
      <w:r>
        <w:rPr>
          <w:b/>
          <w:bCs/>
          <w:color w:val="1F3864"/>
          <w:sz w:val="24"/>
          <w:szCs w:val="24"/>
        </w:rPr>
        <w:t xml:space="preserve">Explainable Graph Ensemble Learning for Multivariate Time Series Anomaly Detection in Cloud Microservice Architectures</w:t>
      </w:r>
    </w:p>
    <w:p>
      <w:pPr>
        <w:shd w:fill="F2F2F2" w:val="clear"/>
        <w:spacing w:after="140"/>
      </w:pPr>
      <w:r>
        <w:rPr>
          <w:i/>
          <w:iCs/>
          <w:color w:val="595959"/>
          <w:sz w:val="20"/>
          <w:szCs w:val="20"/>
        </w:rPr>
        <w:t xml:space="preserve">O’Shea, K., Yan, S., Yu, M., Chen, X., Mauceri, S., Dhariyal, B., Xu, L., O’Connor, N., &amp; Liu, M. (2025). IEEE Transactions on Cloud Computing. DOI: 10.1109/TCC.2025.3634737.</w:t>
      </w:r>
    </w:p>
    <w:p>
      <w:pPr>
        <w:spacing w:after="100" w:line="268"/>
        <w:jc w:val="both"/>
      </w:pPr>
      <w:r>
        <w:rPr>
          <w:b/>
          <w:bCs/>
          <w:color w:val="1F3864"/>
          <w:sz w:val="22"/>
          <w:szCs w:val="22"/>
        </w:rPr>
        <w:t xml:space="preserve">Objective: </w:t>
      </w:r>
      <w:r>
        <w:rPr>
          <w:sz w:val="22"/>
          <w:szCs w:val="22"/>
        </w:rPr>
        <w:t xml:space="preserve">Improve the interpretability of multivariate time-series anomaly detection in cloud microservices by explaining anomalies through both temporal and topological structure, rather than a flat feature-importance ranking.</w:t>
      </w:r>
    </w:p>
    <w:p>
      <w:pPr>
        <w:spacing w:after="100" w:line="268"/>
        <w:jc w:val="both"/>
      </w:pPr>
      <w:r>
        <w:rPr>
          <w:b/>
          <w:bCs/>
          <w:color w:val="1F3864"/>
          <w:sz w:val="22"/>
          <w:szCs w:val="22"/>
        </w:rPr>
        <w:t xml:space="preserve">Methodology: </w:t>
      </w:r>
      <w:r>
        <w:rPr>
          <w:sz w:val="22"/>
          <w:szCs w:val="22"/>
        </w:rPr>
        <w:t xml:space="preserve">Combines attention-based spatio-temporal graph convolutional networks with ensemble learning to capture spatial-temporal dependencies across services. After detection, attention weights at selected network layers are analyzed directly (an “ante-hoc” approach) to explain anomalous events to cloud operators, without a separate post-hoc explainer.</w:t>
      </w:r>
    </w:p>
    <w:p>
      <w:pPr>
        <w:spacing w:after="100" w:line="268"/>
        <w:jc w:val="both"/>
      </w:pPr>
      <w:r>
        <w:rPr>
          <w:b/>
          <w:bCs/>
          <w:color w:val="1F3864"/>
          <w:sz w:val="22"/>
          <w:szCs w:val="22"/>
        </w:rPr>
        <w:t xml:space="preserve">Dataset: </w:t>
      </w:r>
      <w:r>
        <w:rPr>
          <w:sz w:val="22"/>
          <w:szCs w:val="22"/>
        </w:rPr>
        <w:t xml:space="preserve">Two proprietary multivariate time-series datasets generated from a cloud microservice application.</w:t>
      </w:r>
    </w:p>
    <w:p>
      <w:pPr>
        <w:spacing w:after="60"/>
      </w:pPr>
      <w:r>
        <w:rPr>
          <w:b/>
          <w:bCs/>
          <w:color w:val="1F3864"/>
          <w:sz w:val="22"/>
          <w:szCs w:val="22"/>
        </w:rPr>
        <w:t xml:space="preserve">Key Findings</w:t>
      </w:r>
    </w:p>
    <w:p>
      <w:pPr>
        <w:pStyle w:val="ListParagraph"/>
        <w:numPr>
          <w:ilvl w:val="0"/>
          <w:numId w:val="2"/>
        </w:numPr>
        <w:spacing w:after="60" w:line="268"/>
      </w:pPr>
      <w:r>
        <w:rPr>
          <w:sz w:val="22"/>
          <w:szCs w:val="22"/>
        </w:rPr>
        <w:t xml:space="preserve">Achieves an averaged event-wise F1 score of 0.94 across the two datasets.</w:t>
      </w:r>
    </w:p>
    <w:p>
      <w:pPr>
        <w:pStyle w:val="ListParagraph"/>
        <w:numPr>
          <w:ilvl w:val="0"/>
          <w:numId w:val="2"/>
        </w:numPr>
        <w:spacing w:after="60" w:line="268"/>
      </w:pPr>
      <w:r>
        <w:rPr>
          <w:sz w:val="22"/>
          <w:szCs w:val="22"/>
        </w:rPr>
        <w:t xml:space="preserve">Attention-weight visualizations (e.g., per-pod spatial weights) give operators a combined topological-and-temporal explanation for each flagged event.</w:t>
      </w:r>
    </w:p>
    <w:p>
      <w:pPr>
        <w:spacing w:after="60" w:before="100"/>
      </w:pPr>
      <w:r>
        <w:rPr>
          <w:b/>
          <w:bCs/>
          <w:color w:val="1F3864"/>
          <w:sz w:val="22"/>
          <w:szCs w:val="22"/>
        </w:rPr>
        <w:t xml:space="preserve">Limitations</w:t>
      </w:r>
    </w:p>
    <w:p>
      <w:pPr>
        <w:pStyle w:val="ListParagraph"/>
        <w:numPr>
          <w:ilvl w:val="0"/>
          <w:numId w:val="2"/>
        </w:numPr>
        <w:spacing w:after="60" w:line="268"/>
      </w:pPr>
      <w:r>
        <w:rPr>
          <w:sz w:val="22"/>
          <w:szCs w:val="22"/>
        </w:rPr>
        <w:t xml:space="preserve">Relies on proprietary, non-public datasets, limiting external reproducibility.</w:t>
      </w:r>
    </w:p>
    <w:p>
      <w:pPr>
        <w:pStyle w:val="ListParagraph"/>
        <w:numPr>
          <w:ilvl w:val="0"/>
          <w:numId w:val="2"/>
        </w:numPr>
        <w:spacing w:after="60" w:line="268"/>
      </w:pPr>
      <w:r>
        <w:rPr>
          <w:sz w:val="22"/>
          <w:szCs w:val="22"/>
        </w:rPr>
        <w:t xml:space="preserve">The ensemble + attention architecture adds inference overhead relative to single-model approaches.</w:t>
      </w:r>
    </w:p>
    <w:p>
      <w:pPr>
        <w:pStyle w:val="ListParagraph"/>
        <w:numPr>
          <w:ilvl w:val="0"/>
          <w:numId w:val="2"/>
        </w:numPr>
        <w:spacing w:after="60" w:line="268"/>
      </w:pPr>
      <w:r>
        <w:rPr>
          <w:sz w:val="22"/>
          <w:szCs w:val="22"/>
        </w:rPr>
        <w:t xml:space="preserve">Explanation quality is not benchmarked against a ground-truth root-cause label set, unlike GAL-MAD's localization-accuracy evaluation.</w:t>
      </w:r>
    </w:p>
    <w:p>
      <w:pPr>
        <w:spacing w:after="100" w:line="268"/>
        <w:jc w:val="both"/>
      </w:pPr>
      <w:r>
        <w:rPr>
          <w:b/>
          <w:bCs/>
          <w:color w:val="1F3864"/>
          <w:sz w:val="22"/>
          <w:szCs w:val="22"/>
        </w:rPr>
        <w:t xml:space="preserve">Relevance to Project: </w:t>
      </w:r>
      <w:r>
        <w:rPr>
          <w:sz w:val="22"/>
          <w:szCs w:val="22"/>
        </w:rPr>
        <w:t xml:space="preserve">Demonstrates that GNN attention weights can serve as a built-in explanation mechanism — an alternative or complement to post-hoc SHAP — giving the team a concrete second design option to compare when choosing the explainability layer of the proposed system.</w:t>
      </w:r>
    </w:p>
    <w:p>
      <w:pPr>
        <w:pStyle w:val="Heading2"/>
        <w:spacing w:after="100" w:before="320"/>
      </w:pPr>
      <w:r>
        <w:rPr>
          <w:b/>
          <w:bCs/>
          <w:color w:val="2E74B5"/>
          <w:sz w:val="24"/>
          <w:szCs w:val="24"/>
        </w:rPr>
        <w:t xml:space="preserve">[4]  </w:t>
      </w:r>
      <w:r>
        <w:rPr>
          <w:b/>
          <w:bCs/>
          <w:color w:val="1F3864"/>
          <w:sz w:val="24"/>
          <w:szCs w:val="24"/>
        </w:rPr>
        <w:t xml:space="preserve">SHERA: SHAP-Enhanced Resource Allocation for VM Scheduling and Efficient Cloud Computing</w:t>
      </w:r>
    </w:p>
    <w:p>
      <w:pPr>
        <w:shd w:fill="F2F2F2" w:val="clear"/>
        <w:spacing w:after="140"/>
      </w:pPr>
      <w:r>
        <w:rPr>
          <w:i/>
          <w:iCs/>
          <w:color w:val="595959"/>
          <w:sz w:val="20"/>
          <w:szCs w:val="20"/>
        </w:rPr>
        <w:t xml:space="preserve">Slathia, A. S., Sharma, A., Krishna, P. B., Anand, S., Rathi, A., Joseph, L., &amp; Gao, X. Z. (2025). IEEE Access, 13, 92816–92832. DOI: 10.1109/ACCESS.2025.3568917.</w:t>
      </w:r>
    </w:p>
    <w:p>
      <w:pPr>
        <w:spacing w:after="100" w:line="268"/>
        <w:jc w:val="both"/>
      </w:pPr>
      <w:r>
        <w:rPr>
          <w:b/>
          <w:bCs/>
          <w:color w:val="1F3864"/>
          <w:sz w:val="22"/>
          <w:szCs w:val="22"/>
        </w:rPr>
        <w:t xml:space="preserve">Objective: </w:t>
      </w:r>
      <w:r>
        <w:rPr>
          <w:sz w:val="22"/>
          <w:szCs w:val="22"/>
        </w:rPr>
        <w:t xml:space="preserve">Apply explainable AI to cloud resource-allocation and VM-scheduling decisions to improve transparency around energy efficiency and operating cost, rather than targeting anomaly detection directly.</w:t>
      </w:r>
    </w:p>
    <w:p>
      <w:pPr>
        <w:spacing w:after="100" w:line="268"/>
        <w:jc w:val="both"/>
      </w:pPr>
      <w:r>
        <w:rPr>
          <w:b/>
          <w:bCs/>
          <w:color w:val="1F3864"/>
          <w:sz w:val="22"/>
          <w:szCs w:val="22"/>
        </w:rPr>
        <w:t xml:space="preserve">Methodology: </w:t>
      </w:r>
      <w:r>
        <w:rPr>
          <w:sz w:val="22"/>
          <w:szCs w:val="22"/>
        </w:rPr>
        <w:t xml:space="preserve">Random Forest, Naïve Bayes, and SVM models are trained on the Google Cloud Efficiency Dataset (CPU usage, memory consumption, network traffic, power consumption) to predict optimal VM scheduling decisions. SHAP force plots and dependence plots are then used to interpret which features drive each scheduling and energy-efficiency prediction.</w:t>
      </w:r>
    </w:p>
    <w:p>
      <w:pPr>
        <w:spacing w:after="100" w:line="268"/>
        <w:jc w:val="both"/>
      </w:pPr>
      <w:r>
        <w:rPr>
          <w:b/>
          <w:bCs/>
          <w:color w:val="1F3864"/>
          <w:sz w:val="22"/>
          <w:szCs w:val="22"/>
        </w:rPr>
        <w:t xml:space="preserve">Dataset: </w:t>
      </w:r>
      <w:r>
        <w:rPr>
          <w:sz w:val="22"/>
          <w:szCs w:val="22"/>
        </w:rPr>
        <w:t xml:space="preserve">Google Cloud Efficiency Dataset.</w:t>
      </w:r>
    </w:p>
    <w:p>
      <w:pPr>
        <w:spacing w:after="60"/>
      </w:pPr>
      <w:r>
        <w:rPr>
          <w:b/>
          <w:bCs/>
          <w:color w:val="1F3864"/>
          <w:sz w:val="22"/>
          <w:szCs w:val="22"/>
        </w:rPr>
        <w:t xml:space="preserve">Key Findings</w:t>
      </w:r>
    </w:p>
    <w:p>
      <w:pPr>
        <w:pStyle w:val="ListParagraph"/>
        <w:numPr>
          <w:ilvl w:val="0"/>
          <w:numId w:val="2"/>
        </w:numPr>
        <w:spacing w:after="60" w:line="268"/>
      </w:pPr>
      <w:r>
        <w:rPr>
          <w:sz w:val="22"/>
          <w:szCs w:val="22"/>
        </w:rPr>
        <w:t xml:space="preserve">Random Forest is the best-performing predictor: 96.8% accuracy with an RMSE of 0.16.</w:t>
      </w:r>
    </w:p>
    <w:p>
      <w:pPr>
        <w:pStyle w:val="ListParagraph"/>
        <w:numPr>
          <w:ilvl w:val="0"/>
          <w:numId w:val="2"/>
        </w:numPr>
        <w:spacing w:after="60" w:line="268"/>
      </w:pPr>
      <w:r>
        <w:rPr>
          <w:sz w:val="22"/>
          <w:szCs w:val="22"/>
        </w:rPr>
        <w:t xml:space="preserve">SHAP dependence plots reveal actionable insights — e.g., under high network traffic, allocating more resources is the most energy-efficient scheduling strategy.</w:t>
      </w:r>
    </w:p>
    <w:p>
      <w:pPr>
        <w:pStyle w:val="ListParagraph"/>
        <w:numPr>
          <w:ilvl w:val="0"/>
          <w:numId w:val="2"/>
        </w:numPr>
        <w:spacing w:after="60" w:line="268"/>
      </w:pPr>
      <w:r>
        <w:rPr>
          <w:sz w:val="22"/>
          <w:szCs w:val="22"/>
        </w:rPr>
        <w:t xml:space="preserve">Removing SHAP from the pipeline preserved raw performance gains (time and cost savings) but measurably collapsed interpretability scores, quantitatively confirming that explainability must be deliberately engineered in, not assumed as a free by-product.</w:t>
      </w:r>
    </w:p>
    <w:p>
      <w:pPr>
        <w:spacing w:after="60" w:before="100"/>
      </w:pPr>
      <w:r>
        <w:rPr>
          <w:b/>
          <w:bCs/>
          <w:color w:val="1F3864"/>
          <w:sz w:val="22"/>
          <w:szCs w:val="22"/>
        </w:rPr>
        <w:t xml:space="preserve">Limitations</w:t>
      </w:r>
    </w:p>
    <w:p>
      <w:pPr>
        <w:pStyle w:val="ListParagraph"/>
        <w:numPr>
          <w:ilvl w:val="0"/>
          <w:numId w:val="2"/>
        </w:numPr>
        <w:spacing w:after="60" w:line="268"/>
      </w:pPr>
      <w:r>
        <w:rPr>
          <w:sz w:val="22"/>
          <w:szCs w:val="22"/>
        </w:rPr>
        <w:t xml:space="preserve">Not GNN-based — features are treated independently with no relational/topological modeling between VMs or services.</w:t>
      </w:r>
    </w:p>
    <w:p>
      <w:pPr>
        <w:pStyle w:val="ListParagraph"/>
        <w:numPr>
          <w:ilvl w:val="0"/>
          <w:numId w:val="2"/>
        </w:numPr>
        <w:spacing w:after="60" w:line="268"/>
      </w:pPr>
      <w:r>
        <w:rPr>
          <w:sz w:val="22"/>
          <w:szCs w:val="22"/>
        </w:rPr>
        <w:t xml:space="preserve">Targets resource scheduling rather than anomaly or incident detection.</w:t>
      </w:r>
    </w:p>
    <w:p>
      <w:pPr>
        <w:pStyle w:val="ListParagraph"/>
        <w:numPr>
          <w:ilvl w:val="0"/>
          <w:numId w:val="2"/>
        </w:numPr>
        <w:spacing w:after="60" w:line="268"/>
      </w:pPr>
      <w:r>
        <w:rPr>
          <w:sz w:val="22"/>
          <w:szCs w:val="22"/>
        </w:rPr>
        <w:t xml:space="preserve">Single-cloud, single-dataset evaluation limits generalizability.</w:t>
      </w:r>
    </w:p>
    <w:p>
      <w:pPr>
        <w:spacing w:after="100" w:line="268"/>
        <w:jc w:val="both"/>
      </w:pPr>
      <w:r>
        <w:rPr>
          <w:b/>
          <w:bCs/>
          <w:color w:val="1F3864"/>
          <w:sz w:val="22"/>
          <w:szCs w:val="22"/>
        </w:rPr>
        <w:t xml:space="preserve">Relevance to Project: </w:t>
      </w:r>
      <w:r>
        <w:rPr>
          <w:sz w:val="22"/>
          <w:szCs w:val="22"/>
        </w:rPr>
        <w:t xml:space="preserve">The clearest evidence in this set that stripping out an XAI layer measurably reduces operational transparency, directly supporting the project's justification for building explainability in from the start; also serves as a useful non-GNN contrast case in the comparative analysis.</w:t>
      </w:r>
    </w:p>
    <w:p>
      <w:pPr>
        <w:pStyle w:val="Heading2"/>
        <w:spacing w:after="100" w:before="320"/>
      </w:pPr>
      <w:r>
        <w:rPr>
          <w:b/>
          <w:bCs/>
          <w:color w:val="2E74B5"/>
          <w:sz w:val="24"/>
          <w:szCs w:val="24"/>
        </w:rPr>
        <w:t xml:space="preserve">[5]  </w:t>
      </w:r>
      <w:r>
        <w:rPr>
          <w:b/>
          <w:bCs/>
          <w:color w:val="1F3864"/>
          <w:sz w:val="24"/>
          <w:szCs w:val="24"/>
        </w:rPr>
        <w:t xml:space="preserve">Detecting Anomalies in FinTech: A Graph Neural Network and Feature Selection Perspective</w:t>
      </w:r>
    </w:p>
    <w:p>
      <w:pPr>
        <w:shd w:fill="F2F2F2" w:val="clear"/>
        <w:spacing w:after="140"/>
      </w:pPr>
      <w:r>
        <w:rPr>
          <w:i/>
          <w:iCs/>
          <w:color w:val="595959"/>
          <w:sz w:val="20"/>
          <w:szCs w:val="20"/>
        </w:rPr>
        <w:t xml:space="preserve">Hoang, V. T., Dinh, N., Le, V.-T., Tran-Trung, K., Nguyen Van, B., &amp; Meethongjan, K. (2026). Computers, Materials &amp; Continua, 86(1), 1–40. DOI: 10.32604/cmc.2025.068733.</w:t>
      </w:r>
    </w:p>
    <w:p>
      <w:pPr>
        <w:spacing w:after="100" w:line="268"/>
        <w:jc w:val="both"/>
      </w:pPr>
      <w:r>
        <w:rPr>
          <w:b/>
          <w:bCs/>
          <w:color w:val="1F3864"/>
          <w:sz w:val="22"/>
          <w:szCs w:val="22"/>
        </w:rPr>
        <w:t xml:space="preserve">Objective: </w:t>
      </w:r>
      <w:r>
        <w:rPr>
          <w:sz w:val="22"/>
          <w:szCs w:val="22"/>
        </w:rPr>
        <w:t xml:space="preserve">Provide a comprehensive survey of GNN-based anomaly detection specifically within FinTech and digital-banking systems, emphasizing the role of feature selection in handling high-dimensional, noisy financial data.</w:t>
      </w:r>
    </w:p>
    <w:p>
      <w:pPr>
        <w:spacing w:after="100" w:line="268"/>
        <w:jc w:val="both"/>
      </w:pPr>
      <w:r>
        <w:rPr>
          <w:b/>
          <w:bCs/>
          <w:color w:val="1F3864"/>
          <w:sz w:val="22"/>
          <w:szCs w:val="22"/>
        </w:rPr>
        <w:t xml:space="preserve">Methodology: </w:t>
      </w:r>
      <w:r>
        <w:rPr>
          <w:sz w:val="22"/>
          <w:szCs w:val="22"/>
        </w:rPr>
        <w:t xml:space="preserve">A literature synthesis covering GNN architectures (GCN, GAT, GraphSAGE, R-GCN, EvolveGCN), feature-selection families (filter, wrapper, and embedded methods), and their integration via hybrid filter+wrapper pipelines, attention-based embedded selection, and joint-optimization loss functions. Includes industry case studies such as NVIDIA's GNN+XGBoost fraud pipeline and Alipay's heterogeneous GNN fraud-detection system.</w:t>
      </w:r>
    </w:p>
    <w:p>
      <w:pPr>
        <w:spacing w:after="100" w:line="268"/>
        <w:jc w:val="both"/>
      </w:pPr>
      <w:r>
        <w:rPr>
          <w:b/>
          <w:bCs/>
          <w:color w:val="1F3864"/>
          <w:sz w:val="22"/>
          <w:szCs w:val="22"/>
        </w:rPr>
        <w:t xml:space="preserve">Dataset: </w:t>
      </w:r>
      <w:r>
        <w:rPr>
          <w:sz w:val="22"/>
          <w:szCs w:val="22"/>
        </w:rPr>
        <w:t xml:space="preserve">Not applicable — this is a review paper synthesizing multiple primary studies and deployed industry systems.</w:t>
      </w:r>
    </w:p>
    <w:p>
      <w:pPr>
        <w:spacing w:after="60"/>
      </w:pPr>
      <w:r>
        <w:rPr>
          <w:b/>
          <w:bCs/>
          <w:color w:val="1F3864"/>
          <w:sz w:val="22"/>
          <w:szCs w:val="22"/>
        </w:rPr>
        <w:t xml:space="preserve">Key Findings</w:t>
      </w:r>
    </w:p>
    <w:p>
      <w:pPr>
        <w:pStyle w:val="ListParagraph"/>
        <w:numPr>
          <w:ilvl w:val="0"/>
          <w:numId w:val="2"/>
        </w:numPr>
        <w:spacing w:after="60" w:line="268"/>
      </w:pPr>
      <w:r>
        <w:rPr>
          <w:sz w:val="22"/>
          <w:szCs w:val="22"/>
        </w:rPr>
        <w:t xml:space="preserve">Categorizes FinTech anomalies — fraud, money laundering, market manipulation, insider threats, and bot attacks — each requiring different node-, edge-, or subgraph-level GNN modeling choices.</w:t>
      </w:r>
    </w:p>
    <w:p>
      <w:pPr>
        <w:pStyle w:val="ListParagraph"/>
        <w:numPr>
          <w:ilvl w:val="0"/>
          <w:numId w:val="2"/>
        </w:numPr>
        <w:spacing w:after="60" w:line="268"/>
      </w:pPr>
      <w:r>
        <w:rPr>
          <w:sz w:val="22"/>
          <w:szCs w:val="22"/>
        </w:rPr>
        <w:t xml:space="preserve">Explicitly identifies interpretability as a principal open challenge: GNNs are frequently “black boxes” that are difficult to justify to regulators and auditors in regulated financial environments.</w:t>
      </w:r>
    </w:p>
    <w:p>
      <w:pPr>
        <w:pStyle w:val="ListParagraph"/>
        <w:numPr>
          <w:ilvl w:val="0"/>
          <w:numId w:val="2"/>
        </w:numPr>
        <w:spacing w:after="60" w:line="268"/>
      </w:pPr>
      <w:r>
        <w:rPr>
          <w:sz w:val="22"/>
          <w:szCs w:val="22"/>
        </w:rPr>
        <w:t xml:space="preserve">Recommends explainable AI for GNNs, cost-sensitive learning for class imbalance, and temporal/dynamic GNNs as priority future-research directions.</w:t>
      </w:r>
    </w:p>
    <w:p>
      <w:pPr>
        <w:spacing w:after="60" w:before="100"/>
      </w:pPr>
      <w:r>
        <w:rPr>
          <w:b/>
          <w:bCs/>
          <w:color w:val="1F3864"/>
          <w:sz w:val="22"/>
          <w:szCs w:val="22"/>
        </w:rPr>
        <w:t xml:space="preserve">Limitations</w:t>
      </w:r>
    </w:p>
    <w:p>
      <w:pPr>
        <w:pStyle w:val="ListParagraph"/>
        <w:numPr>
          <w:ilvl w:val="0"/>
          <w:numId w:val="2"/>
        </w:numPr>
        <w:spacing w:after="60" w:line="268"/>
      </w:pPr>
      <w:r>
        <w:rPr>
          <w:sz w:val="22"/>
          <w:szCs w:val="22"/>
        </w:rPr>
        <w:t xml:space="preserve">Being a survey, it contributes no new empirical results of its own.</w:t>
      </w:r>
    </w:p>
    <w:p>
      <w:pPr>
        <w:pStyle w:val="ListParagraph"/>
        <w:numPr>
          <w:ilvl w:val="0"/>
          <w:numId w:val="2"/>
        </w:numPr>
        <w:spacing w:after="60" w:line="268"/>
      </w:pPr>
      <w:r>
        <w:rPr>
          <w:sz w:val="22"/>
          <w:szCs w:val="22"/>
        </w:rPr>
        <w:t xml:space="preserve">Industry case studies (Alipay, NVIDIA) are described at a high level, without release of proprietary performance figures.</w:t>
      </w:r>
    </w:p>
    <w:p>
      <w:pPr>
        <w:pStyle w:val="ListParagraph"/>
        <w:numPr>
          <w:ilvl w:val="0"/>
          <w:numId w:val="2"/>
        </w:numPr>
        <w:spacing w:after="60" w:line="268"/>
      </w:pPr>
      <w:r>
        <w:rPr>
          <w:sz w:val="22"/>
          <w:szCs w:val="22"/>
        </w:rPr>
        <w:t xml:space="preserve">The authors themselves note that feature-selection-GNN integration remains “underexplored” specifically within FinTech.</w:t>
      </w:r>
    </w:p>
    <w:p>
      <w:pPr>
        <w:spacing w:after="100" w:line="268"/>
        <w:jc w:val="both"/>
      </w:pPr>
      <w:r>
        <w:rPr>
          <w:b/>
          <w:bCs/>
          <w:color w:val="1F3864"/>
          <w:sz w:val="22"/>
          <w:szCs w:val="22"/>
        </w:rPr>
        <w:t xml:space="preserve">Relevance to Project: </w:t>
      </w:r>
      <w:r>
        <w:rPr>
          <w:sz w:val="22"/>
          <w:szCs w:val="22"/>
        </w:rPr>
        <w:t xml:space="preserve">The project's strongest domain anchor: it confirms that GNNs are an accepted paradigm for financial anomaly/fraud analytics, that explainability is a recognized unmet regulatory need in banking specifically, and that feature selection is a design lever the team should weigh alongside GNN architecture choice — directly supporting the “digital banking” scope of the project title.</w:t>
      </w:r>
    </w:p>
    <w:p>
      <w:r>
        <w:br w:type="page"/>
      </w:r>
    </w:p>
    <w:p>
      <w:pPr>
        <w:pStyle w:val="Heading1"/>
        <w:pBdr>
          <w:bottom w:val="single" w:color="2E74B5" w:sz="8" w:space="4"/>
        </w:pBdr>
        <w:spacing w:after="160" w:before="360"/>
      </w:pPr>
      <w:r>
        <w:rPr>
          <w:b/>
          <w:bCs/>
          <w:color w:val="1F3864"/>
          <w:sz w:val="28"/>
          <w:szCs w:val="28"/>
        </w:rPr>
        <w:t xml:space="preserve">4. Comparative Analysis</w:t>
      </w:r>
    </w:p>
    <w:p>
      <w:pPr>
        <w:spacing w:after="160" w:line="276"/>
        <w:jc w:val="both"/>
      </w:pPr>
      <w:r>
        <w:rPr>
          <w:sz w:val="22"/>
          <w:szCs w:val="22"/>
        </w:rPr>
        <w:t xml:space="preserve">The table below consolidates the five articles across the dimensions most relevant to the proposed system: the core learning technique, the explainability mechanism used, the application domain/dataset, and the headline quantitative result.</w:t>
      </w:r>
    </w:p>
    <w:p>
      <w:pP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750"/>
        <w:gridCol w:w="1750"/>
        <w:gridCol w:w="1550"/>
        <w:gridCol w:w="1550"/>
        <w:gridCol w:w="1926"/>
      </w:tblGrid>
      <w:tr>
        <w:trPr>
          <w:tblHeader/>
        </w:trPr>
        <w:tc>
          <w:tcPr>
            <w:tcW w:type="dxa" w:w="500"/>
            <w:shd w:fill="1F3864" w:val="clear"/>
            <w:tcMar>
              <w:top w:type="dxa" w:w="80"/>
              <w:left w:type="dxa" w:w="100"/>
              <w:bottom w:type="dxa" w:w="80"/>
              <w:right w:type="dxa" w:w="100"/>
            </w:tcMar>
          </w:tcPr>
          <w:p>
            <w:r>
              <w:rPr>
                <w:b/>
                <w:bCs/>
                <w:color w:val="FFFFFF"/>
                <w:sz w:val="18"/>
                <w:szCs w:val="18"/>
              </w:rPr>
              <w:t xml:space="preserve">#</w:t>
            </w:r>
          </w:p>
        </w:tc>
        <w:tc>
          <w:tcPr>
            <w:tcW w:type="dxa" w:w="1750"/>
            <w:shd w:fill="1F3864" w:val="clear"/>
            <w:tcMar>
              <w:top w:type="dxa" w:w="80"/>
              <w:left w:type="dxa" w:w="100"/>
              <w:bottom w:type="dxa" w:w="80"/>
              <w:right w:type="dxa" w:w="100"/>
            </w:tcMar>
          </w:tcPr>
          <w:p>
            <w:r>
              <w:rPr>
                <w:b/>
                <w:bCs/>
                <w:color w:val="FFFFFF"/>
                <w:sz w:val="18"/>
                <w:szCs w:val="18"/>
              </w:rPr>
              <w:t xml:space="preserve">Paper (Author, Year)</w:t>
            </w:r>
          </w:p>
        </w:tc>
        <w:tc>
          <w:tcPr>
            <w:tcW w:type="dxa" w:w="1750"/>
            <w:shd w:fill="1F3864" w:val="clear"/>
            <w:tcMar>
              <w:top w:type="dxa" w:w="80"/>
              <w:left w:type="dxa" w:w="100"/>
              <w:bottom w:type="dxa" w:w="80"/>
              <w:right w:type="dxa" w:w="100"/>
            </w:tcMar>
          </w:tcPr>
          <w:p>
            <w:r>
              <w:rPr>
                <w:b/>
                <w:bCs/>
                <w:color w:val="FFFFFF"/>
                <w:sz w:val="18"/>
                <w:szCs w:val="18"/>
              </w:rPr>
              <w:t xml:space="preserve">Core GNN / ML Technique</w:t>
            </w:r>
          </w:p>
        </w:tc>
        <w:tc>
          <w:tcPr>
            <w:tcW w:type="dxa" w:w="1550"/>
            <w:shd w:fill="1F3864" w:val="clear"/>
            <w:tcMar>
              <w:top w:type="dxa" w:w="80"/>
              <w:left w:type="dxa" w:w="100"/>
              <w:bottom w:type="dxa" w:w="80"/>
              <w:right w:type="dxa" w:w="100"/>
            </w:tcMar>
          </w:tcPr>
          <w:p>
            <w:r>
              <w:rPr>
                <w:b/>
                <w:bCs/>
                <w:color w:val="FFFFFF"/>
                <w:sz w:val="18"/>
                <w:szCs w:val="18"/>
              </w:rPr>
              <w:t xml:space="preserve">Explainability Method</w:t>
            </w:r>
          </w:p>
        </w:tc>
        <w:tc>
          <w:tcPr>
            <w:tcW w:type="dxa" w:w="1550"/>
            <w:shd w:fill="1F3864" w:val="clear"/>
            <w:tcMar>
              <w:top w:type="dxa" w:w="80"/>
              <w:left w:type="dxa" w:w="100"/>
              <w:bottom w:type="dxa" w:w="80"/>
              <w:right w:type="dxa" w:w="100"/>
            </w:tcMar>
          </w:tcPr>
          <w:p>
            <w:r>
              <w:rPr>
                <w:b/>
                <w:bCs/>
                <w:color w:val="FFFFFF"/>
                <w:sz w:val="18"/>
                <w:szCs w:val="18"/>
              </w:rPr>
              <w:t xml:space="preserve">Domain / Dataset</w:t>
            </w:r>
          </w:p>
        </w:tc>
        <w:tc>
          <w:tcPr>
            <w:tcW w:type="dxa" w:w="1926"/>
            <w:shd w:fill="1F3864" w:val="clear"/>
            <w:tcMar>
              <w:top w:type="dxa" w:w="80"/>
              <w:left w:type="dxa" w:w="100"/>
              <w:bottom w:type="dxa" w:w="80"/>
              <w:right w:type="dxa" w:w="100"/>
            </w:tcMar>
          </w:tcPr>
          <w:p>
            <w:r>
              <w:rPr>
                <w:b/>
                <w:bCs/>
                <w:color w:val="FFFFFF"/>
                <w:sz w:val="18"/>
                <w:szCs w:val="18"/>
              </w:rPr>
              <w:t xml:space="preserve">Headline Result</w:t>
            </w:r>
          </w:p>
        </w:tc>
      </w:tr>
      <w:tr>
        <w:trPr>
          <w:tblHeader w:val="false"/>
        </w:trPr>
        <w:tc>
          <w:tcPr>
            <w:tcW w:type="dxa" w:w="500"/>
            <w:tcMar>
              <w:top w:type="dxa" w:w="80"/>
              <w:left w:type="dxa" w:w="100"/>
              <w:bottom w:type="dxa" w:w="80"/>
              <w:right w:type="dxa" w:w="100"/>
            </w:tcMar>
          </w:tcPr>
          <w:p>
            <w:r>
              <w:rPr>
                <w:b w:val="false"/>
                <w:bCs w:val="false"/>
                <w:color w:val="000000"/>
                <w:sz w:val="18"/>
                <w:szCs w:val="18"/>
              </w:rPr>
              <w:t xml:space="preserve">1</w:t>
            </w:r>
          </w:p>
        </w:tc>
        <w:tc>
          <w:tcPr>
            <w:tcW w:type="dxa" w:w="1750"/>
            <w:tcMar>
              <w:top w:type="dxa" w:w="80"/>
              <w:left w:type="dxa" w:w="100"/>
              <w:bottom w:type="dxa" w:w="80"/>
              <w:right w:type="dxa" w:w="100"/>
            </w:tcMar>
          </w:tcPr>
          <w:p>
            <w:r>
              <w:rPr>
                <w:b w:val="false"/>
                <w:bCs w:val="false"/>
                <w:color w:val="000000"/>
                <w:sz w:val="18"/>
                <w:szCs w:val="18"/>
              </w:rPr>
              <w:t xml:space="preserve">Akmeemana et al., 2025 (GAL-MAD)</w:t>
            </w:r>
          </w:p>
        </w:tc>
        <w:tc>
          <w:tcPr>
            <w:tcW w:type="dxa" w:w="1750"/>
            <w:tcMar>
              <w:top w:type="dxa" w:w="80"/>
              <w:left w:type="dxa" w:w="100"/>
              <w:bottom w:type="dxa" w:w="80"/>
              <w:right w:type="dxa" w:w="100"/>
            </w:tcMar>
          </w:tcPr>
          <w:p>
            <w:r>
              <w:rPr>
                <w:b w:val="false"/>
                <w:bCs w:val="false"/>
                <w:color w:val="000000"/>
                <w:sz w:val="18"/>
                <w:szCs w:val="18"/>
              </w:rPr>
              <w:t xml:space="preserve">GAT + Bi-LSTM autoencoder</w:t>
            </w:r>
          </w:p>
        </w:tc>
        <w:tc>
          <w:tcPr>
            <w:tcW w:type="dxa" w:w="1550"/>
            <w:tcMar>
              <w:top w:type="dxa" w:w="80"/>
              <w:left w:type="dxa" w:w="100"/>
              <w:bottom w:type="dxa" w:w="80"/>
              <w:right w:type="dxa" w:w="100"/>
            </w:tcMar>
          </w:tcPr>
          <w:p>
            <w:r>
              <w:rPr>
                <w:b w:val="false"/>
                <w:bCs w:val="false"/>
                <w:color w:val="000000"/>
                <w:sz w:val="18"/>
                <w:szCs w:val="18"/>
              </w:rPr>
              <w:t xml:space="preserve">Post-hoc SHAP (service + feature localization)</w:t>
            </w:r>
          </w:p>
        </w:tc>
        <w:tc>
          <w:tcPr>
            <w:tcW w:type="dxa" w:w="1550"/>
            <w:tcMar>
              <w:top w:type="dxa" w:w="80"/>
              <w:left w:type="dxa" w:w="100"/>
              <w:bottom w:type="dxa" w:w="80"/>
              <w:right w:type="dxa" w:w="100"/>
            </w:tcMar>
          </w:tcPr>
          <w:p>
            <w:r>
              <w:rPr>
                <w:b w:val="false"/>
                <w:bCs w:val="false"/>
                <w:color w:val="000000"/>
                <w:sz w:val="18"/>
                <w:szCs w:val="18"/>
              </w:rPr>
              <w:t xml:space="preserve">Cloud microservices – RS-Anomic (open, RobotShop)</w:t>
            </w:r>
          </w:p>
        </w:tc>
        <w:tc>
          <w:tcPr>
            <w:tcW w:type="dxa" w:w="1926"/>
            <w:tcMar>
              <w:top w:type="dxa" w:w="80"/>
              <w:left w:type="dxa" w:w="100"/>
              <w:bottom w:type="dxa" w:w="80"/>
              <w:right w:type="dxa" w:w="100"/>
            </w:tcMar>
          </w:tcPr>
          <w:p>
            <w:r>
              <w:rPr>
                <w:b w:val="false"/>
                <w:bCs w:val="false"/>
                <w:color w:val="000000"/>
                <w:sz w:val="18"/>
                <w:szCs w:val="18"/>
              </w:rPr>
              <w:t xml:space="preserve">Best recall across all anomaly ratios (up to 98.8%); SHAP localizes 10/10 for CPU/I-O/latency anomalies</w:t>
            </w:r>
          </w:p>
        </w:tc>
      </w:tr>
      <w:tr>
        <w:trPr>
          <w:tblHeader w:val="false"/>
        </w:trPr>
        <w:tc>
          <w:tcPr>
            <w:tcW w:type="dxa" w:w="500"/>
            <w:tcMar>
              <w:top w:type="dxa" w:w="80"/>
              <w:left w:type="dxa" w:w="100"/>
              <w:bottom w:type="dxa" w:w="80"/>
              <w:right w:type="dxa" w:w="100"/>
            </w:tcMar>
          </w:tcPr>
          <w:p>
            <w:r>
              <w:rPr>
                <w:b w:val="false"/>
                <w:bCs w:val="false"/>
                <w:color w:val="000000"/>
                <w:sz w:val="18"/>
                <w:szCs w:val="18"/>
              </w:rPr>
              <w:t xml:space="preserve">2</w:t>
            </w:r>
          </w:p>
        </w:tc>
        <w:tc>
          <w:tcPr>
            <w:tcW w:type="dxa" w:w="1750"/>
            <w:tcMar>
              <w:top w:type="dxa" w:w="80"/>
              <w:left w:type="dxa" w:w="100"/>
              <w:bottom w:type="dxa" w:w="80"/>
              <w:right w:type="dxa" w:w="100"/>
            </w:tcMar>
          </w:tcPr>
          <w:p>
            <w:r>
              <w:rPr>
                <w:b w:val="false"/>
                <w:bCs w:val="false"/>
                <w:color w:val="000000"/>
                <w:sz w:val="18"/>
                <w:szCs w:val="18"/>
              </w:rPr>
              <w:t xml:space="preserve">Jakkaraju, 2025 (TAGAE)</w:t>
            </w:r>
          </w:p>
        </w:tc>
        <w:tc>
          <w:tcPr>
            <w:tcW w:type="dxa" w:w="1750"/>
            <w:tcMar>
              <w:top w:type="dxa" w:w="80"/>
              <w:left w:type="dxa" w:w="100"/>
              <w:bottom w:type="dxa" w:w="80"/>
              <w:right w:type="dxa" w:w="100"/>
            </w:tcMar>
          </w:tcPr>
          <w:p>
            <w:r>
              <w:rPr>
                <w:b w:val="false"/>
                <w:bCs w:val="false"/>
                <w:color w:val="000000"/>
                <w:sz w:val="18"/>
                <w:szCs w:val="18"/>
              </w:rPr>
              <w:t xml:space="preserve">GAT structural encoder + GRU/TGCN temporal module</w:t>
            </w:r>
          </w:p>
        </w:tc>
        <w:tc>
          <w:tcPr>
            <w:tcW w:type="dxa" w:w="1550"/>
            <w:tcMar>
              <w:top w:type="dxa" w:w="80"/>
              <w:left w:type="dxa" w:w="100"/>
              <w:bottom w:type="dxa" w:w="80"/>
              <w:right w:type="dxa" w:w="100"/>
            </w:tcMar>
          </w:tcPr>
          <w:p>
            <w:r>
              <w:rPr>
                <w:b w:val="false"/>
                <w:bCs w:val="false"/>
                <w:color w:val="000000"/>
                <w:sz w:val="18"/>
                <w:szCs w:val="18"/>
              </w:rPr>
              <w:t xml:space="preserve">Gradient-based saliency (flagged as inadequate)</w:t>
            </w:r>
          </w:p>
        </w:tc>
        <w:tc>
          <w:tcPr>
            <w:tcW w:type="dxa" w:w="1550"/>
            <w:tcMar>
              <w:top w:type="dxa" w:w="80"/>
              <w:left w:type="dxa" w:w="100"/>
              <w:bottom w:type="dxa" w:w="80"/>
              <w:right w:type="dxa" w:w="100"/>
            </w:tcMar>
          </w:tcPr>
          <w:p>
            <w:r>
              <w:rPr>
                <w:b w:val="false"/>
                <w:bCs w:val="false"/>
                <w:color w:val="000000"/>
                <w:sz w:val="18"/>
                <w:szCs w:val="18"/>
              </w:rPr>
              <w:t xml:space="preserve">Cloud infrastructure – Azure-DIAD, GCP v3</w:t>
            </w:r>
          </w:p>
        </w:tc>
        <w:tc>
          <w:tcPr>
            <w:tcW w:type="dxa" w:w="1926"/>
            <w:tcMar>
              <w:top w:type="dxa" w:w="80"/>
              <w:left w:type="dxa" w:w="100"/>
              <w:bottom w:type="dxa" w:w="80"/>
              <w:right w:type="dxa" w:w="100"/>
            </w:tcMar>
          </w:tcPr>
          <w:p>
            <w:r>
              <w:rPr>
                <w:b w:val="false"/>
                <w:bCs w:val="false"/>
                <w:color w:val="000000"/>
                <w:sz w:val="18"/>
                <w:szCs w:val="18"/>
              </w:rPr>
              <w:t xml:space="preserve">94.2% F1, 96.5% AUC-PR, 68ms latency; only 60–70% of root causes explainable</w:t>
            </w:r>
          </w:p>
        </w:tc>
      </w:tr>
      <w:tr>
        <w:trPr>
          <w:tblHeader w:val="false"/>
        </w:trPr>
        <w:tc>
          <w:tcPr>
            <w:tcW w:type="dxa" w:w="500"/>
            <w:tcMar>
              <w:top w:type="dxa" w:w="80"/>
              <w:left w:type="dxa" w:w="100"/>
              <w:bottom w:type="dxa" w:w="80"/>
              <w:right w:type="dxa" w:w="100"/>
            </w:tcMar>
          </w:tcPr>
          <w:p>
            <w:r>
              <w:rPr>
                <w:b w:val="false"/>
                <w:bCs w:val="false"/>
                <w:color w:val="000000"/>
                <w:sz w:val="18"/>
                <w:szCs w:val="18"/>
              </w:rPr>
              <w:t xml:space="preserve">3</w:t>
            </w:r>
          </w:p>
        </w:tc>
        <w:tc>
          <w:tcPr>
            <w:tcW w:type="dxa" w:w="1750"/>
            <w:tcMar>
              <w:top w:type="dxa" w:w="80"/>
              <w:left w:type="dxa" w:w="100"/>
              <w:bottom w:type="dxa" w:w="80"/>
              <w:right w:type="dxa" w:w="100"/>
            </w:tcMar>
          </w:tcPr>
          <w:p>
            <w:r>
              <w:rPr>
                <w:b w:val="false"/>
                <w:bCs w:val="false"/>
                <w:color w:val="000000"/>
                <w:sz w:val="18"/>
                <w:szCs w:val="18"/>
              </w:rPr>
              <w:t xml:space="preserve">O’Shea et al., 2025</w:t>
            </w:r>
          </w:p>
        </w:tc>
        <w:tc>
          <w:tcPr>
            <w:tcW w:type="dxa" w:w="1750"/>
            <w:tcMar>
              <w:top w:type="dxa" w:w="80"/>
              <w:left w:type="dxa" w:w="100"/>
              <w:bottom w:type="dxa" w:w="80"/>
              <w:right w:type="dxa" w:w="100"/>
            </w:tcMar>
          </w:tcPr>
          <w:p>
            <w:r>
              <w:rPr>
                <w:b w:val="false"/>
                <w:bCs w:val="false"/>
                <w:color w:val="000000"/>
                <w:sz w:val="18"/>
                <w:szCs w:val="18"/>
              </w:rPr>
              <w:t xml:space="preserve">Attention-based spatio-temporal GCN + ensemble</w:t>
            </w:r>
          </w:p>
        </w:tc>
        <w:tc>
          <w:tcPr>
            <w:tcW w:type="dxa" w:w="1550"/>
            <w:tcMar>
              <w:top w:type="dxa" w:w="80"/>
              <w:left w:type="dxa" w:w="100"/>
              <w:bottom w:type="dxa" w:w="80"/>
              <w:right w:type="dxa" w:w="100"/>
            </w:tcMar>
          </w:tcPr>
          <w:p>
            <w:r>
              <w:rPr>
                <w:b w:val="false"/>
                <w:bCs w:val="false"/>
                <w:color w:val="000000"/>
                <w:sz w:val="18"/>
                <w:szCs w:val="18"/>
              </w:rPr>
              <w:t xml:space="preserve">Native attention-weight analysis (topological + temporal)</w:t>
            </w:r>
          </w:p>
        </w:tc>
        <w:tc>
          <w:tcPr>
            <w:tcW w:type="dxa" w:w="1550"/>
            <w:tcMar>
              <w:top w:type="dxa" w:w="80"/>
              <w:left w:type="dxa" w:w="100"/>
              <w:bottom w:type="dxa" w:w="80"/>
              <w:right w:type="dxa" w:w="100"/>
            </w:tcMar>
          </w:tcPr>
          <w:p>
            <w:r>
              <w:rPr>
                <w:b w:val="false"/>
                <w:bCs w:val="false"/>
                <w:color w:val="000000"/>
                <w:sz w:val="18"/>
                <w:szCs w:val="18"/>
              </w:rPr>
              <w:t xml:space="preserve">Cloud microservices – 2 proprietary datasets</w:t>
            </w:r>
          </w:p>
        </w:tc>
        <w:tc>
          <w:tcPr>
            <w:tcW w:type="dxa" w:w="1926"/>
            <w:tcMar>
              <w:top w:type="dxa" w:w="80"/>
              <w:left w:type="dxa" w:w="100"/>
              <w:bottom w:type="dxa" w:w="80"/>
              <w:right w:type="dxa" w:w="100"/>
            </w:tcMar>
          </w:tcPr>
          <w:p>
            <w:r>
              <w:rPr>
                <w:b w:val="false"/>
                <w:bCs w:val="false"/>
                <w:color w:val="000000"/>
                <w:sz w:val="18"/>
                <w:szCs w:val="18"/>
              </w:rPr>
              <w:t xml:space="preserve">0.94 averaged event-wise F1; operator-facing attention explanations</w:t>
            </w:r>
          </w:p>
        </w:tc>
      </w:tr>
      <w:tr>
        <w:trPr>
          <w:tblHeader w:val="false"/>
        </w:trPr>
        <w:tc>
          <w:tcPr>
            <w:tcW w:type="dxa" w:w="500"/>
            <w:tcMar>
              <w:top w:type="dxa" w:w="80"/>
              <w:left w:type="dxa" w:w="100"/>
              <w:bottom w:type="dxa" w:w="80"/>
              <w:right w:type="dxa" w:w="100"/>
            </w:tcMar>
          </w:tcPr>
          <w:p>
            <w:r>
              <w:rPr>
                <w:b w:val="false"/>
                <w:bCs w:val="false"/>
                <w:color w:val="000000"/>
                <w:sz w:val="18"/>
                <w:szCs w:val="18"/>
              </w:rPr>
              <w:t xml:space="preserve">4</w:t>
            </w:r>
          </w:p>
        </w:tc>
        <w:tc>
          <w:tcPr>
            <w:tcW w:type="dxa" w:w="1750"/>
            <w:tcMar>
              <w:top w:type="dxa" w:w="80"/>
              <w:left w:type="dxa" w:w="100"/>
              <w:bottom w:type="dxa" w:w="80"/>
              <w:right w:type="dxa" w:w="100"/>
            </w:tcMar>
          </w:tcPr>
          <w:p>
            <w:r>
              <w:rPr>
                <w:b w:val="false"/>
                <w:bCs w:val="false"/>
                <w:color w:val="000000"/>
                <w:sz w:val="18"/>
                <w:szCs w:val="18"/>
              </w:rPr>
              <w:t xml:space="preserve">Slathia et al., 2025 (SHERA)</w:t>
            </w:r>
          </w:p>
        </w:tc>
        <w:tc>
          <w:tcPr>
            <w:tcW w:type="dxa" w:w="1750"/>
            <w:tcMar>
              <w:top w:type="dxa" w:w="80"/>
              <w:left w:type="dxa" w:w="100"/>
              <w:bottom w:type="dxa" w:w="80"/>
              <w:right w:type="dxa" w:w="100"/>
            </w:tcMar>
          </w:tcPr>
          <w:p>
            <w:r>
              <w:rPr>
                <w:b w:val="false"/>
                <w:bCs w:val="false"/>
                <w:color w:val="000000"/>
                <w:sz w:val="18"/>
                <w:szCs w:val="18"/>
              </w:rPr>
              <w:t xml:space="preserve">Random Forest / Naïve Bayes / SVM (non-GNN)</w:t>
            </w:r>
          </w:p>
        </w:tc>
        <w:tc>
          <w:tcPr>
            <w:tcW w:type="dxa" w:w="1550"/>
            <w:tcMar>
              <w:top w:type="dxa" w:w="80"/>
              <w:left w:type="dxa" w:w="100"/>
              <w:bottom w:type="dxa" w:w="80"/>
              <w:right w:type="dxa" w:w="100"/>
            </w:tcMar>
          </w:tcPr>
          <w:p>
            <w:r>
              <w:rPr>
                <w:b w:val="false"/>
                <w:bCs w:val="false"/>
                <w:color w:val="000000"/>
                <w:sz w:val="18"/>
                <w:szCs w:val="18"/>
              </w:rPr>
              <w:t xml:space="preserve">SHAP force &amp; dependence plots</w:t>
            </w:r>
          </w:p>
        </w:tc>
        <w:tc>
          <w:tcPr>
            <w:tcW w:type="dxa" w:w="1550"/>
            <w:tcMar>
              <w:top w:type="dxa" w:w="80"/>
              <w:left w:type="dxa" w:w="100"/>
              <w:bottom w:type="dxa" w:w="80"/>
              <w:right w:type="dxa" w:w="100"/>
            </w:tcMar>
          </w:tcPr>
          <w:p>
            <w:r>
              <w:rPr>
                <w:b w:val="false"/>
                <w:bCs w:val="false"/>
                <w:color w:val="000000"/>
                <w:sz w:val="18"/>
                <w:szCs w:val="18"/>
              </w:rPr>
              <w:t xml:space="preserve">Cloud VM scheduling – Google Cloud Efficiency Dataset</w:t>
            </w:r>
          </w:p>
        </w:tc>
        <w:tc>
          <w:tcPr>
            <w:tcW w:type="dxa" w:w="1926"/>
            <w:tcMar>
              <w:top w:type="dxa" w:w="80"/>
              <w:left w:type="dxa" w:w="100"/>
              <w:bottom w:type="dxa" w:w="80"/>
              <w:right w:type="dxa" w:w="100"/>
            </w:tcMar>
          </w:tcPr>
          <w:p>
            <w:r>
              <w:rPr>
                <w:b w:val="false"/>
                <w:bCs w:val="false"/>
                <w:color w:val="000000"/>
                <w:sz w:val="18"/>
                <w:szCs w:val="18"/>
              </w:rPr>
              <w:t xml:space="preserve">96.8% accuracy, RMSE 0.16; removing SHAP measurably cuts interpretability</w:t>
            </w:r>
          </w:p>
        </w:tc>
      </w:tr>
      <w:tr>
        <w:trPr>
          <w:tblHeader w:val="false"/>
        </w:trPr>
        <w:tc>
          <w:tcPr>
            <w:tcW w:type="dxa" w:w="500"/>
            <w:tcMar>
              <w:top w:type="dxa" w:w="80"/>
              <w:left w:type="dxa" w:w="100"/>
              <w:bottom w:type="dxa" w:w="80"/>
              <w:right w:type="dxa" w:w="100"/>
            </w:tcMar>
          </w:tcPr>
          <w:p>
            <w:r>
              <w:rPr>
                <w:b w:val="false"/>
                <w:bCs w:val="false"/>
                <w:color w:val="000000"/>
                <w:sz w:val="18"/>
                <w:szCs w:val="18"/>
              </w:rPr>
              <w:t xml:space="preserve">5</w:t>
            </w:r>
          </w:p>
        </w:tc>
        <w:tc>
          <w:tcPr>
            <w:tcW w:type="dxa" w:w="1750"/>
            <w:tcMar>
              <w:top w:type="dxa" w:w="80"/>
              <w:left w:type="dxa" w:w="100"/>
              <w:bottom w:type="dxa" w:w="80"/>
              <w:right w:type="dxa" w:w="100"/>
            </w:tcMar>
          </w:tcPr>
          <w:p>
            <w:r>
              <w:rPr>
                <w:b w:val="false"/>
                <w:bCs w:val="false"/>
                <w:color w:val="000000"/>
                <w:sz w:val="18"/>
                <w:szCs w:val="18"/>
              </w:rPr>
              <w:t xml:space="preserve">Hoang et al., 2026 (Survey)</w:t>
            </w:r>
          </w:p>
        </w:tc>
        <w:tc>
          <w:tcPr>
            <w:tcW w:type="dxa" w:w="1750"/>
            <w:tcMar>
              <w:top w:type="dxa" w:w="80"/>
              <w:left w:type="dxa" w:w="100"/>
              <w:bottom w:type="dxa" w:w="80"/>
              <w:right w:type="dxa" w:w="100"/>
            </w:tcMar>
          </w:tcPr>
          <w:p>
            <w:r>
              <w:rPr>
                <w:b w:val="false"/>
                <w:bCs w:val="false"/>
                <w:color w:val="000000"/>
                <w:sz w:val="18"/>
                <w:szCs w:val="18"/>
              </w:rPr>
              <w:t xml:space="preserve">Survey: GCN, GAT, GraphSAGE, R-GCN, EvolveGCN</w:t>
            </w:r>
          </w:p>
        </w:tc>
        <w:tc>
          <w:tcPr>
            <w:tcW w:type="dxa" w:w="1550"/>
            <w:tcMar>
              <w:top w:type="dxa" w:w="80"/>
              <w:left w:type="dxa" w:w="100"/>
              <w:bottom w:type="dxa" w:w="80"/>
              <w:right w:type="dxa" w:w="100"/>
            </w:tcMar>
          </w:tcPr>
          <w:p>
            <w:r>
              <w:rPr>
                <w:b w:val="false"/>
                <w:bCs w:val="false"/>
                <w:color w:val="000000"/>
                <w:sz w:val="18"/>
                <w:szCs w:val="18"/>
              </w:rPr>
              <w:t xml:space="preserve">Identifies XAI-for-GNN as an open FinTech need</w:t>
            </w:r>
          </w:p>
        </w:tc>
        <w:tc>
          <w:tcPr>
            <w:tcW w:type="dxa" w:w="1550"/>
            <w:tcMar>
              <w:top w:type="dxa" w:w="80"/>
              <w:left w:type="dxa" w:w="100"/>
              <w:bottom w:type="dxa" w:w="80"/>
              <w:right w:type="dxa" w:w="100"/>
            </w:tcMar>
          </w:tcPr>
          <w:p>
            <w:r>
              <w:rPr>
                <w:b w:val="false"/>
                <w:bCs w:val="false"/>
                <w:color w:val="000000"/>
                <w:sz w:val="18"/>
                <w:szCs w:val="18"/>
              </w:rPr>
              <w:t xml:space="preserve">FinTech / digital banking – literature + industry case studies</w:t>
            </w:r>
          </w:p>
        </w:tc>
        <w:tc>
          <w:tcPr>
            <w:tcW w:type="dxa" w:w="1926"/>
            <w:tcMar>
              <w:top w:type="dxa" w:w="80"/>
              <w:left w:type="dxa" w:w="100"/>
              <w:bottom w:type="dxa" w:w="80"/>
              <w:right w:type="dxa" w:w="100"/>
            </w:tcMar>
          </w:tcPr>
          <w:p>
            <w:r>
              <w:rPr>
                <w:b w:val="false"/>
                <w:bCs w:val="false"/>
                <w:color w:val="000000"/>
                <w:sz w:val="18"/>
                <w:szCs w:val="18"/>
              </w:rPr>
              <w:t xml:space="preserve">Frames GNNs as black boxes for regulators; calls for XAI + feature selection integration</w:t>
            </w:r>
          </w:p>
        </w:tc>
      </w:tr>
    </w:tbl>
    <w:p>
      <w:pPr>
        <w:spacing w:before="240"/>
      </w:pPr>
    </w:p>
    <w:p>
      <w:pPr>
        <w:pStyle w:val="Heading1"/>
        <w:pBdr>
          <w:bottom w:val="single" w:color="2E74B5" w:sz="8" w:space="4"/>
        </w:pBdr>
        <w:spacing w:after="160" w:before="360"/>
      </w:pPr>
      <w:r>
        <w:rPr>
          <w:b/>
          <w:bCs/>
          <w:color w:val="1F3864"/>
          <w:sz w:val="28"/>
          <w:szCs w:val="28"/>
        </w:rPr>
        <w:t xml:space="preserve">5. Synthesized Research Gaps</w:t>
      </w:r>
    </w:p>
    <w:p>
      <w:pPr>
        <w:pStyle w:val="ListParagraph"/>
        <w:numPr>
          <w:ilvl w:val="0"/>
          <w:numId w:val="2"/>
        </w:numPr>
        <w:spacing w:after="60" w:line="268"/>
      </w:pPr>
      <w:r>
        <w:rPr>
          <w:sz w:val="22"/>
          <w:szCs w:val="22"/>
        </w:rPr>
        <w:t xml:space="preserve">No reviewed work combines GNN-based cloud performance/anomaly detection with native explainability in a digital-banking-specific deployment context in one system. GAL-MAD, TAGAE, and O’Shea et al. are cloud-generic; the FinTech survey is domain-specific but not cloud-performance-specific. This is the precise gap the proposed system is positioned to address.</w:t>
      </w:r>
    </w:p>
    <w:p>
      <w:pPr>
        <w:pStyle w:val="ListParagraph"/>
        <w:numPr>
          <w:ilvl w:val="0"/>
          <w:numId w:val="2"/>
        </w:numPr>
        <w:spacing w:after="60" w:line="268"/>
      </w:pPr>
      <w:r>
        <w:rPr>
          <w:sz w:val="22"/>
          <w:szCs w:val="22"/>
        </w:rPr>
        <w:t xml:space="preserve">Explainability quality is domain-dependent and uneven: SHAP and attention-based methods reliably explain node/resource-level anomalies (CPU, memory, response time) but struggle with fine-grained network-level anomalies (packet loss, jitter, bandwidth) — a pattern that recurs across GAL-MAD's localization results and TAGAE's root-cause gap.</w:t>
      </w:r>
    </w:p>
    <w:p>
      <w:pPr>
        <w:pStyle w:val="ListParagraph"/>
        <w:numPr>
          <w:ilvl w:val="0"/>
          <w:numId w:val="2"/>
        </w:numPr>
        <w:spacing w:after="60" w:line="268"/>
      </w:pPr>
      <w:r>
        <w:rPr>
          <w:sz w:val="22"/>
          <w:szCs w:val="22"/>
        </w:rPr>
        <w:t xml:space="preserve">Reproducibility is inconsistent: TAGAE, SHERA, and the O’Shea et al. ensemble paper all rely on proprietary or partially disclosed datasets, while only GAL-MAD's RS-Anomic is fully open — a consideration for the team when selecting or constructing an evaluation dataset.</w:t>
      </w:r>
    </w:p>
    <w:p>
      <w:pPr>
        <w:pStyle w:val="ListParagraph"/>
        <w:numPr>
          <w:ilvl w:val="0"/>
          <w:numId w:val="2"/>
        </w:numPr>
        <w:spacing w:after="60" w:line="268"/>
      </w:pPr>
      <w:r>
        <w:rPr>
          <w:sz w:val="22"/>
          <w:szCs w:val="22"/>
        </w:rPr>
        <w:t xml:space="preserve">Regulatory-grade explainability (auditable, compliance-ready explanations) is explicitly called out as an open need in FinTech (Hoang et al.) but is not yet demonstrated end-to-end in any single reviewed cloud-performance system.</w:t>
      </w:r>
    </w:p>
    <w:p>
      <w:pPr>
        <w:pStyle w:val="Heading1"/>
        <w:pBdr>
          <w:bottom w:val="single" w:color="2E74B5" w:sz="8" w:space="4"/>
        </w:pBdr>
        <w:spacing w:after="160" w:before="360"/>
      </w:pPr>
      <w:r>
        <w:rPr>
          <w:b/>
          <w:bCs/>
          <w:color w:val="1F3864"/>
          <w:sz w:val="28"/>
          <w:szCs w:val="28"/>
        </w:rPr>
        <w:t xml:space="preserve">6. Implications for Proposed System Design</w:t>
      </w:r>
    </w:p>
    <w:p>
      <w:pPr>
        <w:spacing w:after="160" w:line="276"/>
        <w:jc w:val="both"/>
      </w:pPr>
      <w:r>
        <w:rPr>
          <w:sz w:val="22"/>
          <w:szCs w:val="22"/>
        </w:rPr>
        <w:t xml:space="preserve">Taken together, the literature suggests a GAT-based structural encoder combined with a temporal module (LSTM or GRU) as an established, well-validated backbone (papers 1–3). For the explainability layer, the reviewed work offers two complementary options worth comparing during design: post-hoc SHAP attribution for granular, feature-level explanations (papers 1 and 4), and native attention-weight inspection for topological/temporal explanations that require no separate explainer model (paper 3). The team should benchmark its own model against TAGAE's published F1, AUC-PR, and latency figures (paper 2) as a performance reference point, and should explicitly frame system outputs in terms that map to banking compliance needs — traceable root cause plus an auditable decision path — per the regulatory gap identified in paper 5. Finally, given the recurring weakness of current explainability methods on network-level anomalies, the team may want to treat this as an explicit stretch goal or evaluation dimension rather than assuming uniform explanation quality across all anomaly types.</w:t>
      </w:r>
    </w:p>
    <w:p>
      <w:pPr>
        <w:pStyle w:val="Heading1"/>
        <w:pBdr>
          <w:bottom w:val="single" w:color="2E74B5" w:sz="8" w:space="4"/>
        </w:pBdr>
        <w:spacing w:after="160" w:before="360"/>
      </w:pPr>
      <w:r>
        <w:rPr>
          <w:b/>
          <w:bCs/>
          <w:color w:val="1F3864"/>
          <w:sz w:val="28"/>
          <w:szCs w:val="28"/>
        </w:rPr>
        <w:t xml:space="preserve">7. References</w:t>
      </w:r>
    </w:p>
    <w:p>
      <w:pPr>
        <w:spacing w:after="160" w:line="276"/>
        <w:jc w:val="both"/>
      </w:pPr>
      <w:r>
        <w:rPr>
          <w:sz w:val="22"/>
          <w:szCs w:val="22"/>
        </w:rPr>
        <w:t xml:space="preserve">[1]  L. Akmeemana, H. Faiz, C. Attanayake, and S. Wickramanayake, “GAL-MAD: Towards Explainable Anomaly Detection in Microservice Applications Using Graph Attention Networks,” arXiv:2504.00058, 2025.</w:t>
      </w:r>
    </w:p>
    <w:p>
      <w:pPr>
        <w:spacing w:after="160" w:line="276"/>
        <w:jc w:val="both"/>
      </w:pPr>
      <w:r>
        <w:rPr>
          <w:sz w:val="22"/>
          <w:szCs w:val="22"/>
        </w:rPr>
        <w:t xml:space="preserve">[2]  A. Jakkaraju, “Graph Neural Networks for Anomaly Detection in Cloud Infrastructure,” Journal of Computer and Communications, vol. 13, no. 10, pp. 102–116, Oct. 2025, doi: 10.4236/jcc.2025.1310006.</w:t>
      </w:r>
    </w:p>
    <w:p>
      <w:pPr>
        <w:spacing w:after="160" w:line="276"/>
        <w:jc w:val="both"/>
      </w:pPr>
      <w:r>
        <w:rPr>
          <w:sz w:val="22"/>
          <w:szCs w:val="22"/>
        </w:rPr>
        <w:t xml:space="preserve">[3]  K. O’Shea, S. Yan, M. Yu, X. Chen, S. Mauceri, B. Dhariyal, L. Xu, N. O’Connor, and M. Liu, “Explainable Graph Ensemble Learning for Multivariate Time Series Anomaly Detection in Cloud Microservice Architectures,” IEEE Transactions on Cloud Computing, 2025, doi: 10.1109/TCC.2025.3634737.</w:t>
      </w:r>
    </w:p>
    <w:p>
      <w:pPr>
        <w:spacing w:after="160" w:line="276"/>
        <w:jc w:val="both"/>
      </w:pPr>
      <w:r>
        <w:rPr>
          <w:sz w:val="22"/>
          <w:szCs w:val="22"/>
        </w:rPr>
        <w:t xml:space="preserve">[4]  A. S. Slathia, A. Sharma, P. B. Krishna, S. Anand, A. Rathi, L. Joseph, and X. Z. Gao, “SHERA: SHAP-Enhanced Resource Allocation for VM Scheduling and Efficient Cloud Computing,” IEEE Access, vol. 13, pp. 92816–92832, 2025, doi: 10.1109/ACCESS.2025.3568917.</w:t>
      </w:r>
    </w:p>
    <w:p>
      <w:pPr>
        <w:spacing w:after="160" w:line="276"/>
        <w:jc w:val="both"/>
      </w:pPr>
      <w:r>
        <w:rPr>
          <w:sz w:val="22"/>
          <w:szCs w:val="22"/>
        </w:rPr>
        <w:t xml:space="preserve">[5]  V. T. Hoang, N. Dinh, V.-T. Le, K. Tran-Trung, B. Nguyen Van, and K. Meethongjan, “Detecting Anomalies in FinTech: A Graph Neural Network and Feature Selection Perspective,” Computers, Materials &amp; Continua, vol. 86, no. 1, pp. 1–40, 2026, doi: 10.32604/cmc.2025.068733.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2026-07-30T03:10:21.540Z</dcterms:created>
  <dcterms:modified xsi:type="dcterms:W3CDTF">2026-07-30T03:10:21.573Z</dcterms:modified>
</cp:coreProperties>
</file>

<file path=docProps/custom.xml><?xml version="1.0" encoding="utf-8"?>
<Properties xmlns="http://schemas.openxmlformats.org/officeDocument/2006/custom-properties" xmlns:vt="http://schemas.openxmlformats.org/officeDocument/2006/docPropsVTypes"/>
</file>