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color w:val="000000"/>
        </w:rPr>
      </w:r>
    </w:p>
    <w:p>
      <w:pPr>
        <w:jc w:val="center"/>
      </w:pPr>
      <w:r>
        <w:rPr>
          <w:b/>
          <w:color w:val="000000"/>
          <w:sz w:val="34"/>
        </w:rPr>
        <w:t>PROJECT REPORT</w:t>
      </w:r>
    </w:p>
    <w:p>
      <w:pPr>
        <w:jc w:val="center"/>
      </w:pPr>
      <w:r>
        <w:rPr>
          <w:color w:val="000000"/>
          <w:sz w:val="28"/>
        </w:rPr>
        <w:t>CLOUD ARCHITECTURE DESIGN – AWS CLOUD PROJECT</w:t>
      </w:r>
    </w:p>
    <w:p>
      <w:r>
        <w:rPr>
          <w:color w:val="000000"/>
        </w:rPr>
      </w:r>
    </w:p>
    <w:p>
      <w:pPr>
        <w:jc w:val="center"/>
      </w:pPr>
      <w:r>
        <w:rPr>
          <w:b/>
          <w:color w:val="000000"/>
          <w:sz w:val="32"/>
        </w:rPr>
        <w:t>EXPLAINABLE AI-BASED CLOUD PERFORMANCE ANALYTICS</w:t>
        <w:br/>
        <w:t>FOR DIGITAL BANKING USING GRAPH NEURAL NETWORKS</w:t>
      </w:r>
    </w:p>
    <w:p>
      <w:r>
        <w:rPr>
          <w:color w:val="000000"/>
        </w:rPr>
      </w:r>
    </w:p>
    <w:p>
      <w:pPr>
        <w:jc w:val="center"/>
      </w:pPr>
      <w:r>
        <w:rPr>
          <w:b/>
          <w:color w:val="000000"/>
        </w:rPr>
        <w:t>Submitted by</w:t>
      </w:r>
    </w:p>
    <w:p>
      <w:pPr>
        <w:spacing w:after="20"/>
        <w:jc w:val="center"/>
      </w:pPr>
      <w:r>
        <w:rPr>
          <w:color w:val="000000"/>
        </w:rPr>
        <w:t>Haris K — 24BIT0468</w:t>
      </w:r>
    </w:p>
    <w:p>
      <w:pPr>
        <w:spacing w:after="20"/>
        <w:jc w:val="center"/>
      </w:pPr>
      <w:r>
        <w:rPr>
          <w:color w:val="000000"/>
        </w:rPr>
        <w:t>Keshav Gokaram — 24BIT0454</w:t>
      </w:r>
    </w:p>
    <w:p>
      <w:pPr>
        <w:spacing w:after="20"/>
        <w:jc w:val="center"/>
      </w:pPr>
      <w:r>
        <w:rPr>
          <w:color w:val="000000"/>
        </w:rPr>
        <w:t>Harish Kumar — 24BIT0472</w:t>
      </w:r>
    </w:p>
    <w:p>
      <w:r>
        <w:rPr>
          <w:color w:val="000000"/>
        </w:rPr>
      </w:r>
    </w:p>
    <w:p>
      <w:pPr>
        <w:spacing w:after="40"/>
        <w:jc w:val="center"/>
      </w:pPr>
      <w:r>
        <w:rPr>
          <w:color w:val="000000"/>
        </w:rPr>
        <w:t>B.Tech Information Technology, Third Year</w:t>
      </w:r>
    </w:p>
    <w:p>
      <w:pPr>
        <w:spacing w:after="40"/>
        <w:jc w:val="center"/>
      </w:pPr>
      <w:r>
        <w:rPr>
          <w:color w:val="000000"/>
        </w:rPr>
        <w:t>Course Code and Name: BCSE355L — Cloud Architecture Design</w:t>
      </w:r>
    </w:p>
    <w:p>
      <w:pPr>
        <w:spacing w:after="40"/>
        <w:jc w:val="center"/>
      </w:pPr>
      <w:r>
        <w:rPr>
          <w:color w:val="000000"/>
        </w:rPr>
        <w:t>Vellore Institute of Technology, Vellore</w:t>
      </w:r>
    </w:p>
    <w:p>
      <w:pPr>
        <w:spacing w:after="40"/>
        <w:jc w:val="center"/>
      </w:pPr>
      <w:r>
        <w:rPr>
          <w:color w:val="000000"/>
        </w:rPr>
        <w:t>Course Instructor: Dr. Priya V</w:t>
      </w:r>
    </w:p>
    <w:p>
      <w:pPr>
        <w:spacing w:after="40"/>
        <w:jc w:val="center"/>
      </w:pPr>
      <w:r>
        <w:rPr>
          <w:color w:val="000000"/>
        </w:rPr>
        <w:t>Team Number: Not assigned</w:t>
      </w:r>
    </w:p>
    <w:p>
      <w:pPr>
        <w:spacing w:after="40"/>
        <w:jc w:val="center"/>
      </w:pPr>
      <w:r>
        <w:rPr>
          <w:color w:val="000000"/>
        </w:rPr>
        <w:t>Submission Date: 16 October 2026</w:t>
      </w:r>
    </w:p>
    <w:p>
      <w:pPr>
        <w:jc w:val="center"/>
      </w:pPr>
      <w:r>
        <w:rPr>
          <w:color w:val="000000"/>
        </w:rPr>
        <w:t>Academic Year: 2026–2027</w:t>
      </w:r>
    </w:p>
    <w:p>
      <w:r>
        <w:rPr>
          <w:color w:val="000000"/>
        </w:rPr>
      </w:r>
    </w:p>
    <w:p>
      <w:pPr>
        <w:jc w:val="center"/>
      </w:pPr>
      <w:r>
        <w:rPr>
          <w:color w:val="000000"/>
          <w:sz w:val="19"/>
        </w:rPr>
        <w:t>GitHub: github.com/Haris757518/ExplainableAI_Cloud_Banking_Cloud_Project_2026</w:t>
      </w:r>
    </w:p>
    <w:p>
      <w:r>
        <w:rPr>
          <w:color w:val="000000"/>
        </w:rPr>
        <w:br w:type="page"/>
      </w:r>
    </w:p>
    <w:p>
      <w:pPr>
        <w:pStyle w:val="Heading1"/>
      </w:pPr>
      <w:r>
        <w:rPr>
          <w:color w:val="000000"/>
        </w:rPr>
        <w:t>Abstract</w:t>
      </w:r>
    </w:p>
    <w:p>
      <w:r>
        <w:rPr>
          <w:color w:val="000000"/>
        </w:rPr>
        <w:t>Digital banking transactions depend on interconnected application and data services whose performance degradation can be difficult to localize from aggregate response-time measurements. This project presents an explainable cloud-performance investigation platform with an instrumented academic banking workload, recorded microservice benchmarks, and AWS observability. Three local FastAPI services implement balance enquiry, atomic test fund transfer, and transaction history using dedicated SQLite storage. Actual HTTP and SQL timings support chronological anomaly detection, trace-based service localization, evidence-qualified explanations, conditional recommendations, and independent verification. The frozen local study recorded 270 normal requests and three bounded application-delay repetitions; no false-positive requests occurred among 54 held-out normal requests. All three controlled cases were detected and correctly localized, with measured return toward the frozen reference. The graph model produced held-out next-request mean-squared error of 0.575263 against 0.574412 for the feature-only model, providing no established graph advantage. The AWS extension explicitly published ten existing measured banking requests as 118 metric values to ExplainableAI/Banking in us-east-1. CloudWatch subsequently returned 30 service-operation metric series across eight metric types. The dashboard displays these measurements with local-workload provenance, publication checkpoint status, and missing-data evidence. AWS discovery found one running EC2 instance and no RDS databases. The published subset contains insufficient independent minute windows for cloud anomaly or root-cause validation; cloud-hosted banking and causal recovery are not established. Historical Alibaba, Microsoft, and RCAEval results remain separate and unchanged.</w:t>
      </w:r>
    </w:p>
    <w:p>
      <w:r>
        <w:rPr>
          <w:color w:val="000000"/>
        </w:rPr>
        <w:t>Keywords: Digital banking; cloud performance; microservices; graph neural networks; anomaly detection; root-cause localization; explainability; AWS.</w:t>
      </w:r>
    </w:p>
    <w:p>
      <w:r>
        <w:rPr>
          <w:color w:val="000000"/>
        </w:rPr>
        <w:br w:type="page"/>
      </w:r>
    </w:p>
    <w:p>
      <w:pPr>
        <w:pStyle w:val="Heading1"/>
        <w:keepNext/>
      </w:pPr>
      <w:r>
        <w:rPr>
          <w:color w:val="000000"/>
        </w:rPr>
        <w:t>Table of Contents</w:t>
      </w:r>
    </w:p>
    <w:p>
      <w:pPr>
        <w:tabs>
          <w:tab w:pos="9245" w:val="right" w:leader="dot"/>
        </w:tabs>
        <w:spacing w:after="20" w:line="247" w:lineRule="auto"/>
      </w:pPr>
      <w:r>
        <w:t>1. Introduction</w:t>
        <w:tab/>
        <w:t>4</w:t>
      </w:r>
    </w:p>
    <w:p>
      <w:pPr>
        <w:tabs>
          <w:tab w:pos="9245" w:val="right" w:leader="dot"/>
        </w:tabs>
        <w:spacing w:after="20" w:line="247" w:lineRule="auto"/>
      </w:pPr>
      <w:r>
        <w:t>2. Literature Survey and Related Work</w:t>
        <w:tab/>
        <w:t>5</w:t>
      </w:r>
    </w:p>
    <w:p>
      <w:pPr>
        <w:tabs>
          <w:tab w:pos="9245" w:val="right" w:leader="dot"/>
        </w:tabs>
        <w:spacing w:after="20" w:line="247" w:lineRule="auto"/>
      </w:pPr>
      <w:r>
        <w:t>3. Project Objectives</w:t>
        <w:tab/>
        <w:t>7</w:t>
      </w:r>
    </w:p>
    <w:p>
      <w:pPr>
        <w:tabs>
          <w:tab w:pos="9245" w:val="right" w:leader="dot"/>
        </w:tabs>
        <w:spacing w:after="20" w:line="247" w:lineRule="auto"/>
      </w:pPr>
      <w:r>
        <w:t>4. Novelty Summary</w:t>
        <w:tab/>
        <w:t>8</w:t>
      </w:r>
    </w:p>
    <w:p>
      <w:pPr>
        <w:tabs>
          <w:tab w:pos="9245" w:val="right" w:leader="dot"/>
        </w:tabs>
        <w:spacing w:after="20" w:line="247" w:lineRule="auto"/>
      </w:pPr>
      <w:r>
        <w:t>5. System and Architecture</w:t>
        <w:tab/>
        <w:t>8</w:t>
      </w:r>
    </w:p>
    <w:p>
      <w:pPr>
        <w:tabs>
          <w:tab w:pos="9245" w:val="right" w:leader="dot"/>
        </w:tabs>
        <w:spacing w:after="20" w:line="247" w:lineRule="auto"/>
      </w:pPr>
      <w:r>
        <w:t>6. Dataset Description</w:t>
        <w:tab/>
        <w:t>11</w:t>
      </w:r>
    </w:p>
    <w:p>
      <w:pPr>
        <w:tabs>
          <w:tab w:pos="9245" w:val="right" w:leader="dot"/>
        </w:tabs>
        <w:spacing w:after="20" w:line="247" w:lineRule="auto"/>
      </w:pPr>
      <w:r>
        <w:t>7. AWS Services and Deployment Evidence</w:t>
        <w:tab/>
        <w:t>12</w:t>
      </w:r>
    </w:p>
    <w:p>
      <w:pPr>
        <w:tabs>
          <w:tab w:pos="9245" w:val="right" w:leader="dot"/>
        </w:tabs>
        <w:spacing w:after="20" w:line="247" w:lineRule="auto"/>
      </w:pPr>
      <w:r>
        <w:t>8. Methodology</w:t>
        <w:tab/>
        <w:t>14</w:t>
      </w:r>
    </w:p>
    <w:p>
      <w:pPr>
        <w:tabs>
          <w:tab w:pos="9245" w:val="right" w:leader="dot"/>
        </w:tabs>
        <w:spacing w:after="20" w:line="247" w:lineRule="auto"/>
      </w:pPr>
      <w:r>
        <w:t>9. Implementation and Development</w:t>
        <w:tab/>
        <w:t>16</w:t>
      </w:r>
    </w:p>
    <w:p>
      <w:pPr>
        <w:tabs>
          <w:tab w:pos="9245" w:val="right" w:leader="dot"/>
        </w:tabs>
        <w:spacing w:after="20" w:line="247" w:lineRule="auto"/>
      </w:pPr>
      <w:r>
        <w:t>10. Testing, Results, and Observations</w:t>
        <w:tab/>
        <w:t>20</w:t>
      </w:r>
    </w:p>
    <w:p>
      <w:pPr>
        <w:tabs>
          <w:tab w:pos="9245" w:val="right" w:leader="dot"/>
        </w:tabs>
        <w:spacing w:after="20" w:line="247" w:lineRule="auto"/>
      </w:pPr>
      <w:r>
        <w:t>11. Discussion, Limitations, and Risk Analysis</w:t>
        <w:tab/>
        <w:t>23</w:t>
      </w:r>
    </w:p>
    <w:p>
      <w:pPr>
        <w:tabs>
          <w:tab w:pos="9245" w:val="right" w:leader="dot"/>
        </w:tabs>
        <w:spacing w:after="20" w:line="247" w:lineRule="auto"/>
      </w:pPr>
      <w:r>
        <w:t>12. Team Contribution and GitHub Management</w:t>
        <w:tab/>
        <w:t>24</w:t>
      </w:r>
    </w:p>
    <w:p>
      <w:pPr>
        <w:tabs>
          <w:tab w:pos="9245" w:val="right" w:leader="dot"/>
        </w:tabs>
        <w:spacing w:after="20" w:line="247" w:lineRule="auto"/>
      </w:pPr>
      <w:r>
        <w:t>13. Conclusion and Future Enhancements</w:t>
        <w:tab/>
        <w:t>25</w:t>
      </w:r>
    </w:p>
    <w:p>
      <w:pPr>
        <w:tabs>
          <w:tab w:pos="9245" w:val="right" w:leader="dot"/>
        </w:tabs>
        <w:spacing w:after="20" w:line="247" w:lineRule="auto"/>
      </w:pPr>
      <w:r>
        <w:t>References</w:t>
        <w:tab/>
        <w:t>26</w:t>
      </w:r>
    </w:p>
    <w:p>
      <w:pPr>
        <w:tabs>
          <w:tab w:pos="9245" w:val="right" w:leader="dot"/>
        </w:tabs>
        <w:spacing w:after="20" w:line="247" w:lineRule="auto"/>
      </w:pPr>
      <w:r>
        <w:t>Appendix A. Reproducibility and Recorded Artifacts</w:t>
        <w:tab/>
        <w:t>28</w:t>
      </w:r>
    </w:p>
    <w:p>
      <w:pPr>
        <w:tabs>
          <w:tab w:pos="9245" w:val="right" w:leader="dot"/>
        </w:tabs>
        <w:spacing w:after="20" w:line="247" w:lineRule="auto"/>
      </w:pPr>
      <w:r>
        <w:t>Appendix B. Screenshot Evidence Register</w:t>
        <w:tab/>
        <w:t>29</w:t>
      </w:r>
    </w:p>
    <w:p>
      <w:pPr>
        <w:pStyle w:val="Heading2"/>
      </w:pPr>
      <w:r>
        <w:rPr>
          <w:color w:val="000000"/>
        </w:rPr>
        <w:t>List of Figures</w:t>
      </w:r>
    </w:p>
    <w:p>
      <w:pPr>
        <w:spacing w:after="0" w:line="240" w:lineRule="auto"/>
      </w:pPr>
      <w:r>
        <w:rPr>
          <w:color w:val="000000"/>
          <w:sz w:val="19"/>
        </w:rPr>
        <w:t>Figure 1. AWS Cloud Monitoring Architecture</w:t>
      </w:r>
    </w:p>
    <w:p>
      <w:pPr>
        <w:spacing w:after="0" w:line="240" w:lineRule="auto"/>
      </w:pPr>
      <w:r>
        <w:rPr>
          <w:color w:val="000000"/>
          <w:sz w:val="19"/>
        </w:rPr>
        <w:t>Figure 2. Complete Implemented System Architecture</w:t>
      </w:r>
    </w:p>
    <w:p>
      <w:pPr>
        <w:spacing w:after="0" w:line="240" w:lineRule="auto"/>
      </w:pPr>
      <w:r>
        <w:rPr>
          <w:color w:val="000000"/>
          <w:sz w:val="19"/>
        </w:rPr>
        <w:t>Figure 3. Measured Local Banking Transaction Latency</w:t>
      </w:r>
    </w:p>
    <w:p>
      <w:pPr>
        <w:spacing w:after="0" w:line="240" w:lineRule="auto"/>
      </w:pPr>
      <w:r>
        <w:rPr>
          <w:color w:val="000000"/>
          <w:sz w:val="19"/>
        </w:rPr>
        <w:t>Figure 4. Banking Graph versus Feature-only Model</w:t>
      </w:r>
    </w:p>
    <w:p>
      <w:pPr>
        <w:spacing w:after="0" w:line="240" w:lineRule="auto"/>
      </w:pPr>
      <w:r>
        <w:rPr>
          <w:color w:val="000000"/>
        </w:rPr>
        <w:t>Figures 5–9. Recorded application screenshots</w:t>
      </w:r>
    </w:p>
    <w:p>
      <w:pPr>
        <w:pStyle w:val="Heading2"/>
      </w:pPr>
      <w:r>
        <w:rPr>
          <w:color w:val="000000"/>
        </w:rPr>
        <w:t>List of Tables</w:t>
      </w:r>
    </w:p>
    <w:p>
      <w:pPr>
        <w:keepNext/>
        <w:spacing w:after="0" w:line="240" w:lineRule="auto"/>
      </w:pPr>
      <w:r>
        <w:rPr>
          <w:color w:val="000000"/>
          <w:sz w:val="19"/>
        </w:rPr>
        <w:t>Table 1. Literature Review of 15 Research Studies</w:t>
      </w:r>
    </w:p>
    <w:p>
      <w:pPr>
        <w:keepNext/>
        <w:spacing w:after="0" w:line="240" w:lineRule="auto"/>
      </w:pPr>
      <w:r>
        <w:rPr>
          <w:color w:val="000000"/>
          <w:sz w:val="19"/>
        </w:rPr>
        <w:t>Table 2. Research Gap Analysis</w:t>
      </w:r>
    </w:p>
    <w:p>
      <w:pPr>
        <w:keepNext/>
        <w:spacing w:after="0" w:line="240" w:lineRule="auto"/>
      </w:pPr>
      <w:r>
        <w:rPr>
          <w:color w:val="000000"/>
          <w:sz w:val="19"/>
        </w:rPr>
        <w:t>Table 3. Novelty Summary</w:t>
      </w:r>
    </w:p>
    <w:p>
      <w:pPr>
        <w:keepNext/>
        <w:spacing w:after="0" w:line="240" w:lineRule="auto"/>
      </w:pPr>
      <w:r>
        <w:rPr>
          <w:color w:val="000000"/>
          <w:sz w:val="19"/>
        </w:rPr>
        <w:t>Table 4. Dataset and Telemetry Sources</w:t>
      </w:r>
    </w:p>
    <w:p>
      <w:pPr>
        <w:keepNext/>
        <w:spacing w:after="0" w:line="240" w:lineRule="auto"/>
      </w:pPr>
      <w:r>
        <w:rPr>
          <w:color w:val="000000"/>
          <w:sz w:val="19"/>
        </w:rPr>
        <w:t>Table 5. AWS Service Status</w:t>
      </w:r>
    </w:p>
    <w:p>
      <w:pPr>
        <w:keepNext/>
        <w:spacing w:after="0" w:line="240" w:lineRule="auto"/>
      </w:pPr>
      <w:r>
        <w:rPr>
          <w:color w:val="000000"/>
          <w:sz w:val="19"/>
        </w:rPr>
        <w:t>Table 6. Principal Implemented Modules</w:t>
      </w:r>
    </w:p>
    <w:p>
      <w:pPr>
        <w:keepNext/>
        <w:spacing w:after="0" w:line="240" w:lineRule="auto"/>
      </w:pPr>
      <w:r>
        <w:rPr>
          <w:color w:val="000000"/>
          <w:sz w:val="19"/>
        </w:rPr>
        <w:t>Table 7. Final Test Cases</w:t>
      </w:r>
    </w:p>
    <w:p>
      <w:pPr>
        <w:keepNext/>
        <w:spacing w:after="0" w:line="240" w:lineRule="auto"/>
      </w:pPr>
      <w:r>
        <w:rPr>
          <w:color w:val="000000"/>
          <w:sz w:val="19"/>
        </w:rPr>
        <w:t>Table 8. Banking Experiment Summary</w:t>
      </w:r>
    </w:p>
    <w:p>
      <w:pPr>
        <w:keepNext/>
        <w:spacing w:after="0" w:line="240" w:lineRule="auto"/>
      </w:pPr>
      <w:r>
        <w:rPr>
          <w:color w:val="000000"/>
          <w:sz w:val="19"/>
        </w:rPr>
        <w:t>Table 9. GNN Comparison</w:t>
      </w:r>
    </w:p>
    <w:p>
      <w:r>
        <w:rPr>
          <w:color w:val="000000"/>
        </w:rPr>
        <w:br w:type="page"/>
      </w:r>
    </w:p>
    <w:p>
      <w:pPr>
        <w:pStyle w:val="Heading1"/>
      </w:pPr>
      <w:r>
        <w:rPr>
          <w:color w:val="000000"/>
        </w:rPr>
        <w:t>1. Introduction</w:t>
      </w:r>
    </w:p>
    <w:p>
      <w:pPr>
        <w:pStyle w:val="Heading2"/>
      </w:pPr>
      <w:r>
        <w:rPr>
          <w:color w:val="000000"/>
        </w:rPr>
        <w:t>1.1 Background</w:t>
      </w:r>
    </w:p>
    <w:p>
      <w:r>
        <w:rPr>
          <w:color w:val="000000"/>
        </w:rPr>
        <w:t>The performance of digital banking services depends on timely execution of account, transfer, and ledger operations. A request can appear slow at the user interface even when its immediate handler is waiting on another service. Service-level traces and resource measurements are therefore required to distinguish a visible symptom from its likely origin. Microservice research has addressed this problem with statistical anomaly detection, graph representations, distributed tracing, and root-cause ranking (Wu et al., 2020; Yu et al., 2021; Lee et al., 2023).</w:t>
      </w:r>
    </w:p>
    <w:p>
      <w:pPr>
        <w:pStyle w:val="Heading2"/>
      </w:pPr>
      <w:r>
        <w:rPr>
          <w:color w:val="000000"/>
        </w:rPr>
        <w:t>1.2 Problem Statement</w:t>
      </w:r>
    </w:p>
    <w:p>
      <w:r>
        <w:rPr>
          <w:color w:val="000000"/>
        </w:rPr>
        <w:t>Aggregate transaction latency identifies a performance symptom but does not establish which internal component is responsible or what mechanism produced the delay. The implemented work addresses this distinction through measured request traces, service-specific deviations, evidence-gated mechanism hypotheses, and independent comparisons with bounded experimental conditions.</w:t>
      </w:r>
    </w:p>
    <w:p>
      <w:pPr>
        <w:pStyle w:val="Heading2"/>
      </w:pPr>
      <w:r>
        <w:rPr>
          <w:color w:val="000000"/>
        </w:rPr>
        <w:t>1.3 Motivation and Significance</w:t>
      </w:r>
    </w:p>
    <w:p>
      <w:r>
        <w:rPr>
          <w:color w:val="000000"/>
        </w:rPr>
        <w:t>A banking-oriented workload provides an operationally meaningful context for examining latency, rather than presenting unrelated microservice benchmark names as financial services. The supporting AWS module preserves visibility into actual cloud resources. Because internal cloud faults and banking transaction traces are not supplied by the same public dataset, the application workload, research benchmarks, and cloud observations are evaluated separately.</w:t>
      </w:r>
    </w:p>
    <w:p>
      <w:pPr>
        <w:pStyle w:val="Heading2"/>
      </w:pPr>
      <w:r>
        <w:rPr>
          <w:color w:val="000000"/>
        </w:rPr>
        <w:t>1.4 Scope</w:t>
      </w:r>
    </w:p>
    <w:p>
      <w:r>
        <w:rPr>
          <w:color w:val="000000"/>
        </w:rPr>
        <w:t>The implemented academic system uses fictitious accounts and test balances. Balance enquiry, fund transfer, and transaction history run in separate local FastAPI services. One bounded application-processing delay was exercised and measured. The platform does not handle real money, financial credentials, UPI, cloud-hosted bank transactions, or automated production remediation.</w:t>
      </w:r>
    </w:p>
    <w:p>
      <w:pPr>
        <w:pStyle w:val="Heading2"/>
      </w:pPr>
      <w:r>
        <w:rPr>
          <w:color w:val="000000"/>
        </w:rPr>
        <w:t>1.5 Report Organisation</w:t>
      </w:r>
    </w:p>
    <w:p>
      <w:r>
        <w:rPr>
          <w:color w:val="000000"/>
        </w:rPr>
        <w:t>The report presents related work, research gap, objectives, implemented architecture, datasets, AWS services, methodology, implementation evidence, measured results, limitations, team and GitHub management, and concluding observations.</w:t>
      </w:r>
    </w:p>
    <w:p>
      <w:pPr>
        <w:pStyle w:val="Heading1"/>
      </w:pPr>
      <w:r>
        <w:rPr>
          <w:color w:val="000000"/>
        </w:rPr>
        <w:t>2. Literature Survey and Related Work</w:t>
      </w:r>
    </w:p>
    <w:p>
      <w:r>
        <w:rPr>
          <w:color w:val="000000"/>
        </w:rPr>
        <w:t>Fifteen relevant publications were examined, prioritizing root-cause localization, metric and trace analytics, graph-based anomaly detection, and methods evaluated on actual microservice recordings. Papers published before 2023 are retained where they provide the methodological foundation for the implementation. The review distinguishes reported research methods from the components actually reproduced in this project.</w:t>
      </w:r>
    </w:p>
    <w:p>
      <w:pPr>
        <w:pStyle w:val="Caption"/>
        <w:keepNext/>
        <w:jc w:val="center"/>
      </w:pPr>
      <w:r>
        <w:rPr>
          <w:color w:val="000000"/>
        </w:rPr>
        <w:t>Table 1. Literature review of 15 research studies</w:t>
      </w:r>
    </w:p>
    <w:tbl>
      <w:tblPr>
        <w:tblStyle w:val="TableGrid"/>
        <w:tblW w:type="auto" w:w="0"/>
        <w:jc w:val="center"/>
        <w:tblLayout w:type="fixed"/>
        <w:tblLook w:firstColumn="1" w:firstRow="1" w:lastColumn="0" w:lastRow="0" w:noHBand="0" w:noVBand="1" w:val="04A0"/>
      </w:tblPr>
      <w:tblGrid>
        <w:gridCol w:w="518"/>
        <w:gridCol w:w="1728"/>
        <w:gridCol w:w="2491"/>
        <w:gridCol w:w="1886"/>
        <w:gridCol w:w="2880"/>
      </w:tblGrid>
      <w:tr>
        <w:trPr>
          <w:tblHeader w:val="true"/>
          <w:cantSplit/>
          <w:tblHeader/>
        </w:trPr>
        <w:tc>
          <w:tcPr>
            <w:tcW w:type="dxa" w:w="518"/>
            <w:shd w:fill="EDEDED"/>
            <w:tcMar>
              <w:top w:w="70" w:type="dxa"/>
              <w:bottom w:w="70" w:type="dxa"/>
              <w:left w:w="70" w:type="dxa"/>
              <w:right w:w="70" w:type="dxa"/>
            </w:tcMar>
            <w:vAlign w:val="top"/>
          </w:tcPr>
          <w:p>
            <w:pPr>
              <w:pStyle w:val="TableText"/>
              <w:keepNext/>
            </w:pPr>
            <w:r>
              <w:rPr>
                <w:b/>
                <w:color w:val="000000"/>
                <w:sz w:val="18"/>
              </w:rPr>
              <w:t>ID</w:t>
            </w:r>
          </w:p>
        </w:tc>
        <w:tc>
          <w:tcPr>
            <w:tcW w:type="dxa" w:w="1728"/>
            <w:shd w:fill="EDEDED"/>
            <w:tcMar>
              <w:top w:w="70" w:type="dxa"/>
              <w:bottom w:w="70" w:type="dxa"/>
              <w:left w:w="70" w:type="dxa"/>
              <w:right w:w="70" w:type="dxa"/>
            </w:tcMar>
            <w:vAlign w:val="top"/>
          </w:tcPr>
          <w:p>
            <w:pPr>
              <w:pStyle w:val="TableText"/>
              <w:keepNext/>
            </w:pPr>
            <w:r>
              <w:rPr>
                <w:b/>
                <w:color w:val="000000"/>
                <w:sz w:val="18"/>
              </w:rPr>
              <w:t>Study</w:t>
            </w:r>
          </w:p>
        </w:tc>
        <w:tc>
          <w:tcPr>
            <w:tcW w:type="dxa" w:w="2491"/>
            <w:shd w:fill="EDEDED"/>
            <w:tcMar>
              <w:top w:w="70" w:type="dxa"/>
              <w:bottom w:w="70" w:type="dxa"/>
              <w:left w:w="70" w:type="dxa"/>
              <w:right w:w="70" w:type="dxa"/>
            </w:tcMar>
            <w:vAlign w:val="top"/>
          </w:tcPr>
          <w:p>
            <w:pPr>
              <w:pStyle w:val="TableText"/>
              <w:keepNext/>
            </w:pPr>
            <w:r>
              <w:rPr>
                <w:b/>
                <w:color w:val="000000"/>
                <w:sz w:val="18"/>
              </w:rPr>
              <w:t>Method / architecture</w:t>
            </w:r>
          </w:p>
        </w:tc>
        <w:tc>
          <w:tcPr>
            <w:tcW w:type="dxa" w:w="1886"/>
            <w:shd w:fill="EDEDED"/>
            <w:tcMar>
              <w:top w:w="70" w:type="dxa"/>
              <w:bottom w:w="70" w:type="dxa"/>
              <w:left w:w="70" w:type="dxa"/>
              <w:right w:w="70" w:type="dxa"/>
            </w:tcMar>
            <w:vAlign w:val="top"/>
          </w:tcPr>
          <w:p>
            <w:pPr>
              <w:pStyle w:val="TableText"/>
              <w:keepNext/>
            </w:pPr>
            <w:r>
              <w:rPr>
                <w:b/>
                <w:color w:val="000000"/>
                <w:sz w:val="18"/>
              </w:rPr>
              <w:t>Data / evaluation</w:t>
            </w:r>
          </w:p>
        </w:tc>
        <w:tc>
          <w:tcPr>
            <w:tcW w:type="dxa" w:w="2880"/>
            <w:shd w:fill="EDEDED"/>
            <w:tcMar>
              <w:top w:w="70" w:type="dxa"/>
              <w:bottom w:w="70" w:type="dxa"/>
              <w:left w:w="70" w:type="dxa"/>
              <w:right w:w="70" w:type="dxa"/>
            </w:tcMar>
            <w:vAlign w:val="top"/>
          </w:tcPr>
          <w:p>
            <w:pPr>
              <w:pStyle w:val="TableText"/>
              <w:keepNext/>
            </w:pPr>
            <w:r>
              <w:rPr>
                <w:b/>
                <w:color w:val="000000"/>
                <w:sz w:val="18"/>
              </w:rPr>
              <w:t>Finding relevant to this work</w:t>
            </w:r>
          </w:p>
        </w:tc>
      </w:tr>
      <w:tr>
        <w:trPr>
          <w:cantSplit/>
        </w:trPr>
        <w:tc>
          <w:tcPr>
            <w:tcW w:type="dxa" w:w="518"/>
            <w:vAlign w:val="top"/>
            <w:tcMar>
              <w:top w:w="70" w:type="dxa"/>
              <w:bottom w:w="70" w:type="dxa"/>
              <w:left w:w="70" w:type="dxa"/>
              <w:right w:w="70" w:type="dxa"/>
            </w:tcMar>
          </w:tcPr>
          <w:p>
            <w:pPr>
              <w:pStyle w:val="TableText"/>
              <w:keepLines/>
            </w:pPr>
            <w:r>
              <w:rPr>
                <w:color w:val="000000"/>
                <w:sz w:val="18"/>
              </w:rPr>
              <w:t>P1</w:t>
            </w:r>
          </w:p>
        </w:tc>
        <w:tc>
          <w:tcPr>
            <w:tcW w:type="dxa" w:w="1728"/>
            <w:vAlign w:val="top"/>
            <w:tcMar>
              <w:top w:w="70" w:type="dxa"/>
              <w:bottom w:w="70" w:type="dxa"/>
              <w:left w:w="70" w:type="dxa"/>
              <w:right w:w="70" w:type="dxa"/>
            </w:tcMar>
          </w:tcPr>
          <w:p>
            <w:pPr>
              <w:pStyle w:val="TableText"/>
              <w:keepLines/>
            </w:pPr>
            <w:r>
              <w:rPr>
                <w:color w:val="000000"/>
                <w:sz w:val="18"/>
              </w:rPr>
              <w:t>Wu et al. (2020)</w:t>
              <w:br/>
              <w:t>MicroRCA</w:t>
            </w:r>
          </w:p>
        </w:tc>
        <w:tc>
          <w:tcPr>
            <w:tcW w:type="dxa" w:w="2491"/>
            <w:vAlign w:val="top"/>
            <w:tcMar>
              <w:top w:w="70" w:type="dxa"/>
              <w:bottom w:w="70" w:type="dxa"/>
              <w:left w:w="70" w:type="dxa"/>
              <w:right w:w="70" w:type="dxa"/>
            </w:tcMar>
          </w:tcPr>
          <w:p>
            <w:pPr>
              <w:pStyle w:val="TableText"/>
              <w:keepLines/>
            </w:pPr>
            <w:r>
              <w:rPr>
                <w:color w:val="000000"/>
                <w:sz w:val="18"/>
              </w:rPr>
              <w:t>Attributed service-resource graph and anomaly propagation</w:t>
            </w:r>
          </w:p>
        </w:tc>
        <w:tc>
          <w:tcPr>
            <w:tcW w:type="dxa" w:w="1886"/>
            <w:vAlign w:val="top"/>
            <w:tcMar>
              <w:top w:w="70" w:type="dxa"/>
              <w:bottom w:w="70" w:type="dxa"/>
              <w:left w:w="70" w:type="dxa"/>
              <w:right w:w="70" w:type="dxa"/>
            </w:tcMar>
          </w:tcPr>
          <w:p>
            <w:pPr>
              <w:pStyle w:val="TableText"/>
              <w:keepLines/>
            </w:pPr>
            <w:r>
              <w:rPr>
                <w:color w:val="000000"/>
                <w:sz w:val="18"/>
              </w:rPr>
              <w:t>Fault-injected Kubernetes microservices</w:t>
            </w:r>
          </w:p>
        </w:tc>
        <w:tc>
          <w:tcPr>
            <w:tcW w:type="dxa" w:w="2880"/>
            <w:vAlign w:val="top"/>
            <w:tcMar>
              <w:top w:w="70" w:type="dxa"/>
              <w:bottom w:w="70" w:type="dxa"/>
              <w:left w:w="70" w:type="dxa"/>
              <w:right w:w="70" w:type="dxa"/>
            </w:tcMar>
          </w:tcPr>
          <w:p>
            <w:pPr>
              <w:pStyle w:val="TableText"/>
              <w:keepLines/>
            </w:pPr>
            <w:r>
              <w:rPr>
                <w:color w:val="000000"/>
                <w:sz w:val="18"/>
              </w:rPr>
              <w:t>Links service latency to infrastructure; needs suitable metrics.</w:t>
            </w:r>
          </w:p>
        </w:tc>
      </w:tr>
      <w:tr>
        <w:trPr>
          <w:cantSplit/>
        </w:trPr>
        <w:tc>
          <w:tcPr>
            <w:tcW w:type="dxa" w:w="518"/>
            <w:vAlign w:val="top"/>
            <w:shd w:fill="FAFAFA"/>
            <w:tcMar>
              <w:top w:w="70" w:type="dxa"/>
              <w:bottom w:w="70" w:type="dxa"/>
              <w:left w:w="70" w:type="dxa"/>
              <w:right w:w="70" w:type="dxa"/>
            </w:tcMar>
          </w:tcPr>
          <w:p>
            <w:pPr>
              <w:pStyle w:val="TableText"/>
              <w:keepLines/>
            </w:pPr>
            <w:r>
              <w:rPr>
                <w:color w:val="000000"/>
                <w:sz w:val="18"/>
              </w:rPr>
              <w:t>P2</w:t>
            </w:r>
          </w:p>
        </w:tc>
        <w:tc>
          <w:tcPr>
            <w:tcW w:type="dxa" w:w="1728"/>
            <w:vAlign w:val="top"/>
            <w:shd w:fill="FAFAFA"/>
            <w:tcMar>
              <w:top w:w="70" w:type="dxa"/>
              <w:bottom w:w="70" w:type="dxa"/>
              <w:left w:w="70" w:type="dxa"/>
              <w:right w:w="70" w:type="dxa"/>
            </w:tcMar>
          </w:tcPr>
          <w:p>
            <w:pPr>
              <w:pStyle w:val="TableText"/>
              <w:keepLines/>
            </w:pPr>
            <w:r>
              <w:rPr>
                <w:color w:val="000000"/>
                <w:sz w:val="18"/>
              </w:rPr>
              <w:t>Yu et al. (2021)</w:t>
              <w:br/>
              <w:t>MicroRank</w:t>
            </w:r>
          </w:p>
        </w:tc>
        <w:tc>
          <w:tcPr>
            <w:tcW w:type="dxa" w:w="2491"/>
            <w:vAlign w:val="top"/>
            <w:shd w:fill="FAFAFA"/>
            <w:tcMar>
              <w:top w:w="70" w:type="dxa"/>
              <w:bottom w:w="70" w:type="dxa"/>
              <w:left w:w="70" w:type="dxa"/>
              <w:right w:w="70" w:type="dxa"/>
            </w:tcMar>
          </w:tcPr>
          <w:p>
            <w:pPr>
              <w:pStyle w:val="TableText"/>
              <w:keepLines/>
            </w:pPr>
            <w:r>
              <w:rPr>
                <w:color w:val="000000"/>
                <w:sz w:val="18"/>
              </w:rPr>
              <w:t>Normal/abnormal trace comparison and PageRank spectrum scoring</w:t>
            </w:r>
          </w:p>
        </w:tc>
        <w:tc>
          <w:tcPr>
            <w:tcW w:type="dxa" w:w="1886"/>
            <w:vAlign w:val="top"/>
            <w:shd w:fill="FAFAFA"/>
            <w:tcMar>
              <w:top w:w="70" w:type="dxa"/>
              <w:bottom w:w="70" w:type="dxa"/>
              <w:left w:w="70" w:type="dxa"/>
              <w:right w:w="70" w:type="dxa"/>
            </w:tcMar>
          </w:tcPr>
          <w:p>
            <w:pPr>
              <w:pStyle w:val="TableText"/>
              <w:keepLines/>
            </w:pPr>
            <w:r>
              <w:rPr>
                <w:color w:val="000000"/>
                <w:sz w:val="18"/>
              </w:rPr>
              <w:t>Distributed microservice execution traces</w:t>
            </w:r>
          </w:p>
        </w:tc>
        <w:tc>
          <w:tcPr>
            <w:tcW w:type="dxa" w:w="2880"/>
            <w:vAlign w:val="top"/>
            <w:shd w:fill="FAFAFA"/>
            <w:tcMar>
              <w:top w:w="70" w:type="dxa"/>
              <w:bottom w:w="70" w:type="dxa"/>
              <w:left w:w="70" w:type="dxa"/>
              <w:right w:w="70" w:type="dxa"/>
            </w:tcMar>
          </w:tcPr>
          <w:p>
            <w:pPr>
              <w:pStyle w:val="TableText"/>
              <w:keepLines/>
            </w:pPr>
            <w:r>
              <w:rPr>
                <w:color w:val="000000"/>
                <w:sz w:val="18"/>
              </w:rPr>
              <w:t>Relevant to end-to-end latency localization; depends on trace coverage.</w:t>
            </w:r>
          </w:p>
        </w:tc>
      </w:tr>
      <w:tr>
        <w:trPr>
          <w:cantSplit/>
        </w:trPr>
        <w:tc>
          <w:tcPr>
            <w:tcW w:type="dxa" w:w="518"/>
            <w:vAlign w:val="top"/>
            <w:tcMar>
              <w:top w:w="70" w:type="dxa"/>
              <w:bottom w:w="70" w:type="dxa"/>
              <w:left w:w="70" w:type="dxa"/>
              <w:right w:w="70" w:type="dxa"/>
            </w:tcMar>
          </w:tcPr>
          <w:p>
            <w:pPr>
              <w:pStyle w:val="TableText"/>
              <w:keepLines/>
            </w:pPr>
            <w:r>
              <w:rPr>
                <w:color w:val="000000"/>
                <w:sz w:val="18"/>
              </w:rPr>
              <w:t>P3</w:t>
            </w:r>
          </w:p>
        </w:tc>
        <w:tc>
          <w:tcPr>
            <w:tcW w:type="dxa" w:w="1728"/>
            <w:vAlign w:val="top"/>
            <w:tcMar>
              <w:top w:w="70" w:type="dxa"/>
              <w:bottom w:w="70" w:type="dxa"/>
              <w:left w:w="70" w:type="dxa"/>
              <w:right w:w="70" w:type="dxa"/>
            </w:tcMar>
          </w:tcPr>
          <w:p>
            <w:pPr>
              <w:pStyle w:val="TableText"/>
              <w:keepLines/>
            </w:pPr>
            <w:r>
              <w:rPr>
                <w:color w:val="000000"/>
                <w:sz w:val="18"/>
              </w:rPr>
              <w:t>Deng &amp; Hooi (2021)</w:t>
              <w:br/>
              <w:t>GDN</w:t>
            </w:r>
          </w:p>
        </w:tc>
        <w:tc>
          <w:tcPr>
            <w:tcW w:type="dxa" w:w="2491"/>
            <w:vAlign w:val="top"/>
            <w:tcMar>
              <w:top w:w="70" w:type="dxa"/>
              <w:bottom w:w="70" w:type="dxa"/>
              <w:left w:w="70" w:type="dxa"/>
              <w:right w:w="70" w:type="dxa"/>
            </w:tcMar>
          </w:tcPr>
          <w:p>
            <w:pPr>
              <w:pStyle w:val="TableText"/>
              <w:keepLines/>
            </w:pPr>
            <w:r>
              <w:rPr>
                <w:color w:val="000000"/>
                <w:sz w:val="18"/>
              </w:rPr>
              <w:t>Learned dependency graph with feature forecasting</w:t>
            </w:r>
          </w:p>
        </w:tc>
        <w:tc>
          <w:tcPr>
            <w:tcW w:type="dxa" w:w="1886"/>
            <w:vAlign w:val="top"/>
            <w:tcMar>
              <w:top w:w="70" w:type="dxa"/>
              <w:bottom w:w="70" w:type="dxa"/>
              <w:left w:w="70" w:type="dxa"/>
              <w:right w:w="70" w:type="dxa"/>
            </w:tcMar>
          </w:tcPr>
          <w:p>
            <w:pPr>
              <w:pStyle w:val="TableText"/>
              <w:keepLines/>
            </w:pPr>
            <w:r>
              <w:rPr>
                <w:color w:val="000000"/>
                <w:sz w:val="18"/>
              </w:rPr>
              <w:t>Industrial / sensor multivariate time series</w:t>
            </w:r>
          </w:p>
        </w:tc>
        <w:tc>
          <w:tcPr>
            <w:tcW w:type="dxa" w:w="2880"/>
            <w:vAlign w:val="top"/>
            <w:tcMar>
              <w:top w:w="70" w:type="dxa"/>
              <w:bottom w:w="70" w:type="dxa"/>
              <w:left w:w="70" w:type="dxa"/>
              <w:right w:w="70" w:type="dxa"/>
            </w:tcMar>
          </w:tcPr>
          <w:p>
            <w:pPr>
              <w:pStyle w:val="TableText"/>
              <w:keepLines/>
            </w:pPr>
            <w:r>
              <w:rPr>
                <w:color w:val="000000"/>
                <w:sz w:val="18"/>
              </w:rPr>
              <w:t>Shows graph-based prediction evidence; transfer across domains is limited.</w:t>
            </w:r>
          </w:p>
        </w:tc>
      </w:tr>
      <w:tr>
        <w:trPr>
          <w:cantSplit/>
        </w:trPr>
        <w:tc>
          <w:tcPr>
            <w:tcW w:type="dxa" w:w="518"/>
            <w:vAlign w:val="top"/>
            <w:shd w:fill="FAFAFA"/>
            <w:tcMar>
              <w:top w:w="70" w:type="dxa"/>
              <w:bottom w:w="70" w:type="dxa"/>
              <w:left w:w="70" w:type="dxa"/>
              <w:right w:w="70" w:type="dxa"/>
            </w:tcMar>
          </w:tcPr>
          <w:p>
            <w:pPr>
              <w:pStyle w:val="TableText"/>
              <w:keepLines/>
            </w:pPr>
            <w:r>
              <w:rPr>
                <w:color w:val="000000"/>
                <w:sz w:val="18"/>
              </w:rPr>
              <w:t>P4</w:t>
            </w:r>
          </w:p>
        </w:tc>
        <w:tc>
          <w:tcPr>
            <w:tcW w:type="dxa" w:w="1728"/>
            <w:vAlign w:val="top"/>
            <w:shd w:fill="FAFAFA"/>
            <w:tcMar>
              <w:top w:w="70" w:type="dxa"/>
              <w:bottom w:w="70" w:type="dxa"/>
              <w:left w:w="70" w:type="dxa"/>
              <w:right w:w="70" w:type="dxa"/>
            </w:tcMar>
          </w:tcPr>
          <w:p>
            <w:pPr>
              <w:pStyle w:val="TableText"/>
              <w:keepLines/>
            </w:pPr>
            <w:r>
              <w:rPr>
                <w:color w:val="000000"/>
                <w:sz w:val="18"/>
              </w:rPr>
              <w:t>Liu et al. (2021)</w:t>
              <w:br/>
              <w:t>MicroHECL</w:t>
            </w:r>
          </w:p>
        </w:tc>
        <w:tc>
          <w:tcPr>
            <w:tcW w:type="dxa" w:w="2491"/>
            <w:vAlign w:val="top"/>
            <w:shd w:fill="FAFAFA"/>
            <w:tcMar>
              <w:top w:w="70" w:type="dxa"/>
              <w:bottom w:w="70" w:type="dxa"/>
              <w:left w:w="70" w:type="dxa"/>
              <w:right w:w="70" w:type="dxa"/>
            </w:tcMar>
          </w:tcPr>
          <w:p>
            <w:pPr>
              <w:pStyle w:val="TableText"/>
              <w:keepLines/>
            </w:pPr>
            <w:r>
              <w:rPr>
                <w:color w:val="000000"/>
                <w:sz w:val="18"/>
              </w:rPr>
              <w:t>Dynamic call graphs and propagation-chain pruning</w:t>
            </w:r>
          </w:p>
        </w:tc>
        <w:tc>
          <w:tcPr>
            <w:tcW w:type="dxa" w:w="1886"/>
            <w:vAlign w:val="top"/>
            <w:shd w:fill="FAFAFA"/>
            <w:tcMar>
              <w:top w:w="70" w:type="dxa"/>
              <w:bottom w:w="70" w:type="dxa"/>
              <w:left w:w="70" w:type="dxa"/>
              <w:right w:w="70" w:type="dxa"/>
            </w:tcMar>
          </w:tcPr>
          <w:p>
            <w:pPr>
              <w:pStyle w:val="TableText"/>
              <w:keepLines/>
            </w:pPr>
            <w:r>
              <w:rPr>
                <w:color w:val="000000"/>
                <w:sz w:val="18"/>
              </w:rPr>
              <w:t>Alibaba industrial microservices</w:t>
            </w:r>
          </w:p>
        </w:tc>
        <w:tc>
          <w:tcPr>
            <w:tcW w:type="dxa" w:w="2880"/>
            <w:vAlign w:val="top"/>
            <w:shd w:fill="FAFAFA"/>
            <w:tcMar>
              <w:top w:w="70" w:type="dxa"/>
              <w:bottom w:w="70" w:type="dxa"/>
              <w:left w:w="70" w:type="dxa"/>
              <w:right w:w="70" w:type="dxa"/>
            </w:tcMar>
          </w:tcPr>
          <w:p>
            <w:pPr>
              <w:pStyle w:val="TableText"/>
              <w:keepLines/>
            </w:pPr>
            <w:r>
              <w:rPr>
                <w:color w:val="000000"/>
                <w:sz w:val="18"/>
              </w:rPr>
              <w:t>Efficient ranking; needs reliable anomaly onset and dependencies.</w:t>
            </w:r>
          </w:p>
        </w:tc>
      </w:tr>
      <w:tr>
        <w:trPr>
          <w:cantSplit/>
        </w:trPr>
        <w:tc>
          <w:tcPr>
            <w:tcW w:type="dxa" w:w="518"/>
            <w:vAlign w:val="top"/>
            <w:tcMar>
              <w:top w:w="70" w:type="dxa"/>
              <w:bottom w:w="70" w:type="dxa"/>
              <w:left w:w="70" w:type="dxa"/>
              <w:right w:w="70" w:type="dxa"/>
            </w:tcMar>
          </w:tcPr>
          <w:p>
            <w:pPr>
              <w:pStyle w:val="TableText"/>
              <w:keepLines/>
            </w:pPr>
            <w:r>
              <w:rPr>
                <w:color w:val="000000"/>
                <w:sz w:val="18"/>
              </w:rPr>
              <w:t>P5</w:t>
            </w:r>
          </w:p>
        </w:tc>
        <w:tc>
          <w:tcPr>
            <w:tcW w:type="dxa" w:w="1728"/>
            <w:vAlign w:val="top"/>
            <w:tcMar>
              <w:top w:w="70" w:type="dxa"/>
              <w:bottom w:w="70" w:type="dxa"/>
              <w:left w:w="70" w:type="dxa"/>
              <w:right w:w="70" w:type="dxa"/>
            </w:tcMar>
          </w:tcPr>
          <w:p>
            <w:pPr>
              <w:pStyle w:val="TableText"/>
              <w:keepLines/>
            </w:pPr>
            <w:r>
              <w:rPr>
                <w:color w:val="000000"/>
                <w:sz w:val="18"/>
              </w:rPr>
              <w:t>Ying et al. (2019)</w:t>
              <w:br/>
              <w:t>GNNExplainer</w:t>
            </w:r>
          </w:p>
        </w:tc>
        <w:tc>
          <w:tcPr>
            <w:tcW w:type="dxa" w:w="2491"/>
            <w:vAlign w:val="top"/>
            <w:tcMar>
              <w:top w:w="70" w:type="dxa"/>
              <w:bottom w:w="70" w:type="dxa"/>
              <w:left w:w="70" w:type="dxa"/>
              <w:right w:w="70" w:type="dxa"/>
            </w:tcMar>
          </w:tcPr>
          <w:p>
            <w:pPr>
              <w:pStyle w:val="TableText"/>
              <w:keepLines/>
            </w:pPr>
            <w:r>
              <w:rPr>
                <w:color w:val="000000"/>
                <w:sz w:val="18"/>
              </w:rPr>
              <w:t>Relevant subgraph and feature attribution</w:t>
            </w:r>
          </w:p>
        </w:tc>
        <w:tc>
          <w:tcPr>
            <w:tcW w:type="dxa" w:w="1886"/>
            <w:vAlign w:val="top"/>
            <w:tcMar>
              <w:top w:w="70" w:type="dxa"/>
              <w:bottom w:w="70" w:type="dxa"/>
              <w:left w:w="70" w:type="dxa"/>
              <w:right w:w="70" w:type="dxa"/>
            </w:tcMar>
          </w:tcPr>
          <w:p>
            <w:pPr>
              <w:pStyle w:val="TableText"/>
              <w:keepLines/>
            </w:pPr>
            <w:r>
              <w:rPr>
                <w:color w:val="000000"/>
                <w:sz w:val="18"/>
              </w:rPr>
              <w:t>Graph learning benchmarks</w:t>
            </w:r>
          </w:p>
        </w:tc>
        <w:tc>
          <w:tcPr>
            <w:tcW w:type="dxa" w:w="2880"/>
            <w:vAlign w:val="top"/>
            <w:tcMar>
              <w:top w:w="70" w:type="dxa"/>
              <w:bottom w:w="70" w:type="dxa"/>
              <w:left w:w="70" w:type="dxa"/>
              <w:right w:w="70" w:type="dxa"/>
            </w:tcMar>
          </w:tcPr>
          <w:p>
            <w:pPr>
              <w:pStyle w:val="TableText"/>
              <w:keepLines/>
            </w:pPr>
            <w:r>
              <w:rPr>
                <w:color w:val="000000"/>
                <w:sz w:val="18"/>
              </w:rPr>
              <w:t>Supports interpretable model evidence, not physical causal proof.</w:t>
            </w:r>
          </w:p>
        </w:tc>
      </w:tr>
      <w:tr>
        <w:trPr>
          <w:cantSplit/>
        </w:trPr>
        <w:tc>
          <w:tcPr>
            <w:tcW w:type="dxa" w:w="518"/>
            <w:vAlign w:val="top"/>
            <w:shd w:fill="FAFAFA"/>
            <w:tcMar>
              <w:top w:w="70" w:type="dxa"/>
              <w:bottom w:w="70" w:type="dxa"/>
              <w:left w:w="70" w:type="dxa"/>
              <w:right w:w="70" w:type="dxa"/>
            </w:tcMar>
          </w:tcPr>
          <w:p>
            <w:pPr>
              <w:pStyle w:val="TableText"/>
              <w:keepLines/>
            </w:pPr>
            <w:r>
              <w:rPr>
                <w:color w:val="000000"/>
                <w:sz w:val="18"/>
              </w:rPr>
              <w:t>P6</w:t>
            </w:r>
          </w:p>
        </w:tc>
        <w:tc>
          <w:tcPr>
            <w:tcW w:type="dxa" w:w="1728"/>
            <w:vAlign w:val="top"/>
            <w:shd w:fill="FAFAFA"/>
            <w:tcMar>
              <w:top w:w="70" w:type="dxa"/>
              <w:bottom w:w="70" w:type="dxa"/>
              <w:left w:w="70" w:type="dxa"/>
              <w:right w:w="70" w:type="dxa"/>
            </w:tcMar>
          </w:tcPr>
          <w:p>
            <w:pPr>
              <w:pStyle w:val="TableText"/>
              <w:keepLines/>
            </w:pPr>
            <w:r>
              <w:rPr>
                <w:color w:val="000000"/>
                <w:sz w:val="18"/>
              </w:rPr>
              <w:t>Guan et al. (2022)</w:t>
              <w:br/>
              <w:t>GTAD</w:t>
            </w:r>
          </w:p>
        </w:tc>
        <w:tc>
          <w:tcPr>
            <w:tcW w:type="dxa" w:w="2491"/>
            <w:vAlign w:val="top"/>
            <w:shd w:fill="FAFAFA"/>
            <w:tcMar>
              <w:top w:w="70" w:type="dxa"/>
              <w:bottom w:w="70" w:type="dxa"/>
              <w:left w:w="70" w:type="dxa"/>
              <w:right w:w="70" w:type="dxa"/>
            </w:tcMar>
          </w:tcPr>
          <w:p>
            <w:pPr>
              <w:pStyle w:val="TableText"/>
              <w:keepLines/>
            </w:pPr>
            <w:r>
              <w:rPr>
                <w:color w:val="000000"/>
                <w:sz w:val="18"/>
              </w:rPr>
              <w:t>Graph and temporal feature modeling</w:t>
            </w:r>
          </w:p>
        </w:tc>
        <w:tc>
          <w:tcPr>
            <w:tcW w:type="dxa" w:w="1886"/>
            <w:vAlign w:val="top"/>
            <w:shd w:fill="FAFAFA"/>
            <w:tcMar>
              <w:top w:w="70" w:type="dxa"/>
              <w:bottom w:w="70" w:type="dxa"/>
              <w:left w:w="70" w:type="dxa"/>
              <w:right w:w="70" w:type="dxa"/>
            </w:tcMar>
          </w:tcPr>
          <w:p>
            <w:pPr>
              <w:pStyle w:val="TableText"/>
              <w:keepLines/>
            </w:pPr>
            <w:r>
              <w:rPr>
                <w:color w:val="000000"/>
                <w:sz w:val="18"/>
              </w:rPr>
              <w:t>Industrial multivariate time series</w:t>
            </w:r>
          </w:p>
        </w:tc>
        <w:tc>
          <w:tcPr>
            <w:tcW w:type="dxa" w:w="2880"/>
            <w:vAlign w:val="top"/>
            <w:shd w:fill="FAFAFA"/>
            <w:tcMar>
              <w:top w:w="70" w:type="dxa"/>
              <w:bottom w:w="70" w:type="dxa"/>
              <w:left w:w="70" w:type="dxa"/>
              <w:right w:w="70" w:type="dxa"/>
            </w:tcMar>
          </w:tcPr>
          <w:p>
            <w:pPr>
              <w:pStyle w:val="TableText"/>
              <w:keepLines/>
            </w:pPr>
            <w:r>
              <w:rPr>
                <w:color w:val="000000"/>
                <w:sz w:val="18"/>
              </w:rPr>
              <w:t>Highlights the value of temporal context; different workload domain.</w:t>
            </w:r>
          </w:p>
        </w:tc>
      </w:tr>
      <w:tr>
        <w:trPr>
          <w:cantSplit/>
        </w:trPr>
        <w:tc>
          <w:tcPr>
            <w:tcW w:type="dxa" w:w="518"/>
            <w:vAlign w:val="top"/>
            <w:tcMar>
              <w:top w:w="70" w:type="dxa"/>
              <w:bottom w:w="70" w:type="dxa"/>
              <w:left w:w="70" w:type="dxa"/>
              <w:right w:w="70" w:type="dxa"/>
            </w:tcMar>
          </w:tcPr>
          <w:p>
            <w:pPr>
              <w:pStyle w:val="TableText"/>
              <w:keepLines/>
            </w:pPr>
            <w:r>
              <w:rPr>
                <w:color w:val="000000"/>
                <w:sz w:val="18"/>
              </w:rPr>
              <w:t>P7</w:t>
            </w:r>
          </w:p>
        </w:tc>
        <w:tc>
          <w:tcPr>
            <w:tcW w:type="dxa" w:w="1728"/>
            <w:vAlign w:val="top"/>
            <w:tcMar>
              <w:top w:w="70" w:type="dxa"/>
              <w:bottom w:w="70" w:type="dxa"/>
              <w:left w:w="70" w:type="dxa"/>
              <w:right w:w="70" w:type="dxa"/>
            </w:tcMar>
          </w:tcPr>
          <w:p>
            <w:pPr>
              <w:pStyle w:val="TableText"/>
              <w:keepLines/>
            </w:pPr>
            <w:r>
              <w:rPr>
                <w:color w:val="000000"/>
                <w:sz w:val="18"/>
              </w:rPr>
              <w:t>Lee et al. (2023)</w:t>
              <w:br/>
              <w:t>Eadro</w:t>
            </w:r>
          </w:p>
        </w:tc>
        <w:tc>
          <w:tcPr>
            <w:tcW w:type="dxa" w:w="2491"/>
            <w:vAlign w:val="top"/>
            <w:tcMar>
              <w:top w:w="70" w:type="dxa"/>
              <w:bottom w:w="70" w:type="dxa"/>
              <w:left w:w="70" w:type="dxa"/>
              <w:right w:w="70" w:type="dxa"/>
            </w:tcMar>
          </w:tcPr>
          <w:p>
            <w:pPr>
              <w:pStyle w:val="TableText"/>
              <w:keepLines/>
            </w:pPr>
            <w:r>
              <w:rPr>
                <w:color w:val="000000"/>
                <w:sz w:val="18"/>
              </w:rPr>
              <w:t>Joint anomaly detection and localization from metrics, logs, traces</w:t>
            </w:r>
          </w:p>
        </w:tc>
        <w:tc>
          <w:tcPr>
            <w:tcW w:type="dxa" w:w="1886"/>
            <w:vAlign w:val="top"/>
            <w:tcMar>
              <w:top w:w="70" w:type="dxa"/>
              <w:bottom w:w="70" w:type="dxa"/>
              <w:left w:w="70" w:type="dxa"/>
              <w:right w:w="70" w:type="dxa"/>
            </w:tcMar>
          </w:tcPr>
          <w:p>
            <w:pPr>
              <w:pStyle w:val="TableText"/>
              <w:keepLines/>
            </w:pPr>
            <w:r>
              <w:rPr>
                <w:color w:val="000000"/>
                <w:sz w:val="18"/>
              </w:rPr>
              <w:t>Two microservice testbeds</w:t>
            </w:r>
          </w:p>
        </w:tc>
        <w:tc>
          <w:tcPr>
            <w:tcW w:type="dxa" w:w="2880"/>
            <w:vAlign w:val="top"/>
            <w:tcMar>
              <w:top w:w="70" w:type="dxa"/>
              <w:bottom w:w="70" w:type="dxa"/>
              <w:left w:w="70" w:type="dxa"/>
              <w:right w:w="70" w:type="dxa"/>
            </w:tcMar>
          </w:tcPr>
          <w:p>
            <w:pPr>
              <w:pStyle w:val="TableText"/>
              <w:keepLines/>
            </w:pPr>
            <w:r>
              <w:rPr>
                <w:color w:val="000000"/>
                <w:sz w:val="18"/>
              </w:rPr>
              <w:t>Supports integrated diagnosis; requires aligned multimodal telemetry.</w:t>
            </w:r>
          </w:p>
        </w:tc>
      </w:tr>
      <w:tr>
        <w:trPr>
          <w:cantSplit/>
        </w:trPr>
        <w:tc>
          <w:tcPr>
            <w:tcW w:type="dxa" w:w="518"/>
            <w:vAlign w:val="top"/>
            <w:shd w:fill="FAFAFA"/>
            <w:tcMar>
              <w:top w:w="70" w:type="dxa"/>
              <w:bottom w:w="70" w:type="dxa"/>
              <w:left w:w="70" w:type="dxa"/>
              <w:right w:w="70" w:type="dxa"/>
            </w:tcMar>
          </w:tcPr>
          <w:p>
            <w:pPr>
              <w:pStyle w:val="TableText"/>
              <w:keepLines/>
            </w:pPr>
            <w:r>
              <w:rPr>
                <w:color w:val="000000"/>
                <w:sz w:val="18"/>
              </w:rPr>
              <w:t>P8</w:t>
            </w:r>
          </w:p>
        </w:tc>
        <w:tc>
          <w:tcPr>
            <w:tcW w:type="dxa" w:w="1728"/>
            <w:vAlign w:val="top"/>
            <w:shd w:fill="FAFAFA"/>
            <w:tcMar>
              <w:top w:w="70" w:type="dxa"/>
              <w:bottom w:w="70" w:type="dxa"/>
              <w:left w:w="70" w:type="dxa"/>
              <w:right w:w="70" w:type="dxa"/>
            </w:tcMar>
          </w:tcPr>
          <w:p>
            <w:pPr>
              <w:pStyle w:val="TableText"/>
              <w:keepLines/>
            </w:pPr>
            <w:r>
              <w:rPr>
                <w:color w:val="000000"/>
                <w:sz w:val="18"/>
              </w:rPr>
              <w:t>Pham et al. (2024)</w:t>
              <w:br/>
              <w:t>BARO</w:t>
            </w:r>
          </w:p>
        </w:tc>
        <w:tc>
          <w:tcPr>
            <w:tcW w:type="dxa" w:w="2491"/>
            <w:vAlign w:val="top"/>
            <w:shd w:fill="FAFAFA"/>
            <w:tcMar>
              <w:top w:w="70" w:type="dxa"/>
              <w:bottom w:w="70" w:type="dxa"/>
              <w:left w:w="70" w:type="dxa"/>
              <w:right w:w="70" w:type="dxa"/>
            </w:tcMar>
          </w:tcPr>
          <w:p>
            <w:pPr>
              <w:pStyle w:val="TableText"/>
              <w:keepLines/>
            </w:pPr>
            <w:r>
              <w:rPr>
                <w:color w:val="000000"/>
                <w:sz w:val="18"/>
              </w:rPr>
              <w:t>Multivariate Bayesian online change-point analysis</w:t>
            </w:r>
          </w:p>
        </w:tc>
        <w:tc>
          <w:tcPr>
            <w:tcW w:type="dxa" w:w="1886"/>
            <w:vAlign w:val="top"/>
            <w:shd w:fill="FAFAFA"/>
            <w:tcMar>
              <w:top w:w="70" w:type="dxa"/>
              <w:bottom w:w="70" w:type="dxa"/>
              <w:left w:w="70" w:type="dxa"/>
              <w:right w:w="70" w:type="dxa"/>
            </w:tcMar>
          </w:tcPr>
          <w:p>
            <w:pPr>
              <w:pStyle w:val="TableText"/>
              <w:keepLines/>
            </w:pPr>
            <w:r>
              <w:rPr>
                <w:color w:val="000000"/>
                <w:sz w:val="18"/>
              </w:rPr>
              <w:t>Microservice fault recordings</w:t>
            </w:r>
          </w:p>
        </w:tc>
        <w:tc>
          <w:tcPr>
            <w:tcW w:type="dxa" w:w="2880"/>
            <w:vAlign w:val="top"/>
            <w:shd w:fill="FAFAFA"/>
            <w:tcMar>
              <w:top w:w="70" w:type="dxa"/>
              <w:bottom w:w="70" w:type="dxa"/>
              <w:left w:w="70" w:type="dxa"/>
              <w:right w:w="70" w:type="dxa"/>
            </w:tcMar>
          </w:tcPr>
          <w:p>
            <w:pPr>
              <w:pStyle w:val="TableText"/>
              <w:keepLines/>
            </w:pPr>
            <w:r>
              <w:rPr>
                <w:color w:val="000000"/>
                <w:sz w:val="18"/>
              </w:rPr>
              <w:t>Change-point baseline; sensitive to observation quality.</w:t>
            </w:r>
          </w:p>
        </w:tc>
      </w:tr>
      <w:tr>
        <w:trPr>
          <w:cantSplit/>
        </w:trPr>
        <w:tc>
          <w:tcPr>
            <w:tcW w:type="dxa" w:w="518"/>
            <w:vAlign w:val="top"/>
            <w:tcMar>
              <w:top w:w="70" w:type="dxa"/>
              <w:bottom w:w="70" w:type="dxa"/>
              <w:left w:w="70" w:type="dxa"/>
              <w:right w:w="70" w:type="dxa"/>
            </w:tcMar>
          </w:tcPr>
          <w:p>
            <w:pPr>
              <w:pStyle w:val="TableText"/>
              <w:keepLines/>
            </w:pPr>
            <w:r>
              <w:rPr>
                <w:color w:val="000000"/>
                <w:sz w:val="18"/>
              </w:rPr>
              <w:t>P9</w:t>
            </w:r>
          </w:p>
        </w:tc>
        <w:tc>
          <w:tcPr>
            <w:tcW w:type="dxa" w:w="1728"/>
            <w:vAlign w:val="top"/>
            <w:tcMar>
              <w:top w:w="70" w:type="dxa"/>
              <w:bottom w:w="70" w:type="dxa"/>
              <w:left w:w="70" w:type="dxa"/>
              <w:right w:w="70" w:type="dxa"/>
            </w:tcMar>
          </w:tcPr>
          <w:p>
            <w:pPr>
              <w:pStyle w:val="TableText"/>
              <w:keepLines/>
            </w:pPr>
            <w:r>
              <w:rPr>
                <w:color w:val="000000"/>
                <w:sz w:val="18"/>
              </w:rPr>
              <w:t>Pham et al. (2024)</w:t>
              <w:br/>
              <w:t>Causal inference evaluation</w:t>
            </w:r>
          </w:p>
        </w:tc>
        <w:tc>
          <w:tcPr>
            <w:tcW w:type="dxa" w:w="2491"/>
            <w:vAlign w:val="top"/>
            <w:tcMar>
              <w:top w:w="70" w:type="dxa"/>
              <w:bottom w:w="70" w:type="dxa"/>
              <w:left w:w="70" w:type="dxa"/>
              <w:right w:w="70" w:type="dxa"/>
            </w:tcMar>
          </w:tcPr>
          <w:p>
            <w:pPr>
              <w:pStyle w:val="TableText"/>
              <w:keepLines/>
            </w:pPr>
            <w:r>
              <w:rPr>
                <w:color w:val="000000"/>
                <w:sz w:val="18"/>
              </w:rPr>
              <w:t>Systematic comparison of causal discovery and RCA</w:t>
            </w:r>
          </w:p>
        </w:tc>
        <w:tc>
          <w:tcPr>
            <w:tcW w:type="dxa" w:w="1886"/>
            <w:vAlign w:val="top"/>
            <w:tcMar>
              <w:top w:w="70" w:type="dxa"/>
              <w:bottom w:w="70" w:type="dxa"/>
              <w:left w:w="70" w:type="dxa"/>
              <w:right w:w="70" w:type="dxa"/>
            </w:tcMar>
          </w:tcPr>
          <w:p>
            <w:pPr>
              <w:pStyle w:val="TableText"/>
              <w:keepLines/>
            </w:pPr>
            <w:r>
              <w:rPr>
                <w:color w:val="000000"/>
                <w:sz w:val="18"/>
              </w:rPr>
              <w:t>Microservice synthetic and system recordings</w:t>
            </w:r>
          </w:p>
        </w:tc>
        <w:tc>
          <w:tcPr>
            <w:tcW w:type="dxa" w:w="2880"/>
            <w:vAlign w:val="top"/>
            <w:tcMar>
              <w:top w:w="70" w:type="dxa"/>
              <w:bottom w:w="70" w:type="dxa"/>
              <w:left w:w="70" w:type="dxa"/>
              <w:right w:w="70" w:type="dxa"/>
            </w:tcMar>
          </w:tcPr>
          <w:p>
            <w:pPr>
              <w:pStyle w:val="TableText"/>
              <w:keepLines/>
            </w:pPr>
            <w:r>
              <w:rPr>
                <w:color w:val="000000"/>
                <w:sz w:val="18"/>
              </w:rPr>
              <w:t>Warns that no RCA method dominates on every dataset.</w:t>
            </w:r>
          </w:p>
        </w:tc>
      </w:tr>
      <w:tr>
        <w:trPr>
          <w:cantSplit/>
        </w:trPr>
        <w:tc>
          <w:tcPr>
            <w:tcW w:type="dxa" w:w="518"/>
            <w:vAlign w:val="top"/>
            <w:shd w:fill="FAFAFA"/>
            <w:tcMar>
              <w:top w:w="70" w:type="dxa"/>
              <w:bottom w:w="70" w:type="dxa"/>
              <w:left w:w="70" w:type="dxa"/>
              <w:right w:w="70" w:type="dxa"/>
            </w:tcMar>
          </w:tcPr>
          <w:p>
            <w:pPr>
              <w:pStyle w:val="TableText"/>
              <w:keepLines/>
            </w:pPr>
            <w:r>
              <w:rPr>
                <w:color w:val="000000"/>
                <w:sz w:val="18"/>
              </w:rPr>
              <w:t>P10</w:t>
            </w:r>
          </w:p>
        </w:tc>
        <w:tc>
          <w:tcPr>
            <w:tcW w:type="dxa" w:w="1728"/>
            <w:vAlign w:val="top"/>
            <w:shd w:fill="FAFAFA"/>
            <w:tcMar>
              <w:top w:w="70" w:type="dxa"/>
              <w:bottom w:w="70" w:type="dxa"/>
              <w:left w:w="70" w:type="dxa"/>
              <w:right w:w="70" w:type="dxa"/>
            </w:tcMar>
          </w:tcPr>
          <w:p>
            <w:pPr>
              <w:pStyle w:val="TableText"/>
              <w:keepLines/>
            </w:pPr>
            <w:r>
              <w:rPr>
                <w:color w:val="000000"/>
                <w:sz w:val="18"/>
              </w:rPr>
              <w:t>Lin et al. (2024)</w:t>
              <w:br/>
              <w:t>RUN</w:t>
            </w:r>
          </w:p>
        </w:tc>
        <w:tc>
          <w:tcPr>
            <w:tcW w:type="dxa" w:w="2491"/>
            <w:vAlign w:val="top"/>
            <w:shd w:fill="FAFAFA"/>
            <w:tcMar>
              <w:top w:w="70" w:type="dxa"/>
              <w:bottom w:w="70" w:type="dxa"/>
              <w:left w:w="70" w:type="dxa"/>
              <w:right w:w="70" w:type="dxa"/>
            </w:tcMar>
          </w:tcPr>
          <w:p>
            <w:pPr>
              <w:pStyle w:val="TableText"/>
              <w:keepLines/>
            </w:pPr>
            <w:r>
              <w:rPr>
                <w:color w:val="000000"/>
                <w:sz w:val="18"/>
              </w:rPr>
              <w:t>Neural Granger causality with contextual forecasting</w:t>
            </w:r>
          </w:p>
        </w:tc>
        <w:tc>
          <w:tcPr>
            <w:tcW w:type="dxa" w:w="1886"/>
            <w:vAlign w:val="top"/>
            <w:shd w:fill="FAFAFA"/>
            <w:tcMar>
              <w:top w:w="70" w:type="dxa"/>
              <w:bottom w:w="70" w:type="dxa"/>
              <w:left w:w="70" w:type="dxa"/>
              <w:right w:w="70" w:type="dxa"/>
            </w:tcMar>
          </w:tcPr>
          <w:p>
            <w:pPr>
              <w:pStyle w:val="TableText"/>
              <w:keepLines/>
            </w:pPr>
            <w:r>
              <w:rPr>
                <w:color w:val="000000"/>
                <w:sz w:val="18"/>
              </w:rPr>
              <w:t>Synthetic and real microservice datasets</w:t>
            </w:r>
          </w:p>
        </w:tc>
        <w:tc>
          <w:tcPr>
            <w:tcW w:type="dxa" w:w="2880"/>
            <w:vAlign w:val="top"/>
            <w:shd w:fill="FAFAFA"/>
            <w:tcMar>
              <w:top w:w="70" w:type="dxa"/>
              <w:bottom w:w="70" w:type="dxa"/>
              <w:left w:w="70" w:type="dxa"/>
              <w:right w:w="70" w:type="dxa"/>
            </w:tcMar>
          </w:tcPr>
          <w:p>
            <w:pPr>
              <w:pStyle w:val="TableText"/>
              <w:keepLines/>
            </w:pPr>
            <w:r>
              <w:rPr>
                <w:color w:val="000000"/>
                <w:sz w:val="18"/>
              </w:rPr>
              <w:t>Accounts for temporal precedence; not proof of intervention causality.</w:t>
            </w:r>
          </w:p>
        </w:tc>
      </w:tr>
      <w:tr>
        <w:trPr>
          <w:cantSplit/>
        </w:trPr>
        <w:tc>
          <w:tcPr>
            <w:tcW w:type="dxa" w:w="518"/>
            <w:vAlign w:val="top"/>
            <w:tcMar>
              <w:top w:w="70" w:type="dxa"/>
              <w:bottom w:w="70" w:type="dxa"/>
              <w:left w:w="70" w:type="dxa"/>
              <w:right w:w="70" w:type="dxa"/>
            </w:tcMar>
          </w:tcPr>
          <w:p>
            <w:pPr>
              <w:pStyle w:val="TableText"/>
              <w:keepLines/>
            </w:pPr>
            <w:r>
              <w:rPr>
                <w:color w:val="000000"/>
                <w:sz w:val="18"/>
              </w:rPr>
              <w:t>P11</w:t>
            </w:r>
          </w:p>
        </w:tc>
        <w:tc>
          <w:tcPr>
            <w:tcW w:type="dxa" w:w="1728"/>
            <w:vAlign w:val="top"/>
            <w:tcMar>
              <w:top w:w="70" w:type="dxa"/>
              <w:bottom w:w="70" w:type="dxa"/>
              <w:left w:w="70" w:type="dxa"/>
              <w:right w:w="70" w:type="dxa"/>
            </w:tcMar>
          </w:tcPr>
          <w:p>
            <w:pPr>
              <w:pStyle w:val="TableText"/>
              <w:keepLines/>
            </w:pPr>
            <w:r>
              <w:rPr>
                <w:color w:val="000000"/>
                <w:sz w:val="18"/>
              </w:rPr>
              <w:t>Zhao et al. (2024)</w:t>
              <w:br/>
              <w:t>CHASE</w:t>
            </w:r>
          </w:p>
        </w:tc>
        <w:tc>
          <w:tcPr>
            <w:tcW w:type="dxa" w:w="2491"/>
            <w:vAlign w:val="top"/>
            <w:tcMar>
              <w:top w:w="70" w:type="dxa"/>
              <w:bottom w:w="70" w:type="dxa"/>
              <w:left w:w="70" w:type="dxa"/>
              <w:right w:w="70" w:type="dxa"/>
            </w:tcMar>
          </w:tcPr>
          <w:p>
            <w:pPr>
              <w:pStyle w:val="TableText"/>
              <w:keepLines/>
            </w:pPr>
            <w:r>
              <w:rPr>
                <w:color w:val="000000"/>
                <w:sz w:val="18"/>
              </w:rPr>
              <w:t>Heterogeneous metrics/logs/traces graph</w:t>
            </w:r>
          </w:p>
        </w:tc>
        <w:tc>
          <w:tcPr>
            <w:tcW w:type="dxa" w:w="1886"/>
            <w:vAlign w:val="top"/>
            <w:tcMar>
              <w:top w:w="70" w:type="dxa"/>
              <w:bottom w:w="70" w:type="dxa"/>
              <w:left w:w="70" w:type="dxa"/>
              <w:right w:w="70" w:type="dxa"/>
            </w:tcMar>
          </w:tcPr>
          <w:p>
            <w:pPr>
              <w:pStyle w:val="TableText"/>
              <w:keepLines/>
            </w:pPr>
            <w:r>
              <w:rPr>
                <w:color w:val="000000"/>
                <w:sz w:val="18"/>
              </w:rPr>
              <w:t>Two public microservice datasets</w:t>
            </w:r>
          </w:p>
        </w:tc>
        <w:tc>
          <w:tcPr>
            <w:tcW w:type="dxa" w:w="2880"/>
            <w:vAlign w:val="top"/>
            <w:tcMar>
              <w:top w:w="70" w:type="dxa"/>
              <w:bottom w:w="70" w:type="dxa"/>
              <w:left w:w="70" w:type="dxa"/>
              <w:right w:w="70" w:type="dxa"/>
            </w:tcMar>
          </w:tcPr>
          <w:p>
            <w:pPr>
              <w:pStyle w:val="TableText"/>
              <w:keepLines/>
            </w:pPr>
            <w:r>
              <w:rPr>
                <w:color w:val="000000"/>
                <w:sz w:val="18"/>
              </w:rPr>
              <w:t>Rich multimodal RCA; requires more data than local lab provides.</w:t>
            </w:r>
          </w:p>
        </w:tc>
      </w:tr>
      <w:tr>
        <w:trPr>
          <w:cantSplit/>
        </w:trPr>
        <w:tc>
          <w:tcPr>
            <w:tcW w:type="dxa" w:w="518"/>
            <w:vAlign w:val="top"/>
            <w:shd w:fill="FAFAFA"/>
            <w:tcMar>
              <w:top w:w="70" w:type="dxa"/>
              <w:bottom w:w="70" w:type="dxa"/>
              <w:left w:w="70" w:type="dxa"/>
              <w:right w:w="70" w:type="dxa"/>
            </w:tcMar>
          </w:tcPr>
          <w:p>
            <w:pPr>
              <w:pStyle w:val="TableText"/>
              <w:keepLines/>
            </w:pPr>
            <w:r>
              <w:rPr>
                <w:color w:val="000000"/>
                <w:sz w:val="18"/>
              </w:rPr>
              <w:t>P12</w:t>
            </w:r>
          </w:p>
        </w:tc>
        <w:tc>
          <w:tcPr>
            <w:tcW w:type="dxa" w:w="1728"/>
            <w:vAlign w:val="top"/>
            <w:shd w:fill="FAFAFA"/>
            <w:tcMar>
              <w:top w:w="70" w:type="dxa"/>
              <w:bottom w:w="70" w:type="dxa"/>
              <w:left w:w="70" w:type="dxa"/>
              <w:right w:w="70" w:type="dxa"/>
            </w:tcMar>
          </w:tcPr>
          <w:p>
            <w:pPr>
              <w:pStyle w:val="TableText"/>
              <w:keepLines/>
            </w:pPr>
            <w:r>
              <w:rPr>
                <w:color w:val="000000"/>
                <w:sz w:val="18"/>
              </w:rPr>
              <w:t>Pham et al. (2025)</w:t>
              <w:br/>
              <w:t>RCAEval</w:t>
            </w:r>
          </w:p>
        </w:tc>
        <w:tc>
          <w:tcPr>
            <w:tcW w:type="dxa" w:w="2491"/>
            <w:vAlign w:val="top"/>
            <w:shd w:fill="FAFAFA"/>
            <w:tcMar>
              <w:top w:w="70" w:type="dxa"/>
              <w:bottom w:w="70" w:type="dxa"/>
              <w:left w:w="70" w:type="dxa"/>
              <w:right w:w="70" w:type="dxa"/>
            </w:tcMar>
          </w:tcPr>
          <w:p>
            <w:pPr>
              <w:pStyle w:val="TableText"/>
              <w:keepLines/>
            </w:pPr>
            <w:r>
              <w:rPr>
                <w:color w:val="000000"/>
                <w:sz w:val="18"/>
              </w:rPr>
              <w:t>Uniform independent fault-case RCA evaluation</w:t>
            </w:r>
          </w:p>
        </w:tc>
        <w:tc>
          <w:tcPr>
            <w:tcW w:type="dxa" w:w="1886"/>
            <w:vAlign w:val="top"/>
            <w:shd w:fill="FAFAFA"/>
            <w:tcMar>
              <w:top w:w="70" w:type="dxa"/>
              <w:bottom w:w="70" w:type="dxa"/>
              <w:left w:w="70" w:type="dxa"/>
              <w:right w:w="70" w:type="dxa"/>
            </w:tcMar>
          </w:tcPr>
          <w:p>
            <w:pPr>
              <w:pStyle w:val="TableText"/>
              <w:keepLines/>
            </w:pPr>
            <w:r>
              <w:rPr>
                <w:color w:val="000000"/>
                <w:sz w:val="18"/>
              </w:rPr>
              <w:t>735 fault cases across three microservice systems</w:t>
            </w:r>
          </w:p>
        </w:tc>
        <w:tc>
          <w:tcPr>
            <w:tcW w:type="dxa" w:w="2880"/>
            <w:vAlign w:val="top"/>
            <w:shd w:fill="FAFAFA"/>
            <w:tcMar>
              <w:top w:w="70" w:type="dxa"/>
              <w:bottom w:w="70" w:type="dxa"/>
              <w:left w:w="70" w:type="dxa"/>
              <w:right w:w="70" w:type="dxa"/>
            </w:tcMar>
          </w:tcPr>
          <w:p>
            <w:pPr>
              <w:pStyle w:val="TableText"/>
              <w:keepLines/>
            </w:pPr>
            <w:r>
              <w:rPr>
                <w:color w:val="000000"/>
                <w:sz w:val="18"/>
              </w:rPr>
              <w:t>Provides service-level ground truth; not banking production telemetry.</w:t>
            </w:r>
          </w:p>
        </w:tc>
      </w:tr>
      <w:tr>
        <w:trPr>
          <w:cantSplit/>
        </w:trPr>
        <w:tc>
          <w:tcPr>
            <w:tcW w:type="dxa" w:w="518"/>
            <w:vAlign w:val="top"/>
            <w:tcMar>
              <w:top w:w="70" w:type="dxa"/>
              <w:bottom w:w="70" w:type="dxa"/>
              <w:left w:w="70" w:type="dxa"/>
              <w:right w:w="70" w:type="dxa"/>
            </w:tcMar>
          </w:tcPr>
          <w:p>
            <w:pPr>
              <w:pStyle w:val="TableText"/>
              <w:keepLines/>
            </w:pPr>
            <w:r>
              <w:rPr>
                <w:color w:val="000000"/>
                <w:sz w:val="18"/>
              </w:rPr>
              <w:t>P13</w:t>
            </w:r>
          </w:p>
        </w:tc>
        <w:tc>
          <w:tcPr>
            <w:tcW w:type="dxa" w:w="1728"/>
            <w:vAlign w:val="top"/>
            <w:tcMar>
              <w:top w:w="70" w:type="dxa"/>
              <w:bottom w:w="70" w:type="dxa"/>
              <w:left w:w="70" w:type="dxa"/>
              <w:right w:w="70" w:type="dxa"/>
            </w:tcMar>
          </w:tcPr>
          <w:p>
            <w:pPr>
              <w:pStyle w:val="TableText"/>
              <w:keepLines/>
            </w:pPr>
            <w:r>
              <w:rPr>
                <w:color w:val="000000"/>
                <w:sz w:val="18"/>
              </w:rPr>
              <w:t>Pham et al. (2026)</w:t>
              <w:br/>
              <w:t>TORAI</w:t>
            </w:r>
          </w:p>
        </w:tc>
        <w:tc>
          <w:tcPr>
            <w:tcW w:type="dxa" w:w="2491"/>
            <w:vAlign w:val="top"/>
            <w:tcMar>
              <w:top w:w="70" w:type="dxa"/>
              <w:bottom w:w="70" w:type="dxa"/>
              <w:left w:w="70" w:type="dxa"/>
              <w:right w:w="70" w:type="dxa"/>
            </w:tcMar>
          </w:tcPr>
          <w:p>
            <w:pPr>
              <w:pStyle w:val="TableText"/>
              <w:keepLines/>
            </w:pPr>
            <w:r>
              <w:rPr>
                <w:color w:val="000000"/>
                <w:sz w:val="18"/>
              </w:rPr>
              <w:t>Multi-source root-cause localization under tracing blind spots</w:t>
            </w:r>
          </w:p>
        </w:tc>
        <w:tc>
          <w:tcPr>
            <w:tcW w:type="dxa" w:w="1886"/>
            <w:vAlign w:val="top"/>
            <w:tcMar>
              <w:top w:w="70" w:type="dxa"/>
              <w:bottom w:w="70" w:type="dxa"/>
              <w:left w:w="70" w:type="dxa"/>
              <w:right w:w="70" w:type="dxa"/>
            </w:tcMar>
          </w:tcPr>
          <w:p>
            <w:pPr>
              <w:pStyle w:val="TableText"/>
              <w:keepLines/>
            </w:pPr>
            <w:r>
              <w:rPr>
                <w:color w:val="000000"/>
                <w:sz w:val="18"/>
              </w:rPr>
              <w:t>Microservice benchmarks and real failures</w:t>
            </w:r>
          </w:p>
        </w:tc>
        <w:tc>
          <w:tcPr>
            <w:tcW w:type="dxa" w:w="2880"/>
            <w:vAlign w:val="top"/>
            <w:tcMar>
              <w:top w:w="70" w:type="dxa"/>
              <w:bottom w:w="70" w:type="dxa"/>
              <w:left w:w="70" w:type="dxa"/>
              <w:right w:w="70" w:type="dxa"/>
            </w:tcMar>
          </w:tcPr>
          <w:p>
            <w:pPr>
              <w:pStyle w:val="TableText"/>
              <w:keepLines/>
            </w:pPr>
            <w:r>
              <w:rPr>
                <w:color w:val="000000"/>
                <w:sz w:val="18"/>
              </w:rPr>
              <w:t>Shows limitations of assuming complete service-call graphs.</w:t>
            </w:r>
          </w:p>
        </w:tc>
      </w:tr>
      <w:tr>
        <w:trPr>
          <w:cantSplit/>
        </w:trPr>
        <w:tc>
          <w:tcPr>
            <w:tcW w:type="dxa" w:w="518"/>
            <w:vAlign w:val="top"/>
            <w:shd w:fill="FAFAFA"/>
            <w:tcMar>
              <w:top w:w="70" w:type="dxa"/>
              <w:bottom w:w="70" w:type="dxa"/>
              <w:left w:w="70" w:type="dxa"/>
              <w:right w:w="70" w:type="dxa"/>
            </w:tcMar>
          </w:tcPr>
          <w:p>
            <w:pPr>
              <w:pStyle w:val="TableText"/>
              <w:keepLines/>
            </w:pPr>
            <w:r>
              <w:rPr>
                <w:color w:val="000000"/>
                <w:sz w:val="18"/>
              </w:rPr>
              <w:t>P14</w:t>
            </w:r>
          </w:p>
        </w:tc>
        <w:tc>
          <w:tcPr>
            <w:tcW w:type="dxa" w:w="1728"/>
            <w:vAlign w:val="top"/>
            <w:shd w:fill="FAFAFA"/>
            <w:tcMar>
              <w:top w:w="70" w:type="dxa"/>
              <w:bottom w:w="70" w:type="dxa"/>
              <w:left w:w="70" w:type="dxa"/>
              <w:right w:w="70" w:type="dxa"/>
            </w:tcMar>
          </w:tcPr>
          <w:p>
            <w:pPr>
              <w:pStyle w:val="TableText"/>
              <w:keepLines/>
            </w:pPr>
            <w:r>
              <w:rPr>
                <w:color w:val="000000"/>
                <w:sz w:val="18"/>
              </w:rPr>
              <w:t>Pham et al. (2026)</w:t>
              <w:br/>
              <w:t>EventADL</w:t>
            </w:r>
          </w:p>
        </w:tc>
        <w:tc>
          <w:tcPr>
            <w:tcW w:type="dxa" w:w="2491"/>
            <w:vAlign w:val="top"/>
            <w:shd w:fill="FAFAFA"/>
            <w:tcMar>
              <w:top w:w="70" w:type="dxa"/>
              <w:bottom w:w="70" w:type="dxa"/>
              <w:left w:w="70" w:type="dxa"/>
              <w:right w:w="70" w:type="dxa"/>
            </w:tcMar>
          </w:tcPr>
          <w:p>
            <w:pPr>
              <w:pStyle w:val="TableText"/>
              <w:keepLines/>
            </w:pPr>
            <w:r>
              <w:rPr>
                <w:color w:val="000000"/>
                <w:sz w:val="18"/>
              </w:rPr>
              <w:t>Event-semantic / frequency pattern detection and event localization</w:t>
            </w:r>
          </w:p>
        </w:tc>
        <w:tc>
          <w:tcPr>
            <w:tcW w:type="dxa" w:w="1886"/>
            <w:vAlign w:val="top"/>
            <w:shd w:fill="FAFAFA"/>
            <w:tcMar>
              <w:top w:w="70" w:type="dxa"/>
              <w:bottom w:w="70" w:type="dxa"/>
              <w:left w:w="70" w:type="dxa"/>
              <w:right w:w="70" w:type="dxa"/>
            </w:tcMar>
          </w:tcPr>
          <w:p>
            <w:pPr>
              <w:pStyle w:val="TableText"/>
              <w:keepLines/>
            </w:pPr>
            <w:r>
              <w:rPr>
                <w:color w:val="000000"/>
                <w:sz w:val="18"/>
              </w:rPr>
              <w:t>Real cloud service event data</w:t>
            </w:r>
          </w:p>
        </w:tc>
        <w:tc>
          <w:tcPr>
            <w:tcW w:type="dxa" w:w="2880"/>
            <w:vAlign w:val="top"/>
            <w:shd w:fill="FAFAFA"/>
            <w:tcMar>
              <w:top w:w="70" w:type="dxa"/>
              <w:bottom w:w="70" w:type="dxa"/>
              <w:left w:w="70" w:type="dxa"/>
              <w:right w:w="70" w:type="dxa"/>
            </w:tcMar>
          </w:tcPr>
          <w:p>
            <w:pPr>
              <w:pStyle w:val="TableText"/>
              <w:keepLines/>
            </w:pPr>
            <w:r>
              <w:rPr>
                <w:color w:val="000000"/>
                <w:sz w:val="18"/>
              </w:rPr>
              <w:t>Demonstrates event-centric alternatives; event data absent from banking lab.</w:t>
            </w:r>
          </w:p>
        </w:tc>
      </w:tr>
      <w:tr>
        <w:trPr>
          <w:cantSplit/>
        </w:trPr>
        <w:tc>
          <w:tcPr>
            <w:tcW w:type="dxa" w:w="518"/>
            <w:vAlign w:val="top"/>
            <w:tcMar>
              <w:top w:w="70" w:type="dxa"/>
              <w:bottom w:w="70" w:type="dxa"/>
              <w:left w:w="70" w:type="dxa"/>
              <w:right w:w="70" w:type="dxa"/>
            </w:tcMar>
          </w:tcPr>
          <w:p>
            <w:pPr>
              <w:pStyle w:val="TableText"/>
              <w:keepLines/>
            </w:pPr>
            <w:r>
              <w:rPr>
                <w:color w:val="000000"/>
                <w:sz w:val="18"/>
              </w:rPr>
              <w:t>P15</w:t>
            </w:r>
          </w:p>
        </w:tc>
        <w:tc>
          <w:tcPr>
            <w:tcW w:type="dxa" w:w="1728"/>
            <w:vAlign w:val="top"/>
            <w:tcMar>
              <w:top w:w="70" w:type="dxa"/>
              <w:bottom w:w="70" w:type="dxa"/>
              <w:left w:w="70" w:type="dxa"/>
              <w:right w:w="70" w:type="dxa"/>
            </w:tcMar>
          </w:tcPr>
          <w:p>
            <w:pPr>
              <w:pStyle w:val="TableText"/>
              <w:keepLines/>
            </w:pPr>
            <w:r>
              <w:rPr>
                <w:color w:val="000000"/>
                <w:sz w:val="18"/>
              </w:rPr>
              <w:t>Ding et al. (2022)</w:t>
              <w:br/>
              <w:t>MST-GAT</w:t>
            </w:r>
          </w:p>
        </w:tc>
        <w:tc>
          <w:tcPr>
            <w:tcW w:type="dxa" w:w="2491"/>
            <w:vAlign w:val="top"/>
            <w:tcMar>
              <w:top w:w="70" w:type="dxa"/>
              <w:bottom w:w="70" w:type="dxa"/>
              <w:left w:w="70" w:type="dxa"/>
              <w:right w:w="70" w:type="dxa"/>
            </w:tcMar>
          </w:tcPr>
          <w:p>
            <w:pPr>
              <w:pStyle w:val="TableText"/>
              <w:keepLines/>
            </w:pPr>
            <w:r>
              <w:rPr>
                <w:color w:val="000000"/>
                <w:sz w:val="18"/>
              </w:rPr>
              <w:t>Spatial and temporal graph attention plus prediction/reconstruction</w:t>
            </w:r>
          </w:p>
        </w:tc>
        <w:tc>
          <w:tcPr>
            <w:tcW w:type="dxa" w:w="1886"/>
            <w:vAlign w:val="top"/>
            <w:tcMar>
              <w:top w:w="70" w:type="dxa"/>
              <w:bottom w:w="70" w:type="dxa"/>
              <w:left w:w="70" w:type="dxa"/>
              <w:right w:w="70" w:type="dxa"/>
            </w:tcMar>
          </w:tcPr>
          <w:p>
            <w:pPr>
              <w:pStyle w:val="TableText"/>
              <w:keepLines/>
            </w:pPr>
            <w:r>
              <w:rPr>
                <w:color w:val="000000"/>
                <w:sz w:val="18"/>
              </w:rPr>
              <w:t>Four multivariate benchmarks</w:t>
            </w:r>
          </w:p>
        </w:tc>
        <w:tc>
          <w:tcPr>
            <w:tcW w:type="dxa" w:w="2880"/>
            <w:vAlign w:val="top"/>
            <w:tcMar>
              <w:top w:w="70" w:type="dxa"/>
              <w:bottom w:w="70" w:type="dxa"/>
              <w:left w:w="70" w:type="dxa"/>
              <w:right w:w="70" w:type="dxa"/>
            </w:tcMar>
          </w:tcPr>
          <w:p>
            <w:pPr>
              <w:pStyle w:val="TableText"/>
              <w:keepLines/>
            </w:pPr>
            <w:r>
              <w:rPr>
                <w:color w:val="000000"/>
                <w:sz w:val="18"/>
              </w:rPr>
              <w:t>Supports graph-aware anomaly modeling; heavy multi-modal variant not reproduced.</w:t>
            </w:r>
          </w:p>
        </w:tc>
      </w:tr>
    </w:tbl>
    <w:p>
      <w:pPr>
        <w:spacing w:after="0"/>
      </w:pPr>
    </w:p>
    <w:p>
      <w:pPr>
        <w:pStyle w:val="Heading2"/>
      </w:pPr>
      <w:r>
        <w:rPr>
          <w:color w:val="000000"/>
        </w:rPr>
        <w:t>2.1 Synthesis and Comparison</w:t>
      </w:r>
    </w:p>
    <w:p>
      <w:r>
        <w:rPr>
          <w:color w:val="000000"/>
        </w:rPr>
        <w:t>Graph-based and trace-based approaches generally improve the representation of distributed service relationships but make different assumptions about data availability. MicroRCA and MicroRank emphasize performance evidence and transaction paths; GDN and related graph models learn expected feature behavior; Eadro and CHASE combine multiple sources; RCAEval provides standardized incident labels. More recent studies highlight incomplete traces and inconsistent generalization across root-cause methods (Pham et al., 2024; Pham et al., 2026).</w:t>
      </w:r>
    </w:p>
    <w:p>
      <w:pPr>
        <w:pStyle w:val="Heading2"/>
      </w:pPr>
      <w:r>
        <w:rPr>
          <w:color w:val="000000"/>
        </w:rPr>
        <w:t>2.2 Study-Specific Research Gap Analysis</w:t>
      </w:r>
    </w:p>
    <w:p>
      <w:pPr>
        <w:pStyle w:val="Caption"/>
        <w:keepNext/>
        <w:jc w:val="center"/>
      </w:pPr>
      <w:r>
        <w:rPr>
          <w:color w:val="000000"/>
        </w:rPr>
        <w:t>Table 2. Research gaps derived from the reviewed studies</w:t>
      </w:r>
    </w:p>
    <w:tbl>
      <w:tblPr>
        <w:tblStyle w:val="TableGrid"/>
        <w:tblW w:type="auto" w:w="0"/>
        <w:jc w:val="center"/>
        <w:tblLayout w:type="fixed"/>
        <w:tblLook w:firstColumn="1" w:firstRow="1" w:lastColumn="0" w:lastRow="0" w:noHBand="0" w:noVBand="1" w:val="04A0"/>
      </w:tblPr>
      <w:tblGrid>
        <w:gridCol w:w="979"/>
        <w:gridCol w:w="2520"/>
        <w:gridCol w:w="2650"/>
        <w:gridCol w:w="3355"/>
      </w:tblGrid>
      <w:tr>
        <w:trPr>
          <w:tblHeader w:val="true"/>
          <w:cantSplit/>
          <w:tblHeader/>
        </w:trPr>
        <w:tc>
          <w:tcPr>
            <w:tcW w:type="dxa" w:w="979"/>
            <w:shd w:fill="EDEDED"/>
            <w:tcMar>
              <w:top w:w="70" w:type="dxa"/>
              <w:bottom w:w="70" w:type="dxa"/>
              <w:left w:w="70" w:type="dxa"/>
              <w:right w:w="70" w:type="dxa"/>
            </w:tcMar>
            <w:vAlign w:val="top"/>
          </w:tcPr>
          <w:p>
            <w:pPr>
              <w:pStyle w:val="TableText"/>
              <w:keepNext/>
            </w:pPr>
            <w:r>
              <w:rPr>
                <w:b/>
                <w:color w:val="000000"/>
                <w:sz w:val="20"/>
              </w:rPr>
              <w:t>Study IDs</w:t>
            </w:r>
          </w:p>
        </w:tc>
        <w:tc>
          <w:tcPr>
            <w:tcW w:type="dxa" w:w="2520"/>
            <w:shd w:fill="EDEDED"/>
            <w:tcMar>
              <w:top w:w="70" w:type="dxa"/>
              <w:bottom w:w="70" w:type="dxa"/>
              <w:left w:w="70" w:type="dxa"/>
              <w:right w:w="70" w:type="dxa"/>
            </w:tcMar>
            <w:vAlign w:val="top"/>
          </w:tcPr>
          <w:p>
            <w:pPr>
              <w:pStyle w:val="TableText"/>
              <w:keepNext/>
            </w:pPr>
            <w:r>
              <w:rPr>
                <w:b/>
                <w:color w:val="000000"/>
                <w:sz w:val="20"/>
              </w:rPr>
              <w:t>Established contribution</w:t>
            </w:r>
          </w:p>
        </w:tc>
        <w:tc>
          <w:tcPr>
            <w:tcW w:type="dxa" w:w="2650"/>
            <w:shd w:fill="EDEDED"/>
            <w:tcMar>
              <w:top w:w="70" w:type="dxa"/>
              <w:bottom w:w="70" w:type="dxa"/>
              <w:left w:w="70" w:type="dxa"/>
              <w:right w:w="70" w:type="dxa"/>
            </w:tcMar>
            <w:vAlign w:val="top"/>
          </w:tcPr>
          <w:p>
            <w:pPr>
              <w:pStyle w:val="TableText"/>
              <w:keepNext/>
            </w:pPr>
            <w:r>
              <w:rPr>
                <w:b/>
                <w:color w:val="000000"/>
                <w:sz w:val="20"/>
              </w:rPr>
              <w:t>Limitation or gap</w:t>
            </w:r>
          </w:p>
        </w:tc>
        <w:tc>
          <w:tcPr>
            <w:tcW w:type="dxa" w:w="3355"/>
            <w:shd w:fill="EDEDED"/>
            <w:tcMar>
              <w:top w:w="70" w:type="dxa"/>
              <w:bottom w:w="70" w:type="dxa"/>
              <w:left w:w="70" w:type="dxa"/>
              <w:right w:w="70" w:type="dxa"/>
            </w:tcMar>
            <w:vAlign w:val="top"/>
          </w:tcPr>
          <w:p>
            <w:pPr>
              <w:pStyle w:val="TableText"/>
              <w:keepNext/>
            </w:pPr>
            <w:r>
              <w:rPr>
                <w:b/>
                <w:color w:val="000000"/>
                <w:sz w:val="20"/>
              </w:rPr>
              <w:t>Project-specific response</w:t>
            </w:r>
          </w:p>
        </w:tc>
      </w:tr>
      <w:tr>
        <w:trPr>
          <w:cantSplit/>
        </w:trPr>
        <w:tc>
          <w:tcPr>
            <w:tcW w:type="dxa" w:w="979"/>
            <w:vAlign w:val="top"/>
            <w:tcMar>
              <w:top w:w="70" w:type="dxa"/>
              <w:bottom w:w="70" w:type="dxa"/>
              <w:left w:w="70" w:type="dxa"/>
              <w:right w:w="70" w:type="dxa"/>
            </w:tcMar>
          </w:tcPr>
          <w:p>
            <w:pPr>
              <w:pStyle w:val="TableText"/>
              <w:keepLines/>
            </w:pPr>
            <w:r>
              <w:rPr>
                <w:color w:val="000000"/>
                <w:sz w:val="20"/>
              </w:rPr>
              <w:t>P1–P2</w:t>
            </w:r>
          </w:p>
        </w:tc>
        <w:tc>
          <w:tcPr>
            <w:tcW w:type="dxa" w:w="2520"/>
            <w:vAlign w:val="top"/>
            <w:tcMar>
              <w:top w:w="70" w:type="dxa"/>
              <w:bottom w:w="70" w:type="dxa"/>
              <w:left w:w="70" w:type="dxa"/>
              <w:right w:w="70" w:type="dxa"/>
            </w:tcMar>
          </w:tcPr>
          <w:p>
            <w:pPr>
              <w:pStyle w:val="TableText"/>
              <w:keepLines/>
            </w:pPr>
            <w:r>
              <w:rPr>
                <w:color w:val="000000"/>
                <w:sz w:val="20"/>
              </w:rPr>
              <w:t>Source and trace correlations</w:t>
            </w:r>
          </w:p>
        </w:tc>
        <w:tc>
          <w:tcPr>
            <w:tcW w:type="dxa" w:w="2650"/>
            <w:vAlign w:val="top"/>
            <w:tcMar>
              <w:top w:w="70" w:type="dxa"/>
              <w:bottom w:w="70" w:type="dxa"/>
              <w:left w:w="70" w:type="dxa"/>
              <w:right w:w="70" w:type="dxa"/>
            </w:tcMar>
          </w:tcPr>
          <w:p>
            <w:pPr>
              <w:pStyle w:val="TableText"/>
              <w:keepLines/>
            </w:pPr>
            <w:r>
              <w:rPr>
                <w:color w:val="000000"/>
                <w:sz w:val="20"/>
              </w:rPr>
              <w:t>Requires dependable coverage</w:t>
            </w:r>
          </w:p>
        </w:tc>
        <w:tc>
          <w:tcPr>
            <w:tcW w:type="dxa" w:w="3355"/>
            <w:vAlign w:val="top"/>
            <w:tcMar>
              <w:top w:w="70" w:type="dxa"/>
              <w:bottom w:w="70" w:type="dxa"/>
              <w:left w:w="70" w:type="dxa"/>
              <w:right w:w="70" w:type="dxa"/>
            </w:tcMar>
          </w:tcPr>
          <w:p>
            <w:pPr>
              <w:pStyle w:val="TableText"/>
              <w:keepLines/>
            </w:pPr>
            <w:r>
              <w:rPr>
                <w:color w:val="000000"/>
                <w:sz w:val="20"/>
              </w:rPr>
              <w:t>Use measured own-time and direct database spans.</w:t>
            </w:r>
          </w:p>
        </w:tc>
      </w:tr>
      <w:tr>
        <w:trPr>
          <w:cantSplit/>
        </w:trPr>
        <w:tc>
          <w:tcPr>
            <w:tcW w:type="dxa" w:w="979"/>
            <w:vAlign w:val="top"/>
            <w:shd w:fill="FAFAFA"/>
            <w:tcMar>
              <w:top w:w="70" w:type="dxa"/>
              <w:bottom w:w="70" w:type="dxa"/>
              <w:left w:w="70" w:type="dxa"/>
              <w:right w:w="70" w:type="dxa"/>
            </w:tcMar>
          </w:tcPr>
          <w:p>
            <w:pPr>
              <w:pStyle w:val="TableText"/>
              <w:keepLines/>
            </w:pPr>
            <w:r>
              <w:rPr>
                <w:color w:val="000000"/>
                <w:sz w:val="20"/>
              </w:rPr>
              <w:t>P3, P6, P15</w:t>
            </w:r>
          </w:p>
        </w:tc>
        <w:tc>
          <w:tcPr>
            <w:tcW w:type="dxa" w:w="2520"/>
            <w:vAlign w:val="top"/>
            <w:shd w:fill="FAFAFA"/>
            <w:tcMar>
              <w:top w:w="70" w:type="dxa"/>
              <w:bottom w:w="70" w:type="dxa"/>
              <w:left w:w="70" w:type="dxa"/>
              <w:right w:w="70" w:type="dxa"/>
            </w:tcMar>
          </w:tcPr>
          <w:p>
            <w:pPr>
              <w:pStyle w:val="TableText"/>
              <w:keepLines/>
            </w:pPr>
            <w:r>
              <w:rPr>
                <w:color w:val="000000"/>
                <w:sz w:val="20"/>
              </w:rPr>
              <w:t>Graph temporal models</w:t>
            </w:r>
          </w:p>
        </w:tc>
        <w:tc>
          <w:tcPr>
            <w:tcW w:type="dxa" w:w="2650"/>
            <w:vAlign w:val="top"/>
            <w:shd w:fill="FAFAFA"/>
            <w:tcMar>
              <w:top w:w="70" w:type="dxa"/>
              <w:bottom w:w="70" w:type="dxa"/>
              <w:left w:w="70" w:type="dxa"/>
              <w:right w:w="70" w:type="dxa"/>
            </w:tcMar>
          </w:tcPr>
          <w:p>
            <w:pPr>
              <w:pStyle w:val="TableText"/>
              <w:keepLines/>
            </w:pPr>
            <w:r>
              <w:rPr>
                <w:color w:val="000000"/>
                <w:sz w:val="20"/>
              </w:rPr>
              <w:t>Domain transfer and false alarms</w:t>
            </w:r>
          </w:p>
        </w:tc>
        <w:tc>
          <w:tcPr>
            <w:tcW w:type="dxa" w:w="3355"/>
            <w:vAlign w:val="top"/>
            <w:shd w:fill="FAFAFA"/>
            <w:tcMar>
              <w:top w:w="70" w:type="dxa"/>
              <w:bottom w:w="70" w:type="dxa"/>
              <w:left w:w="70" w:type="dxa"/>
              <w:right w:w="70" w:type="dxa"/>
            </w:tcMar>
          </w:tcPr>
          <w:p>
            <w:pPr>
              <w:pStyle w:val="TableText"/>
              <w:keepLines/>
            </w:pPr>
            <w:r>
              <w:rPr>
                <w:color w:val="000000"/>
                <w:sz w:val="20"/>
              </w:rPr>
              <w:t>Evaluate locally trained graph/identity models.</w:t>
            </w:r>
          </w:p>
        </w:tc>
      </w:tr>
      <w:tr>
        <w:trPr>
          <w:cantSplit/>
        </w:trPr>
        <w:tc>
          <w:tcPr>
            <w:tcW w:type="dxa" w:w="979"/>
            <w:vAlign w:val="top"/>
            <w:tcMar>
              <w:top w:w="70" w:type="dxa"/>
              <w:bottom w:w="70" w:type="dxa"/>
              <w:left w:w="70" w:type="dxa"/>
              <w:right w:w="70" w:type="dxa"/>
            </w:tcMar>
          </w:tcPr>
          <w:p>
            <w:pPr>
              <w:pStyle w:val="TableText"/>
              <w:keepLines/>
            </w:pPr>
            <w:r>
              <w:rPr>
                <w:color w:val="000000"/>
                <w:sz w:val="20"/>
              </w:rPr>
              <w:t>P4</w:t>
            </w:r>
          </w:p>
        </w:tc>
        <w:tc>
          <w:tcPr>
            <w:tcW w:type="dxa" w:w="2520"/>
            <w:vAlign w:val="top"/>
            <w:tcMar>
              <w:top w:w="70" w:type="dxa"/>
              <w:bottom w:w="70" w:type="dxa"/>
              <w:left w:w="70" w:type="dxa"/>
              <w:right w:w="70" w:type="dxa"/>
            </w:tcMar>
          </w:tcPr>
          <w:p>
            <w:pPr>
              <w:pStyle w:val="TableText"/>
              <w:keepLines/>
            </w:pPr>
            <w:r>
              <w:rPr>
                <w:color w:val="000000"/>
                <w:sz w:val="20"/>
              </w:rPr>
              <w:t>Dynamic graph pruning</w:t>
            </w:r>
          </w:p>
        </w:tc>
        <w:tc>
          <w:tcPr>
            <w:tcW w:type="dxa" w:w="2650"/>
            <w:vAlign w:val="top"/>
            <w:tcMar>
              <w:top w:w="70" w:type="dxa"/>
              <w:bottom w:w="70" w:type="dxa"/>
              <w:left w:w="70" w:type="dxa"/>
              <w:right w:w="70" w:type="dxa"/>
            </w:tcMar>
          </w:tcPr>
          <w:p>
            <w:pPr>
              <w:pStyle w:val="TableText"/>
              <w:keepLines/>
            </w:pPr>
            <w:r>
              <w:rPr>
                <w:color w:val="000000"/>
                <w:sz w:val="20"/>
              </w:rPr>
              <w:t>Incomplete graph risk</w:t>
            </w:r>
          </w:p>
        </w:tc>
        <w:tc>
          <w:tcPr>
            <w:tcW w:type="dxa" w:w="3355"/>
            <w:vAlign w:val="top"/>
            <w:tcMar>
              <w:top w:w="70" w:type="dxa"/>
              <w:bottom w:w="70" w:type="dxa"/>
              <w:left w:w="70" w:type="dxa"/>
              <w:right w:w="70" w:type="dxa"/>
            </w:tcMar>
          </w:tcPr>
          <w:p>
            <w:pPr>
              <w:pStyle w:val="TableText"/>
              <w:keepLines/>
            </w:pPr>
            <w:r>
              <w:rPr>
                <w:color w:val="000000"/>
                <w:sz w:val="20"/>
              </w:rPr>
              <w:t>Preserve recorded edges only.</w:t>
            </w:r>
          </w:p>
        </w:tc>
      </w:tr>
      <w:tr>
        <w:trPr>
          <w:cantSplit/>
        </w:trPr>
        <w:tc>
          <w:tcPr>
            <w:tcW w:type="dxa" w:w="979"/>
            <w:vAlign w:val="top"/>
            <w:shd w:fill="FAFAFA"/>
            <w:tcMar>
              <w:top w:w="70" w:type="dxa"/>
              <w:bottom w:w="70" w:type="dxa"/>
              <w:left w:w="70" w:type="dxa"/>
              <w:right w:w="70" w:type="dxa"/>
            </w:tcMar>
          </w:tcPr>
          <w:p>
            <w:pPr>
              <w:pStyle w:val="TableText"/>
              <w:keepLines/>
            </w:pPr>
            <w:r>
              <w:rPr>
                <w:color w:val="000000"/>
                <w:sz w:val="20"/>
              </w:rPr>
              <w:t>P5</w:t>
            </w:r>
          </w:p>
        </w:tc>
        <w:tc>
          <w:tcPr>
            <w:tcW w:type="dxa" w:w="2520"/>
            <w:vAlign w:val="top"/>
            <w:shd w:fill="FAFAFA"/>
            <w:tcMar>
              <w:top w:w="70" w:type="dxa"/>
              <w:bottom w:w="70" w:type="dxa"/>
              <w:left w:w="70" w:type="dxa"/>
              <w:right w:w="70" w:type="dxa"/>
            </w:tcMar>
          </w:tcPr>
          <w:p>
            <w:pPr>
              <w:pStyle w:val="TableText"/>
              <w:keepLines/>
            </w:pPr>
            <w:r>
              <w:rPr>
                <w:color w:val="000000"/>
                <w:sz w:val="20"/>
              </w:rPr>
              <w:t>Model attribution</w:t>
            </w:r>
          </w:p>
        </w:tc>
        <w:tc>
          <w:tcPr>
            <w:tcW w:type="dxa" w:w="2650"/>
            <w:vAlign w:val="top"/>
            <w:shd w:fill="FAFAFA"/>
            <w:tcMar>
              <w:top w:w="70" w:type="dxa"/>
              <w:bottom w:w="70" w:type="dxa"/>
              <w:left w:w="70" w:type="dxa"/>
              <w:right w:w="70" w:type="dxa"/>
            </w:tcMar>
          </w:tcPr>
          <w:p>
            <w:pPr>
              <w:pStyle w:val="TableText"/>
              <w:keepLines/>
            </w:pPr>
            <w:r>
              <w:rPr>
                <w:color w:val="000000"/>
                <w:sz w:val="20"/>
              </w:rPr>
              <w:t>Explanation is not causality</w:t>
            </w:r>
          </w:p>
        </w:tc>
        <w:tc>
          <w:tcPr>
            <w:tcW w:type="dxa" w:w="3355"/>
            <w:vAlign w:val="top"/>
            <w:shd w:fill="FAFAFA"/>
            <w:tcMar>
              <w:top w:w="70" w:type="dxa"/>
              <w:bottom w:w="70" w:type="dxa"/>
              <w:left w:w="70" w:type="dxa"/>
              <w:right w:w="70" w:type="dxa"/>
            </w:tcMar>
          </w:tcPr>
          <w:p>
            <w:pPr>
              <w:pStyle w:val="TableText"/>
              <w:keepLines/>
            </w:pPr>
            <w:r>
              <w:rPr>
                <w:color w:val="000000"/>
                <w:sz w:val="20"/>
              </w:rPr>
              <w:t>Label attribution as model evidence.</w:t>
            </w:r>
          </w:p>
        </w:tc>
      </w:tr>
      <w:tr>
        <w:trPr>
          <w:cantSplit/>
        </w:trPr>
        <w:tc>
          <w:tcPr>
            <w:tcW w:type="dxa" w:w="979"/>
            <w:vAlign w:val="top"/>
            <w:tcMar>
              <w:top w:w="70" w:type="dxa"/>
              <w:bottom w:w="70" w:type="dxa"/>
              <w:left w:w="70" w:type="dxa"/>
              <w:right w:w="70" w:type="dxa"/>
            </w:tcMar>
          </w:tcPr>
          <w:p>
            <w:pPr>
              <w:pStyle w:val="TableText"/>
              <w:keepLines/>
            </w:pPr>
            <w:r>
              <w:rPr>
                <w:color w:val="000000"/>
                <w:sz w:val="20"/>
              </w:rPr>
              <w:t>P7, P11</w:t>
            </w:r>
          </w:p>
        </w:tc>
        <w:tc>
          <w:tcPr>
            <w:tcW w:type="dxa" w:w="2520"/>
            <w:vAlign w:val="top"/>
            <w:tcMar>
              <w:top w:w="70" w:type="dxa"/>
              <w:bottom w:w="70" w:type="dxa"/>
              <w:left w:w="70" w:type="dxa"/>
              <w:right w:w="70" w:type="dxa"/>
            </w:tcMar>
          </w:tcPr>
          <w:p>
            <w:pPr>
              <w:pStyle w:val="TableText"/>
              <w:keepLines/>
            </w:pPr>
            <w:r>
              <w:rPr>
                <w:color w:val="000000"/>
                <w:sz w:val="20"/>
              </w:rPr>
              <w:t>Multimodal fusion</w:t>
            </w:r>
          </w:p>
        </w:tc>
        <w:tc>
          <w:tcPr>
            <w:tcW w:type="dxa" w:w="2650"/>
            <w:vAlign w:val="top"/>
            <w:tcMar>
              <w:top w:w="70" w:type="dxa"/>
              <w:bottom w:w="70" w:type="dxa"/>
              <w:left w:w="70" w:type="dxa"/>
              <w:right w:w="70" w:type="dxa"/>
            </w:tcMar>
          </w:tcPr>
          <w:p>
            <w:pPr>
              <w:pStyle w:val="TableText"/>
              <w:keepLines/>
            </w:pPr>
            <w:r>
              <w:rPr>
                <w:color w:val="000000"/>
                <w:sz w:val="20"/>
              </w:rPr>
              <w:t>Needs logs and full traces</w:t>
            </w:r>
          </w:p>
        </w:tc>
        <w:tc>
          <w:tcPr>
            <w:tcW w:type="dxa" w:w="3355"/>
            <w:vAlign w:val="top"/>
            <w:tcMar>
              <w:top w:w="70" w:type="dxa"/>
              <w:bottom w:w="70" w:type="dxa"/>
              <w:left w:w="70" w:type="dxa"/>
              <w:right w:w="70" w:type="dxa"/>
            </w:tcMar>
          </w:tcPr>
          <w:p>
            <w:pPr>
              <w:pStyle w:val="TableText"/>
              <w:keepLines/>
            </w:pPr>
            <w:r>
              <w:rPr>
                <w:color w:val="000000"/>
                <w:sz w:val="20"/>
              </w:rPr>
              <w:t>Use only actually observed modalities.</w:t>
            </w:r>
          </w:p>
        </w:tc>
      </w:tr>
      <w:tr>
        <w:trPr>
          <w:cantSplit/>
        </w:trPr>
        <w:tc>
          <w:tcPr>
            <w:tcW w:type="dxa" w:w="979"/>
            <w:vAlign w:val="top"/>
            <w:shd w:fill="FAFAFA"/>
            <w:tcMar>
              <w:top w:w="70" w:type="dxa"/>
              <w:bottom w:w="70" w:type="dxa"/>
              <w:left w:w="70" w:type="dxa"/>
              <w:right w:w="70" w:type="dxa"/>
            </w:tcMar>
          </w:tcPr>
          <w:p>
            <w:pPr>
              <w:pStyle w:val="TableText"/>
              <w:keepLines/>
            </w:pPr>
            <w:r>
              <w:rPr>
                <w:color w:val="000000"/>
                <w:sz w:val="20"/>
              </w:rPr>
              <w:t>P8–P10</w:t>
            </w:r>
          </w:p>
        </w:tc>
        <w:tc>
          <w:tcPr>
            <w:tcW w:type="dxa" w:w="2520"/>
            <w:vAlign w:val="top"/>
            <w:shd w:fill="FAFAFA"/>
            <w:tcMar>
              <w:top w:w="70" w:type="dxa"/>
              <w:bottom w:w="70" w:type="dxa"/>
              <w:left w:w="70" w:type="dxa"/>
              <w:right w:w="70" w:type="dxa"/>
            </w:tcMar>
          </w:tcPr>
          <w:p>
            <w:pPr>
              <w:pStyle w:val="TableText"/>
              <w:keepLines/>
            </w:pPr>
            <w:r>
              <w:rPr>
                <w:color w:val="000000"/>
                <w:sz w:val="20"/>
              </w:rPr>
              <w:t>Change-point/causal analysis</w:t>
            </w:r>
          </w:p>
        </w:tc>
        <w:tc>
          <w:tcPr>
            <w:tcW w:type="dxa" w:w="2650"/>
            <w:vAlign w:val="top"/>
            <w:shd w:fill="FAFAFA"/>
            <w:tcMar>
              <w:top w:w="70" w:type="dxa"/>
              <w:bottom w:w="70" w:type="dxa"/>
              <w:left w:w="70" w:type="dxa"/>
              <w:right w:w="70" w:type="dxa"/>
            </w:tcMar>
          </w:tcPr>
          <w:p>
            <w:pPr>
              <w:pStyle w:val="TableText"/>
              <w:keepLines/>
            </w:pPr>
            <w:r>
              <w:rPr>
                <w:color w:val="000000"/>
                <w:sz w:val="20"/>
              </w:rPr>
              <w:t>Parameter sensitivity and observational ambiguity</w:t>
            </w:r>
          </w:p>
        </w:tc>
        <w:tc>
          <w:tcPr>
            <w:tcW w:type="dxa" w:w="3355"/>
            <w:vAlign w:val="top"/>
            <w:shd w:fill="FAFAFA"/>
            <w:tcMar>
              <w:top w:w="70" w:type="dxa"/>
              <w:bottom w:w="70" w:type="dxa"/>
              <w:left w:w="70" w:type="dxa"/>
              <w:right w:w="70" w:type="dxa"/>
            </w:tcMar>
          </w:tcPr>
          <w:p>
            <w:pPr>
              <w:pStyle w:val="TableText"/>
              <w:keepLines/>
            </w:pPr>
            <w:r>
              <w:rPr>
                <w:color w:val="000000"/>
                <w:sz w:val="20"/>
              </w:rPr>
              <w:t>Separate detection and mechanism verification.</w:t>
            </w:r>
          </w:p>
        </w:tc>
      </w:tr>
      <w:tr>
        <w:trPr>
          <w:cantSplit/>
        </w:trPr>
        <w:tc>
          <w:tcPr>
            <w:tcW w:type="dxa" w:w="979"/>
            <w:vAlign w:val="top"/>
            <w:tcMar>
              <w:top w:w="70" w:type="dxa"/>
              <w:bottom w:w="70" w:type="dxa"/>
              <w:left w:w="70" w:type="dxa"/>
              <w:right w:w="70" w:type="dxa"/>
            </w:tcMar>
          </w:tcPr>
          <w:p>
            <w:pPr>
              <w:pStyle w:val="TableText"/>
              <w:keepLines/>
            </w:pPr>
            <w:r>
              <w:rPr>
                <w:color w:val="000000"/>
                <w:sz w:val="20"/>
              </w:rPr>
              <w:t>P12</w:t>
            </w:r>
          </w:p>
        </w:tc>
        <w:tc>
          <w:tcPr>
            <w:tcW w:type="dxa" w:w="2520"/>
            <w:vAlign w:val="top"/>
            <w:tcMar>
              <w:top w:w="70" w:type="dxa"/>
              <w:bottom w:w="70" w:type="dxa"/>
              <w:left w:w="70" w:type="dxa"/>
              <w:right w:w="70" w:type="dxa"/>
            </w:tcMar>
          </w:tcPr>
          <w:p>
            <w:pPr>
              <w:pStyle w:val="TableText"/>
              <w:keepLines/>
            </w:pPr>
            <w:r>
              <w:rPr>
                <w:color w:val="000000"/>
                <w:sz w:val="20"/>
              </w:rPr>
              <w:t>Recorded RCA labels</w:t>
            </w:r>
          </w:p>
        </w:tc>
        <w:tc>
          <w:tcPr>
            <w:tcW w:type="dxa" w:w="2650"/>
            <w:vAlign w:val="top"/>
            <w:tcMar>
              <w:top w:w="70" w:type="dxa"/>
              <w:bottom w:w="70" w:type="dxa"/>
              <w:left w:w="70" w:type="dxa"/>
              <w:right w:w="70" w:type="dxa"/>
            </w:tcMar>
          </w:tcPr>
          <w:p>
            <w:pPr>
              <w:pStyle w:val="TableText"/>
              <w:keepLines/>
            </w:pPr>
            <w:r>
              <w:rPr>
                <w:color w:val="000000"/>
                <w:sz w:val="20"/>
              </w:rPr>
              <w:t>Benchmarks are not banking traffic</w:t>
            </w:r>
          </w:p>
        </w:tc>
        <w:tc>
          <w:tcPr>
            <w:tcW w:type="dxa" w:w="3355"/>
            <w:vAlign w:val="top"/>
            <w:tcMar>
              <w:top w:w="70" w:type="dxa"/>
              <w:bottom w:w="70" w:type="dxa"/>
              <w:left w:w="70" w:type="dxa"/>
              <w:right w:w="70" w:type="dxa"/>
            </w:tcMar>
          </w:tcPr>
          <w:p>
            <w:pPr>
              <w:pStyle w:val="TableText"/>
              <w:keepLines/>
            </w:pPr>
            <w:r>
              <w:rPr>
                <w:color w:val="000000"/>
                <w:sz w:val="20"/>
              </w:rPr>
              <w:t>Evaluate benchmarking separately.</w:t>
            </w:r>
          </w:p>
        </w:tc>
      </w:tr>
      <w:tr>
        <w:trPr>
          <w:cantSplit/>
        </w:trPr>
        <w:tc>
          <w:tcPr>
            <w:tcW w:type="dxa" w:w="979"/>
            <w:vAlign w:val="top"/>
            <w:shd w:fill="FAFAFA"/>
            <w:tcMar>
              <w:top w:w="70" w:type="dxa"/>
              <w:bottom w:w="70" w:type="dxa"/>
              <w:left w:w="70" w:type="dxa"/>
              <w:right w:w="70" w:type="dxa"/>
            </w:tcMar>
          </w:tcPr>
          <w:p>
            <w:pPr>
              <w:pStyle w:val="TableText"/>
              <w:keepLines/>
            </w:pPr>
            <w:r>
              <w:rPr>
                <w:color w:val="000000"/>
                <w:sz w:val="20"/>
              </w:rPr>
              <w:t>P13–P14</w:t>
            </w:r>
          </w:p>
        </w:tc>
        <w:tc>
          <w:tcPr>
            <w:tcW w:type="dxa" w:w="2520"/>
            <w:vAlign w:val="top"/>
            <w:shd w:fill="FAFAFA"/>
            <w:tcMar>
              <w:top w:w="70" w:type="dxa"/>
              <w:bottom w:w="70" w:type="dxa"/>
              <w:left w:w="70" w:type="dxa"/>
              <w:right w:w="70" w:type="dxa"/>
            </w:tcMar>
          </w:tcPr>
          <w:p>
            <w:pPr>
              <w:pStyle w:val="TableText"/>
              <w:keepLines/>
            </w:pPr>
            <w:r>
              <w:rPr>
                <w:color w:val="000000"/>
                <w:sz w:val="20"/>
              </w:rPr>
              <w:t>Blind spots and cloud events</w:t>
            </w:r>
          </w:p>
        </w:tc>
        <w:tc>
          <w:tcPr>
            <w:tcW w:type="dxa" w:w="2650"/>
            <w:vAlign w:val="top"/>
            <w:shd w:fill="FAFAFA"/>
            <w:tcMar>
              <w:top w:w="70" w:type="dxa"/>
              <w:bottom w:w="70" w:type="dxa"/>
              <w:left w:w="70" w:type="dxa"/>
              <w:right w:w="70" w:type="dxa"/>
            </w:tcMar>
          </w:tcPr>
          <w:p>
            <w:pPr>
              <w:pStyle w:val="TableText"/>
              <w:keepLines/>
            </w:pPr>
            <w:r>
              <w:rPr>
                <w:color w:val="000000"/>
                <w:sz w:val="20"/>
              </w:rPr>
              <w:t>Local event data not collected</w:t>
            </w:r>
          </w:p>
        </w:tc>
        <w:tc>
          <w:tcPr>
            <w:tcW w:type="dxa" w:w="3355"/>
            <w:vAlign w:val="top"/>
            <w:shd w:fill="FAFAFA"/>
            <w:tcMar>
              <w:top w:w="70" w:type="dxa"/>
              <w:bottom w:w="70" w:type="dxa"/>
              <w:left w:w="70" w:type="dxa"/>
              <w:right w:w="70" w:type="dxa"/>
            </w:tcMar>
          </w:tcPr>
          <w:p>
            <w:pPr>
              <w:pStyle w:val="TableText"/>
              <w:keepLines/>
            </w:pPr>
            <w:r>
              <w:rPr>
                <w:color w:val="000000"/>
                <w:sz w:val="20"/>
              </w:rPr>
              <w:t>Abstain on unsupported mechanisms.</w:t>
            </w:r>
          </w:p>
        </w:tc>
      </w:tr>
    </w:tbl>
    <w:p>
      <w:pPr>
        <w:spacing w:after="0"/>
      </w:pPr>
    </w:p>
    <w:p>
      <w:pPr>
        <w:pStyle w:val="Heading2"/>
      </w:pPr>
      <w:r>
        <w:rPr>
          <w:color w:val="000000"/>
        </w:rPr>
        <w:t>2.3 Consolidated Research Gap</w:t>
      </w:r>
    </w:p>
    <w:p>
      <w:r>
        <w:rPr>
          <w:color w:val="000000"/>
        </w:rPr>
        <w:t>The gap addressed by this project is the absence of a compact, banking-oriented demonstration that traces an observed transaction slowdown through service localization, mechanism investigation, corrective guidance, and independent verification. The contribution is an integration and measured evaluation of these stages. Neither algorithmic novelty nor superiority over published graph-based methods is claimed.</w:t>
      </w:r>
    </w:p>
    <w:p>
      <w:pPr>
        <w:pStyle w:val="Heading1"/>
      </w:pPr>
      <w:r>
        <w:rPr>
          <w:color w:val="000000"/>
        </w:rPr>
        <w:t>3. Project Objectives</w:t>
      </w:r>
    </w:p>
    <w:p>
      <w:pPr>
        <w:pStyle w:val="ListBullet"/>
      </w:pPr>
      <w:r>
        <w:rPr>
          <w:color w:val="000000"/>
        </w:rPr>
        <w:t>Develop a local academic digital banking workload with balance enquiry, atomic transfer, and transaction-history operations.</w:t>
      </w:r>
    </w:p>
    <w:p>
      <w:pPr>
        <w:pStyle w:val="ListBullet"/>
      </w:pPr>
      <w:r>
        <w:rPr>
          <w:color w:val="000000"/>
        </w:rPr>
        <w:t>Collect actual HTTP and SQL timing observations with identifiers sufficient to reconstruct the monitored request path.</w:t>
      </w:r>
    </w:p>
    <w:p>
      <w:pPr>
        <w:pStyle w:val="ListBullet"/>
      </w:pPr>
      <w:r>
        <w:rPr>
          <w:color w:val="000000"/>
        </w:rPr>
        <w:t>Detect deviations from a frozen normal baseline and localize the component with the strongest relevant execution evidence.</w:t>
      </w:r>
    </w:p>
    <w:p>
      <w:pPr>
        <w:pStyle w:val="ListBullet"/>
      </w:pPr>
      <w:r>
        <w:rPr>
          <w:color w:val="000000"/>
        </w:rPr>
        <w:t>Provide mechanism-qualified explanations, conditional corrective recommendations, and traceable investigation records.</w:t>
      </w:r>
    </w:p>
    <w:p>
      <w:pPr>
        <w:pStyle w:val="ListBullet"/>
      </w:pPr>
      <w:r>
        <w:rPr>
          <w:color w:val="000000"/>
        </w:rPr>
        <w:t>Evaluate a graph-based next-request predictor against a feature-only baseline, and compare diagnostic outputs with independent controlled-fault labels.</w:t>
      </w:r>
    </w:p>
    <w:p>
      <w:pPr>
        <w:pStyle w:val="ListBullet"/>
      </w:pPr>
      <w:r>
        <w:rPr>
          <w:color w:val="000000"/>
        </w:rPr>
        <w:t>Integrate the banking investigation dashboard with preserved research results and separate AWS resource monitoring, while retaining explicit source and deployment boundaries.</w:t>
      </w:r>
    </w:p>
    <w:p>
      <w:pPr>
        <w:pStyle w:val="Heading2"/>
      </w:pPr>
      <w:r>
        <w:rPr>
          <w:color w:val="000000"/>
        </w:rPr>
        <w:t>3.1 Recorded Outcomes</w:t>
      </w:r>
    </w:p>
    <w:p>
      <w:r>
        <w:rPr>
          <w:color w:val="000000"/>
        </w:rPr>
        <w:t>All three banking operations and the bounded local application-delay experiment were implemented and exercised. The GNN comparison and supporting benchmark evaluation remain preserved. The AWS extension publishes actual local banking timing observations to CloudWatch without moving the banking services to AWS. A bounded ten-request publication and subsequent retrieval were verified independently of EC2/RDS availability.</w:t>
      </w:r>
    </w:p>
    <w:p>
      <w:pPr>
        <w:pStyle w:val="Heading1"/>
      </w:pPr>
      <w:r>
        <w:rPr>
          <w:color w:val="000000"/>
        </w:rPr>
        <w:t>4. Novelty Summary</w:t>
      </w:r>
    </w:p>
    <w:p>
      <w:r>
        <w:rPr>
          <w:color w:val="000000"/>
        </w:rPr>
        <w:t>The work combined established techniques in a single evidence-driven banking performance investigation process. Its contribution is system integration and constrained empirical analysis, not a claim to have invented graph anomaly detection or causal inference.</w:t>
      </w:r>
    </w:p>
    <w:p>
      <w:pPr>
        <w:pStyle w:val="Caption"/>
        <w:keepNext/>
        <w:jc w:val="center"/>
      </w:pPr>
      <w:r>
        <w:rPr>
          <w:color w:val="000000"/>
        </w:rPr>
        <w:t>Table 3. Implemented contribution compared with common baseline practice</w:t>
      </w:r>
    </w:p>
    <w:tbl>
      <w:tblPr>
        <w:tblStyle w:val="TableGrid"/>
        <w:tblW w:type="auto" w:w="0"/>
        <w:jc w:val="center"/>
        <w:tblLayout w:type="fixed"/>
        <w:tblLook w:firstColumn="1" w:firstRow="1" w:lastColumn="0" w:lastRow="0" w:noHBand="0" w:noVBand="1" w:val="04A0"/>
      </w:tblPr>
      <w:tblGrid>
        <w:gridCol w:w="1512"/>
        <w:gridCol w:w="2088"/>
        <w:gridCol w:w="3053"/>
        <w:gridCol w:w="2851"/>
      </w:tblGrid>
      <w:tr>
        <w:trPr>
          <w:tblHeader w:val="true"/>
          <w:cantSplit/>
          <w:tblHeader/>
        </w:trPr>
        <w:tc>
          <w:tcPr>
            <w:tcW w:type="dxa" w:w="1512"/>
            <w:shd w:fill="EDEDED"/>
            <w:tcMar>
              <w:top w:w="70" w:type="dxa"/>
              <w:bottom w:w="70" w:type="dxa"/>
              <w:left w:w="70" w:type="dxa"/>
              <w:right w:w="70" w:type="dxa"/>
            </w:tcMar>
            <w:vAlign w:val="top"/>
          </w:tcPr>
          <w:p>
            <w:pPr>
              <w:pStyle w:val="TableText"/>
              <w:keepNext/>
            </w:pPr>
            <w:r>
              <w:rPr>
                <w:b/>
                <w:color w:val="000000"/>
                <w:sz w:val="20"/>
              </w:rPr>
              <w:t>Dimension</w:t>
            </w:r>
          </w:p>
        </w:tc>
        <w:tc>
          <w:tcPr>
            <w:tcW w:type="dxa" w:w="2088"/>
            <w:shd w:fill="EDEDED"/>
            <w:tcMar>
              <w:top w:w="70" w:type="dxa"/>
              <w:bottom w:w="70" w:type="dxa"/>
              <w:left w:w="70" w:type="dxa"/>
              <w:right w:w="70" w:type="dxa"/>
            </w:tcMar>
            <w:vAlign w:val="top"/>
          </w:tcPr>
          <w:p>
            <w:pPr>
              <w:pStyle w:val="TableText"/>
              <w:keepNext/>
            </w:pPr>
            <w:r>
              <w:rPr>
                <w:b/>
                <w:color w:val="000000"/>
                <w:sz w:val="20"/>
              </w:rPr>
              <w:t>Common baseline</w:t>
            </w:r>
          </w:p>
        </w:tc>
        <w:tc>
          <w:tcPr>
            <w:tcW w:type="dxa" w:w="3053"/>
            <w:shd w:fill="EDEDED"/>
            <w:tcMar>
              <w:top w:w="70" w:type="dxa"/>
              <w:bottom w:w="70" w:type="dxa"/>
              <w:left w:w="70" w:type="dxa"/>
              <w:right w:w="70" w:type="dxa"/>
            </w:tcMar>
            <w:vAlign w:val="top"/>
          </w:tcPr>
          <w:p>
            <w:pPr>
              <w:pStyle w:val="TableText"/>
              <w:keepNext/>
            </w:pPr>
            <w:r>
              <w:rPr>
                <w:b/>
                <w:color w:val="000000"/>
                <w:sz w:val="20"/>
              </w:rPr>
              <w:t>Implemented distinction</w:t>
            </w:r>
          </w:p>
        </w:tc>
        <w:tc>
          <w:tcPr>
            <w:tcW w:type="dxa" w:w="2851"/>
            <w:shd w:fill="EDEDED"/>
            <w:tcMar>
              <w:top w:w="70" w:type="dxa"/>
              <w:bottom w:w="70" w:type="dxa"/>
              <w:left w:w="70" w:type="dxa"/>
              <w:right w:w="70" w:type="dxa"/>
            </w:tcMar>
            <w:vAlign w:val="top"/>
          </w:tcPr>
          <w:p>
            <w:pPr>
              <w:pStyle w:val="TableText"/>
              <w:keepNext/>
            </w:pPr>
            <w:r>
              <w:rPr>
                <w:b/>
                <w:color w:val="000000"/>
                <w:sz w:val="20"/>
              </w:rPr>
              <w:t>Evidence</w:t>
            </w:r>
          </w:p>
        </w:tc>
      </w:tr>
      <w:tr>
        <w:trPr>
          <w:cantSplit/>
        </w:trPr>
        <w:tc>
          <w:tcPr>
            <w:tcW w:type="dxa" w:w="1512"/>
            <w:vAlign w:val="top"/>
            <w:tcMar>
              <w:top w:w="70" w:type="dxa"/>
              <w:bottom w:w="70" w:type="dxa"/>
              <w:left w:w="70" w:type="dxa"/>
              <w:right w:w="70" w:type="dxa"/>
            </w:tcMar>
          </w:tcPr>
          <w:p>
            <w:pPr>
              <w:pStyle w:val="TableText"/>
              <w:keepLines/>
            </w:pPr>
            <w:r>
              <w:rPr>
                <w:color w:val="000000"/>
                <w:sz w:val="20"/>
              </w:rPr>
              <w:t>Application</w:t>
            </w:r>
          </w:p>
        </w:tc>
        <w:tc>
          <w:tcPr>
            <w:tcW w:type="dxa" w:w="2088"/>
            <w:vAlign w:val="top"/>
            <w:tcMar>
              <w:top w:w="70" w:type="dxa"/>
              <w:bottom w:w="70" w:type="dxa"/>
              <w:left w:w="70" w:type="dxa"/>
              <w:right w:w="70" w:type="dxa"/>
            </w:tcMar>
          </w:tcPr>
          <w:p>
            <w:pPr>
              <w:pStyle w:val="TableText"/>
              <w:keepLines/>
            </w:pPr>
            <w:r>
              <w:rPr>
                <w:color w:val="000000"/>
                <w:sz w:val="20"/>
              </w:rPr>
              <w:t>Generic microservice monitoring</w:t>
            </w:r>
          </w:p>
        </w:tc>
        <w:tc>
          <w:tcPr>
            <w:tcW w:type="dxa" w:w="3053"/>
            <w:vAlign w:val="top"/>
            <w:tcMar>
              <w:top w:w="70" w:type="dxa"/>
              <w:bottom w:w="70" w:type="dxa"/>
              <w:left w:w="70" w:type="dxa"/>
              <w:right w:w="70" w:type="dxa"/>
            </w:tcMar>
          </w:tcPr>
          <w:p>
            <w:pPr>
              <w:pStyle w:val="TableText"/>
              <w:keepLines/>
            </w:pPr>
            <w:r>
              <w:rPr>
                <w:color w:val="000000"/>
                <w:sz w:val="20"/>
              </w:rPr>
              <w:t>Measured academic banking transaction workflow</w:t>
            </w:r>
          </w:p>
        </w:tc>
        <w:tc>
          <w:tcPr>
            <w:tcW w:type="dxa" w:w="2851"/>
            <w:vAlign w:val="top"/>
            <w:tcMar>
              <w:top w:w="70" w:type="dxa"/>
              <w:bottom w:w="70" w:type="dxa"/>
              <w:left w:w="70" w:type="dxa"/>
              <w:right w:w="70" w:type="dxa"/>
            </w:tcMar>
          </w:tcPr>
          <w:p>
            <w:pPr>
              <w:pStyle w:val="TableText"/>
              <w:keepLines/>
            </w:pPr>
            <w:r>
              <w:rPr>
                <w:color w:val="000000"/>
                <w:sz w:val="20"/>
              </w:rPr>
              <w:t>Balance, transfer, history execution</w:t>
            </w:r>
          </w:p>
        </w:tc>
      </w:tr>
      <w:tr>
        <w:trPr>
          <w:cantSplit/>
        </w:trPr>
        <w:tc>
          <w:tcPr>
            <w:tcW w:type="dxa" w:w="1512"/>
            <w:vAlign w:val="top"/>
            <w:shd w:fill="FAFAFA"/>
            <w:tcMar>
              <w:top w:w="70" w:type="dxa"/>
              <w:bottom w:w="70" w:type="dxa"/>
              <w:left w:w="70" w:type="dxa"/>
              <w:right w:w="70" w:type="dxa"/>
            </w:tcMar>
          </w:tcPr>
          <w:p>
            <w:pPr>
              <w:pStyle w:val="TableText"/>
              <w:keepLines/>
            </w:pPr>
            <w:r>
              <w:rPr>
                <w:color w:val="000000"/>
                <w:sz w:val="20"/>
              </w:rPr>
              <w:t>Diagnosis</w:t>
            </w:r>
          </w:p>
        </w:tc>
        <w:tc>
          <w:tcPr>
            <w:tcW w:type="dxa" w:w="2088"/>
            <w:vAlign w:val="top"/>
            <w:shd w:fill="FAFAFA"/>
            <w:tcMar>
              <w:top w:w="70" w:type="dxa"/>
              <w:bottom w:w="70" w:type="dxa"/>
              <w:left w:w="70" w:type="dxa"/>
              <w:right w:w="70" w:type="dxa"/>
            </w:tcMar>
          </w:tcPr>
          <w:p>
            <w:pPr>
              <w:pStyle w:val="TableText"/>
              <w:keepLines/>
            </w:pPr>
            <w:r>
              <w:rPr>
                <w:color w:val="000000"/>
                <w:sz w:val="20"/>
              </w:rPr>
              <w:t>Latency alert or abnormal resource</w:t>
            </w:r>
          </w:p>
        </w:tc>
        <w:tc>
          <w:tcPr>
            <w:tcW w:type="dxa" w:w="3053"/>
            <w:vAlign w:val="top"/>
            <w:shd w:fill="FAFAFA"/>
            <w:tcMar>
              <w:top w:w="70" w:type="dxa"/>
              <w:bottom w:w="70" w:type="dxa"/>
              <w:left w:w="70" w:type="dxa"/>
              <w:right w:w="70" w:type="dxa"/>
            </w:tcMar>
          </w:tcPr>
          <w:p>
            <w:pPr>
              <w:pStyle w:val="TableText"/>
              <w:keepLines/>
            </w:pPr>
            <w:r>
              <w:rPr>
                <w:color w:val="000000"/>
                <w:sz w:val="20"/>
              </w:rPr>
              <w:t>Own-time-based origin ranking and mechanism hypotheses</w:t>
            </w:r>
          </w:p>
        </w:tc>
        <w:tc>
          <w:tcPr>
            <w:tcW w:type="dxa" w:w="2851"/>
            <w:vAlign w:val="top"/>
            <w:shd w:fill="FAFAFA"/>
            <w:tcMar>
              <w:top w:w="70" w:type="dxa"/>
              <w:bottom w:w="70" w:type="dxa"/>
              <w:left w:w="70" w:type="dxa"/>
              <w:right w:w="70" w:type="dxa"/>
            </w:tcMar>
          </w:tcPr>
          <w:p>
            <w:pPr>
              <w:pStyle w:val="TableText"/>
              <w:keepLines/>
            </w:pPr>
            <w:r>
              <w:rPr>
                <w:color w:val="000000"/>
                <w:sz w:val="20"/>
              </w:rPr>
              <w:t>Three controlled delay cases</w:t>
            </w:r>
          </w:p>
        </w:tc>
      </w:tr>
      <w:tr>
        <w:trPr>
          <w:cantSplit/>
        </w:trPr>
        <w:tc>
          <w:tcPr>
            <w:tcW w:type="dxa" w:w="1512"/>
            <w:vAlign w:val="top"/>
            <w:tcMar>
              <w:top w:w="70" w:type="dxa"/>
              <w:bottom w:w="70" w:type="dxa"/>
              <w:left w:w="70" w:type="dxa"/>
              <w:right w:w="70" w:type="dxa"/>
            </w:tcMar>
          </w:tcPr>
          <w:p>
            <w:pPr>
              <w:pStyle w:val="TableText"/>
              <w:keepLines/>
            </w:pPr>
            <w:r>
              <w:rPr>
                <w:color w:val="000000"/>
                <w:sz w:val="20"/>
              </w:rPr>
              <w:t>Explainability</w:t>
            </w:r>
          </w:p>
        </w:tc>
        <w:tc>
          <w:tcPr>
            <w:tcW w:type="dxa" w:w="2088"/>
            <w:vAlign w:val="top"/>
            <w:tcMar>
              <w:top w:w="70" w:type="dxa"/>
              <w:bottom w:w="70" w:type="dxa"/>
              <w:left w:w="70" w:type="dxa"/>
              <w:right w:w="70" w:type="dxa"/>
            </w:tcMar>
          </w:tcPr>
          <w:p>
            <w:pPr>
              <w:pStyle w:val="TableText"/>
              <w:keepLines/>
            </w:pPr>
            <w:r>
              <w:rPr>
                <w:color w:val="000000"/>
                <w:sz w:val="20"/>
              </w:rPr>
              <w:t>Unqualified root-cause labels</w:t>
            </w:r>
          </w:p>
        </w:tc>
        <w:tc>
          <w:tcPr>
            <w:tcW w:type="dxa" w:w="3053"/>
            <w:vAlign w:val="top"/>
            <w:tcMar>
              <w:top w:w="70" w:type="dxa"/>
              <w:bottom w:w="70" w:type="dxa"/>
              <w:left w:w="70" w:type="dxa"/>
              <w:right w:w="70" w:type="dxa"/>
            </w:tcMar>
          </w:tcPr>
          <w:p>
            <w:pPr>
              <w:pStyle w:val="TableText"/>
              <w:keepLines/>
            </w:pPr>
            <w:r>
              <w:rPr>
                <w:color w:val="000000"/>
                <w:sz w:val="20"/>
              </w:rPr>
              <w:t>Supporting, missing and contradictory evidence</w:t>
            </w:r>
          </w:p>
        </w:tc>
        <w:tc>
          <w:tcPr>
            <w:tcW w:type="dxa" w:w="2851"/>
            <w:vAlign w:val="top"/>
            <w:tcMar>
              <w:top w:w="70" w:type="dxa"/>
              <w:bottom w:w="70" w:type="dxa"/>
              <w:left w:w="70" w:type="dxa"/>
              <w:right w:w="70" w:type="dxa"/>
            </w:tcMar>
          </w:tcPr>
          <w:p>
            <w:pPr>
              <w:pStyle w:val="TableText"/>
              <w:keepLines/>
            </w:pPr>
            <w:r>
              <w:rPr>
                <w:color w:val="000000"/>
                <w:sz w:val="20"/>
              </w:rPr>
              <w:t>Ledger service investigation</w:t>
            </w:r>
          </w:p>
        </w:tc>
      </w:tr>
      <w:tr>
        <w:trPr>
          <w:cantSplit/>
        </w:trPr>
        <w:tc>
          <w:tcPr>
            <w:tcW w:type="dxa" w:w="1512"/>
            <w:vAlign w:val="top"/>
            <w:shd w:fill="FAFAFA"/>
            <w:tcMar>
              <w:top w:w="70" w:type="dxa"/>
              <w:bottom w:w="70" w:type="dxa"/>
              <w:left w:w="70" w:type="dxa"/>
              <w:right w:w="70" w:type="dxa"/>
            </w:tcMar>
          </w:tcPr>
          <w:p>
            <w:pPr>
              <w:pStyle w:val="TableText"/>
              <w:keepLines/>
            </w:pPr>
            <w:r>
              <w:rPr>
                <w:color w:val="000000"/>
                <w:sz w:val="20"/>
              </w:rPr>
              <w:t>Graph modeling</w:t>
            </w:r>
          </w:p>
        </w:tc>
        <w:tc>
          <w:tcPr>
            <w:tcW w:type="dxa" w:w="2088"/>
            <w:vAlign w:val="top"/>
            <w:shd w:fill="FAFAFA"/>
            <w:tcMar>
              <w:top w:w="70" w:type="dxa"/>
              <w:bottom w:w="70" w:type="dxa"/>
              <w:left w:w="70" w:type="dxa"/>
              <w:right w:w="70" w:type="dxa"/>
            </w:tcMar>
          </w:tcPr>
          <w:p>
            <w:pPr>
              <w:pStyle w:val="TableText"/>
              <w:keepLines/>
            </w:pPr>
            <w:r>
              <w:rPr>
                <w:color w:val="000000"/>
                <w:sz w:val="20"/>
              </w:rPr>
              <w:t>Graph diagram alone</w:t>
            </w:r>
          </w:p>
        </w:tc>
        <w:tc>
          <w:tcPr>
            <w:tcW w:type="dxa" w:w="3053"/>
            <w:vAlign w:val="top"/>
            <w:shd w:fill="FAFAFA"/>
            <w:tcMar>
              <w:top w:w="70" w:type="dxa"/>
              <w:bottom w:w="70" w:type="dxa"/>
              <w:left w:w="70" w:type="dxa"/>
              <w:right w:w="70" w:type="dxa"/>
            </w:tcMar>
          </w:tcPr>
          <w:p>
            <w:pPr>
              <w:pStyle w:val="TableText"/>
              <w:keepLines/>
            </w:pPr>
            <w:r>
              <w:rPr>
                <w:color w:val="000000"/>
                <w:sz w:val="20"/>
              </w:rPr>
              <w:t>Compatible trained banking graph model and identity baseline</w:t>
            </w:r>
          </w:p>
        </w:tc>
        <w:tc>
          <w:tcPr>
            <w:tcW w:type="dxa" w:w="2851"/>
            <w:vAlign w:val="top"/>
            <w:shd w:fill="FAFAFA"/>
            <w:tcMar>
              <w:top w:w="70" w:type="dxa"/>
              <w:bottom w:w="70" w:type="dxa"/>
              <w:left w:w="70" w:type="dxa"/>
              <w:right w:w="70" w:type="dxa"/>
            </w:tcMar>
          </w:tcPr>
          <w:p>
            <w:pPr>
              <w:pStyle w:val="TableText"/>
              <w:keepLines/>
            </w:pPr>
            <w:r>
              <w:rPr>
                <w:color w:val="000000"/>
                <w:sz w:val="20"/>
              </w:rPr>
              <w:t>Held-out MSE comparison</w:t>
            </w:r>
          </w:p>
        </w:tc>
      </w:tr>
      <w:tr>
        <w:trPr>
          <w:cantSplit/>
        </w:trPr>
        <w:tc>
          <w:tcPr>
            <w:tcW w:type="dxa" w:w="1512"/>
            <w:vAlign w:val="top"/>
            <w:tcMar>
              <w:top w:w="70" w:type="dxa"/>
              <w:bottom w:w="70" w:type="dxa"/>
              <w:left w:w="70" w:type="dxa"/>
              <w:right w:w="70" w:type="dxa"/>
            </w:tcMar>
          </w:tcPr>
          <w:p>
            <w:pPr>
              <w:pStyle w:val="TableText"/>
              <w:keepLines/>
            </w:pPr>
            <w:r>
              <w:rPr>
                <w:color w:val="000000"/>
                <w:sz w:val="20"/>
              </w:rPr>
              <w:t>Observability</w:t>
            </w:r>
          </w:p>
        </w:tc>
        <w:tc>
          <w:tcPr>
            <w:tcW w:type="dxa" w:w="2088"/>
            <w:vAlign w:val="top"/>
            <w:tcMar>
              <w:top w:w="70" w:type="dxa"/>
              <w:bottom w:w="70" w:type="dxa"/>
              <w:left w:w="70" w:type="dxa"/>
              <w:right w:w="70" w:type="dxa"/>
            </w:tcMar>
          </w:tcPr>
          <w:p>
            <w:pPr>
              <w:pStyle w:val="TableText"/>
              <w:keepLines/>
            </w:pPr>
            <w:r>
              <w:rPr>
                <w:color w:val="000000"/>
                <w:sz w:val="20"/>
              </w:rPr>
              <w:t>Broad metric display</w:t>
            </w:r>
          </w:p>
        </w:tc>
        <w:tc>
          <w:tcPr>
            <w:tcW w:type="dxa" w:w="3053"/>
            <w:vAlign w:val="top"/>
            <w:tcMar>
              <w:top w:w="70" w:type="dxa"/>
              <w:bottom w:w="70" w:type="dxa"/>
              <w:left w:w="70" w:type="dxa"/>
              <w:right w:w="70" w:type="dxa"/>
            </w:tcMar>
          </w:tcPr>
          <w:p>
            <w:pPr>
              <w:pStyle w:val="TableText"/>
              <w:keepLines/>
            </w:pPr>
            <w:r>
              <w:rPr>
                <w:color w:val="000000"/>
                <w:sz w:val="20"/>
              </w:rPr>
              <w:t>Bounded TC-CFAO field inspection</w:t>
            </w:r>
          </w:p>
        </w:tc>
        <w:tc>
          <w:tcPr>
            <w:tcW w:type="dxa" w:w="2851"/>
            <w:vAlign w:val="top"/>
            <w:tcMar>
              <w:top w:w="70" w:type="dxa"/>
              <w:bottom w:w="70" w:type="dxa"/>
              <w:left w:w="70" w:type="dxa"/>
              <w:right w:w="70" w:type="dxa"/>
            </w:tcMar>
          </w:tcPr>
          <w:p>
            <w:pPr>
              <w:pStyle w:val="TableText"/>
              <w:keepLines/>
            </w:pPr>
            <w:r>
              <w:rPr>
                <w:color w:val="000000"/>
                <w:sz w:val="20"/>
              </w:rPr>
              <w:t>3 of 8 stored evidence fields</w:t>
            </w:r>
          </w:p>
        </w:tc>
      </w:tr>
    </w:tbl>
    <w:p>
      <w:pPr>
        <w:spacing w:after="0"/>
      </w:pPr>
    </w:p>
    <w:p>
      <w:pPr>
        <w:pStyle w:val="Heading1"/>
      </w:pPr>
      <w:r>
        <w:rPr>
          <w:color w:val="000000"/>
        </w:rPr>
        <w:t>5. System and Architecture</w:t>
      </w:r>
    </w:p>
    <w:p>
      <w:pPr>
        <w:pStyle w:val="Heading2"/>
      </w:pPr>
      <w:r>
        <w:rPr>
          <w:color w:val="000000"/>
        </w:rPr>
        <w:t>5.1 System Overview</w:t>
      </w:r>
    </w:p>
    <w:p>
      <w:r>
        <w:rPr>
          <w:color w:val="000000"/>
        </w:rPr>
        <w:t>The deployed academic banking workload consists of a local FastAPI gateway on port 8000, an Account Service on port 8101, a Ledger Service on port 8102, and a dedicated SQLite test database. The user interface and investigation engine run through the gateway. The separate AWS monitoring component uses credentialed, read-only collection of EC2 and relevant resource observations; it is not described as the host of the academic banking workload.</w:t>
      </w:r>
    </w:p>
    <w:p>
      <w:pPr>
        <w:pStyle w:val="Heading2"/>
      </w:pPr>
      <w:r>
        <w:rPr>
          <w:color w:val="000000"/>
        </w:rPr>
        <w:t>5.2 AWS Cloud Architecture</w:t>
      </w:r>
    </w:p>
    <w:p>
      <w:pPr>
        <w:keepLines/>
        <w:jc w:val="center"/>
      </w:pPr>
      <w:r>
        <w:rPr>
          <w:color w:val="000000"/>
        </w:rPr>
        <w:drawing>
          <wp:inline xmlns:a="http://schemas.openxmlformats.org/drawingml/2006/main" xmlns:pic="http://schemas.openxmlformats.org/drawingml/2006/picture">
            <wp:extent cx="5897880" cy="3145536"/>
            <wp:docPr id="15" name="Picture 15"/>
            <wp:cNvGraphicFramePr>
              <a:graphicFrameLocks noChangeAspect="1"/>
            </wp:cNvGraphicFramePr>
            <a:graphic>
              <a:graphicData uri="http://schemas.openxmlformats.org/drawingml/2006/picture">
                <pic:pic>
                  <pic:nvPicPr>
                    <pic:cNvPr id="0" name="aws-implemented-architecture.png"/>
                    <pic:cNvPicPr/>
                  </pic:nvPicPr>
                  <pic:blipFill>
                    <a:blip r:embed="rId22"/>
                    <a:stretch>
                      <a:fillRect/>
                    </a:stretch>
                  </pic:blipFill>
                  <pic:spPr>
                    <a:xfrm>
                      <a:off x="0" y="0"/>
                      <a:ext cx="5897880" cy="3145536"/>
                    </a:xfrm>
                    <a:prstGeom prst="rect"/>
                  </pic:spPr>
                </pic:pic>
              </a:graphicData>
            </a:graphic>
          </wp:inline>
        </w:drawing>
      </w:r>
    </w:p>
    <w:p>
      <w:pPr>
        <w:pStyle w:val="Caption"/>
        <w:jc w:val="center"/>
      </w:pPr>
      <w:r>
        <w:rPr>
          <w:color w:val="000000"/>
        </w:rPr>
        <w:t>Figure 1. Implemented AWS observability architecture: explicit publication of local measured banking telemetry to a dedicated CloudWatch namespace, alongside separate native infrastructure collection.</w:t>
      </w:r>
    </w:p>
    <w:p>
      <w:r>
        <w:rPr>
          <w:color w:val="000000"/>
        </w:rPr>
        <w:t>The AWS session was reverified on 16 October 2026 at 16:19 UTC in us-east-1. Authentication succeeded, resource discovery found one running EC2 instance and zero RDS databases, and the existing native infrastructure collector returned three metric series without API errors. After explicit operator approval, the banking publisher sent ten existing measured requests as 118 values. Subsequent CloudWatch reads returned 30 banking metric series. The banking workload itself remained local, with no inferred service-to-EC2/RDS hosting relationship.</w:t>
      </w:r>
    </w:p>
    <w:p>
      <w:pPr>
        <w:pStyle w:val="Heading2"/>
      </w:pPr>
      <w:r>
        <w:rPr>
          <w:color w:val="000000"/>
        </w:rPr>
        <w:t>5.3 Complete System Architecture</w:t>
      </w:r>
    </w:p>
    <w:p>
      <w:pPr>
        <w:keepLines/>
        <w:jc w:val="center"/>
      </w:pPr>
      <w:r>
        <w:rPr>
          <w:color w:val="000000"/>
        </w:rPr>
        <w:drawing>
          <wp:inline xmlns:a="http://schemas.openxmlformats.org/drawingml/2006/main" xmlns:pic="http://schemas.openxmlformats.org/drawingml/2006/picture">
            <wp:extent cx="5897880" cy="3436399"/>
            <wp:docPr id="2" name="Picture 2"/>
            <wp:cNvGraphicFramePr>
              <a:graphicFrameLocks noChangeAspect="1"/>
            </wp:cNvGraphicFramePr>
            <a:graphic>
              <a:graphicData uri="http://schemas.openxmlformats.org/drawingml/2006/picture">
                <pic:pic>
                  <pic:nvPicPr>
                    <pic:cNvPr id="0" name="complete_architecture.png"/>
                    <pic:cNvPicPr/>
                  </pic:nvPicPr>
                  <pic:blipFill>
                    <a:blip r:embed="rId12"/>
                    <a:stretch>
                      <a:fillRect/>
                    </a:stretch>
                  </pic:blipFill>
                  <pic:spPr>
                    <a:xfrm>
                      <a:off x="0" y="0"/>
                      <a:ext cx="5897880" cy="3436399"/>
                    </a:xfrm>
                    <a:prstGeom prst="rect"/>
                  </pic:spPr>
                </pic:pic>
              </a:graphicData>
            </a:graphic>
          </wp:inline>
        </w:drawing>
      </w:r>
    </w:p>
    <w:p>
      <w:pPr>
        <w:pStyle w:val="Caption"/>
        <w:jc w:val="center"/>
      </w:pPr>
      <w:r>
        <w:rPr>
          <w:color w:val="000000"/>
        </w:rPr>
        <w:t>Figure 2. Complete implemented banking application and performance investigation architecture.</w:t>
      </w:r>
    </w:p>
    <w:p>
      <w:pPr>
        <w:pStyle w:val="Heading2"/>
      </w:pPr>
      <w:r>
        <w:rPr>
          <w:color w:val="000000"/>
        </w:rPr>
        <w:t>5.4 Workflow and Use Cases</w:t>
      </w:r>
    </w:p>
    <w:p>
      <w:r>
        <w:rPr>
          <w:color w:val="000000"/>
        </w:rPr>
        <w:t>Balance enquiry reads a test account; transfer performs a transactional debit, credit, and ledger insertion; history retrieves the stored transfer record. For measured faults, the investigation processes chronological spans, checks baseline deviation, ranks components by relevant own-time and downstream evidence, examines mechanism-specific measurements, produces conditional actions, and compares the frozen output with independent experimental annotations.</w:t>
      </w:r>
    </w:p>
    <w:p>
      <w:pPr>
        <w:pStyle w:val="Heading2"/>
      </w:pPr>
      <w:r>
        <w:rPr>
          <w:color w:val="000000"/>
        </w:rPr>
        <w:t>5.5 Security, Availability, and Scalability Considerations</w:t>
      </w:r>
    </w:p>
    <w:p>
      <w:r>
        <w:rPr>
          <w:color w:val="000000"/>
        </w:rPr>
        <w:t>Fictitious accounts, localhost service binding, dedicated database files, idempotent transfers, bounded local delay controls, exclusion of operational credentials from Git, and explicit operator triggering reduce test risk. The application was evaluated on one machine with sequential requests; production scalability, cloud redundancy, and banking-grade security were not established.</w:t>
      </w:r>
    </w:p>
    <w:p>
      <w:pPr>
        <w:pStyle w:val="Heading1"/>
      </w:pPr>
      <w:r>
        <w:rPr>
          <w:color w:val="000000"/>
        </w:rPr>
        <w:t>6. Dataset Description</w:t>
      </w:r>
    </w:p>
    <w:p>
      <w:r>
        <w:rPr>
          <w:color w:val="000000"/>
        </w:rPr>
        <w:t>The primary data for the final banking study comprises measured local HTTP and SQL request traces. Public datasets support independent method investigation and are not presented as banking transaction observations. Counts below refer to the documented imported subsets, not the full size of every original public release.</w:t>
      </w:r>
    </w:p>
    <w:p>
      <w:pPr>
        <w:pStyle w:val="Caption"/>
        <w:keepNext/>
        <w:jc w:val="center"/>
      </w:pPr>
      <w:r>
        <w:rPr>
          <w:color w:val="000000"/>
        </w:rPr>
        <w:t>Table 4. Dataset and telemetry source summary</w:t>
      </w:r>
    </w:p>
    <w:tbl>
      <w:tblPr>
        <w:tblStyle w:val="TableGrid"/>
        <w:tblW w:type="auto" w:w="0"/>
        <w:jc w:val="center"/>
        <w:tblLayout w:type="fixed"/>
        <w:tblLook w:firstColumn="1" w:firstRow="1" w:lastColumn="0" w:lastRow="0" w:noHBand="0" w:noVBand="1" w:val="04A0"/>
      </w:tblPr>
      <w:tblGrid>
        <w:gridCol w:w="2016"/>
        <w:gridCol w:w="2736"/>
        <w:gridCol w:w="2117"/>
        <w:gridCol w:w="2635"/>
      </w:tblGrid>
      <w:tr>
        <w:trPr>
          <w:tblHeader w:val="true"/>
          <w:cantSplit/>
          <w:tblHeader/>
        </w:trPr>
        <w:tc>
          <w:tcPr>
            <w:tcW w:type="dxa" w:w="2016"/>
            <w:shd w:fill="EDEDED"/>
            <w:tcMar>
              <w:top w:w="70" w:type="dxa"/>
              <w:bottom w:w="70" w:type="dxa"/>
              <w:left w:w="70" w:type="dxa"/>
              <w:right w:w="70" w:type="dxa"/>
            </w:tcMar>
            <w:vAlign w:val="top"/>
          </w:tcPr>
          <w:p>
            <w:pPr>
              <w:pStyle w:val="TableText"/>
              <w:keepNext/>
            </w:pPr>
            <w:r>
              <w:rPr>
                <w:b/>
                <w:color w:val="000000"/>
                <w:sz w:val="20"/>
              </w:rPr>
              <w:t>Source</w:t>
            </w:r>
          </w:p>
        </w:tc>
        <w:tc>
          <w:tcPr>
            <w:tcW w:type="dxa" w:w="2736"/>
            <w:shd w:fill="EDEDED"/>
            <w:tcMar>
              <w:top w:w="70" w:type="dxa"/>
              <w:bottom w:w="70" w:type="dxa"/>
              <w:left w:w="70" w:type="dxa"/>
              <w:right w:w="70" w:type="dxa"/>
            </w:tcMar>
            <w:vAlign w:val="top"/>
          </w:tcPr>
          <w:p>
            <w:pPr>
              <w:pStyle w:val="TableText"/>
              <w:keepNext/>
            </w:pPr>
            <w:r>
              <w:rPr>
                <w:b/>
                <w:color w:val="000000"/>
                <w:sz w:val="20"/>
              </w:rPr>
              <w:t>Imported scope / format</w:t>
            </w:r>
          </w:p>
        </w:tc>
        <w:tc>
          <w:tcPr>
            <w:tcW w:type="dxa" w:w="2117"/>
            <w:shd w:fill="EDEDED"/>
            <w:tcMar>
              <w:top w:w="70" w:type="dxa"/>
              <w:bottom w:w="70" w:type="dxa"/>
              <w:left w:w="70" w:type="dxa"/>
              <w:right w:w="70" w:type="dxa"/>
            </w:tcMar>
            <w:vAlign w:val="top"/>
          </w:tcPr>
          <w:p>
            <w:pPr>
              <w:pStyle w:val="TableText"/>
              <w:keepNext/>
            </w:pPr>
            <w:r>
              <w:rPr>
                <w:b/>
                <w:color w:val="000000"/>
                <w:sz w:val="20"/>
              </w:rPr>
              <w:t>Purpose</w:t>
            </w:r>
          </w:p>
        </w:tc>
        <w:tc>
          <w:tcPr>
            <w:tcW w:type="dxa" w:w="2635"/>
            <w:shd w:fill="EDEDED"/>
            <w:tcMar>
              <w:top w:w="70" w:type="dxa"/>
              <w:bottom w:w="70" w:type="dxa"/>
              <w:left w:w="70" w:type="dxa"/>
              <w:right w:w="70" w:type="dxa"/>
            </w:tcMar>
            <w:vAlign w:val="top"/>
          </w:tcPr>
          <w:p>
            <w:pPr>
              <w:pStyle w:val="TableText"/>
              <w:keepNext/>
            </w:pPr>
            <w:r>
              <w:rPr>
                <w:b/>
                <w:color w:val="000000"/>
                <w:sz w:val="20"/>
              </w:rPr>
              <w:t>Interpretation</w:t>
            </w:r>
          </w:p>
        </w:tc>
      </w:tr>
      <w:tr>
        <w:trPr>
          <w:cantSplit/>
        </w:trPr>
        <w:tc>
          <w:tcPr>
            <w:tcW w:type="dxa" w:w="2016"/>
            <w:vAlign w:val="top"/>
            <w:tcMar>
              <w:top w:w="70" w:type="dxa"/>
              <w:bottom w:w="70" w:type="dxa"/>
              <w:left w:w="70" w:type="dxa"/>
              <w:right w:w="70" w:type="dxa"/>
            </w:tcMar>
          </w:tcPr>
          <w:p>
            <w:pPr>
              <w:pStyle w:val="TableText"/>
              <w:keepLines/>
            </w:pPr>
            <w:r>
              <w:rPr>
                <w:color w:val="000000"/>
                <w:sz w:val="20"/>
              </w:rPr>
              <w:t>Local banking observations</w:t>
            </w:r>
          </w:p>
        </w:tc>
        <w:tc>
          <w:tcPr>
            <w:tcW w:type="dxa" w:w="2736"/>
            <w:vAlign w:val="top"/>
            <w:tcMar>
              <w:top w:w="70" w:type="dxa"/>
              <w:bottom w:w="70" w:type="dxa"/>
              <w:left w:w="70" w:type="dxa"/>
              <w:right w:w="70" w:type="dxa"/>
            </w:tcMar>
          </w:tcPr>
          <w:p>
            <w:pPr>
              <w:pStyle w:val="TableText"/>
              <w:keepLines/>
            </w:pPr>
            <w:r>
              <w:rPr>
                <w:color w:val="000000"/>
                <w:sz w:val="20"/>
              </w:rPr>
              <w:t>270 normal HTTP requests; structured SQL/HTTP traces; 3 controlled repetitions</w:t>
            </w:r>
          </w:p>
        </w:tc>
        <w:tc>
          <w:tcPr>
            <w:tcW w:type="dxa" w:w="2117"/>
            <w:vAlign w:val="top"/>
            <w:tcMar>
              <w:top w:w="70" w:type="dxa"/>
              <w:bottom w:w="70" w:type="dxa"/>
              <w:left w:w="70" w:type="dxa"/>
              <w:right w:w="70" w:type="dxa"/>
            </w:tcMar>
          </w:tcPr>
          <w:p>
            <w:pPr>
              <w:pStyle w:val="TableText"/>
              <w:keepLines/>
            </w:pPr>
            <w:r>
              <w:rPr>
                <w:color w:val="000000"/>
                <w:sz w:val="20"/>
              </w:rPr>
              <w:t>Banking application detection and diagnosis</w:t>
            </w:r>
          </w:p>
        </w:tc>
        <w:tc>
          <w:tcPr>
            <w:tcW w:type="dxa" w:w="2635"/>
            <w:vAlign w:val="top"/>
            <w:tcMar>
              <w:top w:w="70" w:type="dxa"/>
              <w:bottom w:w="70" w:type="dxa"/>
              <w:left w:w="70" w:type="dxa"/>
              <w:right w:w="70" w:type="dxa"/>
            </w:tcMar>
          </w:tcPr>
          <w:p>
            <w:pPr>
              <w:pStyle w:val="TableText"/>
              <w:keepLines/>
            </w:pPr>
            <w:r>
              <w:rPr>
                <w:color w:val="000000"/>
                <w:sz w:val="20"/>
              </w:rPr>
              <w:t>Fictitious accounts; measured local timings</w:t>
            </w:r>
          </w:p>
        </w:tc>
      </w:tr>
      <w:tr>
        <w:trPr>
          <w:cantSplit/>
        </w:trPr>
        <w:tc>
          <w:tcPr>
            <w:tcW w:type="dxa" w:w="2016"/>
            <w:vAlign w:val="top"/>
            <w:shd w:fill="FAFAFA"/>
            <w:tcMar>
              <w:top w:w="70" w:type="dxa"/>
              <w:bottom w:w="70" w:type="dxa"/>
              <w:left w:w="70" w:type="dxa"/>
              <w:right w:w="70" w:type="dxa"/>
            </w:tcMar>
          </w:tcPr>
          <w:p>
            <w:pPr>
              <w:pStyle w:val="TableText"/>
              <w:keepLines/>
            </w:pPr>
            <w:r>
              <w:rPr>
                <w:color w:val="000000"/>
                <w:sz w:val="20"/>
              </w:rPr>
              <w:t>Alibaba Microservices v2021</w:t>
            </w:r>
          </w:p>
        </w:tc>
        <w:tc>
          <w:tcPr>
            <w:tcW w:type="dxa" w:w="2736"/>
            <w:vAlign w:val="top"/>
            <w:shd w:fill="FAFAFA"/>
            <w:tcMar>
              <w:top w:w="70" w:type="dxa"/>
              <w:bottom w:w="70" w:type="dxa"/>
              <w:left w:w="70" w:type="dxa"/>
              <w:right w:w="70" w:type="dxa"/>
            </w:tcMar>
          </w:tcPr>
          <w:p>
            <w:pPr>
              <w:pStyle w:val="TableText"/>
              <w:keepLines/>
            </w:pPr>
            <w:r>
              <w:rPr>
                <w:color w:val="000000"/>
                <w:sz w:val="20"/>
              </w:rPr>
              <w:t>100,000-row bounded scan; 77,375 valid measured calls; 40 nodes, 80 edges in study</w:t>
            </w:r>
          </w:p>
        </w:tc>
        <w:tc>
          <w:tcPr>
            <w:tcW w:type="dxa" w:w="2117"/>
            <w:vAlign w:val="top"/>
            <w:shd w:fill="FAFAFA"/>
            <w:tcMar>
              <w:top w:w="70" w:type="dxa"/>
              <w:bottom w:w="70" w:type="dxa"/>
              <w:left w:w="70" w:type="dxa"/>
              <w:right w:w="70" w:type="dxa"/>
            </w:tcMar>
          </w:tcPr>
          <w:p>
            <w:pPr>
              <w:pStyle w:val="TableText"/>
              <w:keepLines/>
            </w:pPr>
            <w:r>
              <w:rPr>
                <w:color w:val="000000"/>
                <w:sz w:val="20"/>
              </w:rPr>
              <w:t>Observed production service graphs and GNN research</w:t>
            </w:r>
          </w:p>
        </w:tc>
        <w:tc>
          <w:tcPr>
            <w:tcW w:type="dxa" w:w="2635"/>
            <w:vAlign w:val="top"/>
            <w:shd w:fill="FAFAFA"/>
            <w:tcMar>
              <w:top w:w="70" w:type="dxa"/>
              <w:bottom w:w="70" w:type="dxa"/>
              <w:left w:w="70" w:type="dxa"/>
              <w:right w:w="70" w:type="dxa"/>
            </w:tcMar>
          </w:tcPr>
          <w:p>
            <w:pPr>
              <w:pStyle w:val="TableText"/>
              <w:keepLines/>
            </w:pPr>
            <w:r>
              <w:rPr>
                <w:color w:val="000000"/>
                <w:sz w:val="20"/>
              </w:rPr>
              <w:t>No banking operation or fault labels</w:t>
            </w:r>
          </w:p>
        </w:tc>
      </w:tr>
      <w:tr>
        <w:trPr>
          <w:cantSplit/>
        </w:trPr>
        <w:tc>
          <w:tcPr>
            <w:tcW w:type="dxa" w:w="2016"/>
            <w:vAlign w:val="top"/>
            <w:tcMar>
              <w:top w:w="70" w:type="dxa"/>
              <w:bottom w:w="70" w:type="dxa"/>
              <w:left w:w="70" w:type="dxa"/>
              <w:right w:w="70" w:type="dxa"/>
            </w:tcMar>
          </w:tcPr>
          <w:p>
            <w:pPr>
              <w:pStyle w:val="TableText"/>
              <w:keepLines/>
            </w:pPr>
            <w:r>
              <w:rPr>
                <w:color w:val="000000"/>
                <w:sz w:val="20"/>
              </w:rPr>
              <w:t>Microsoft Cloud Monitoring</w:t>
            </w:r>
          </w:p>
        </w:tc>
        <w:tc>
          <w:tcPr>
            <w:tcW w:type="dxa" w:w="2736"/>
            <w:vAlign w:val="top"/>
            <w:tcMar>
              <w:top w:w="70" w:type="dxa"/>
              <w:bottom w:w="70" w:type="dxa"/>
              <w:left w:w="70" w:type="dxa"/>
              <w:right w:w="70" w:type="dxa"/>
            </w:tcMar>
          </w:tcPr>
          <w:p>
            <w:pPr>
              <w:pStyle w:val="TableText"/>
              <w:keepLines/>
            </w:pPr>
            <w:r>
              <w:rPr>
                <w:color w:val="000000"/>
                <w:sz w:val="20"/>
              </w:rPr>
              <w:t>60 official CSV series, 225,445 raw rows</w:t>
            </w:r>
          </w:p>
        </w:tc>
        <w:tc>
          <w:tcPr>
            <w:tcW w:type="dxa" w:w="2117"/>
            <w:vAlign w:val="top"/>
            <w:tcMar>
              <w:top w:w="70" w:type="dxa"/>
              <w:bottom w:w="70" w:type="dxa"/>
              <w:left w:w="70" w:type="dxa"/>
              <w:right w:w="70" w:type="dxa"/>
            </w:tcMar>
          </w:tcPr>
          <w:p>
            <w:pPr>
              <w:pStyle w:val="TableText"/>
              <w:keepLines/>
            </w:pPr>
            <w:r>
              <w:rPr>
                <w:color w:val="000000"/>
                <w:sz w:val="20"/>
              </w:rPr>
              <w:t>Expert-labelled time-series anomaly evaluation</w:t>
            </w:r>
          </w:p>
        </w:tc>
        <w:tc>
          <w:tcPr>
            <w:tcW w:type="dxa" w:w="2635"/>
            <w:vAlign w:val="top"/>
            <w:tcMar>
              <w:top w:w="70" w:type="dxa"/>
              <w:bottom w:w="70" w:type="dxa"/>
              <w:left w:w="70" w:type="dxa"/>
              <w:right w:w="70" w:type="dxa"/>
            </w:tcMar>
          </w:tcPr>
          <w:p>
            <w:pPr>
              <w:pStyle w:val="TableText"/>
              <w:keepLines/>
            </w:pPr>
            <w:r>
              <w:rPr>
                <w:color w:val="000000"/>
                <w:sz w:val="20"/>
              </w:rPr>
              <w:t>No service-level root cause labels</w:t>
            </w:r>
          </w:p>
        </w:tc>
      </w:tr>
      <w:tr>
        <w:trPr>
          <w:cantSplit/>
        </w:trPr>
        <w:tc>
          <w:tcPr>
            <w:tcW w:type="dxa" w:w="2016"/>
            <w:vAlign w:val="top"/>
            <w:shd w:fill="FAFAFA"/>
            <w:tcMar>
              <w:top w:w="70" w:type="dxa"/>
              <w:bottom w:w="70" w:type="dxa"/>
              <w:left w:w="70" w:type="dxa"/>
              <w:right w:w="70" w:type="dxa"/>
            </w:tcMar>
          </w:tcPr>
          <w:p>
            <w:pPr>
              <w:pStyle w:val="TableText"/>
              <w:keepLines/>
            </w:pPr>
            <w:r>
              <w:rPr>
                <w:color w:val="000000"/>
                <w:sz w:val="20"/>
              </w:rPr>
              <w:t>RCAEval RE1 and RE2</w:t>
            </w:r>
          </w:p>
        </w:tc>
        <w:tc>
          <w:tcPr>
            <w:tcW w:type="dxa" w:w="2736"/>
            <w:vAlign w:val="top"/>
            <w:shd w:fill="FAFAFA"/>
            <w:tcMar>
              <w:top w:w="70" w:type="dxa"/>
              <w:bottom w:w="70" w:type="dxa"/>
              <w:left w:w="70" w:type="dxa"/>
              <w:right w:w="70" w:type="dxa"/>
            </w:tcMar>
          </w:tcPr>
          <w:p>
            <w:pPr>
              <w:pStyle w:val="TableText"/>
              <w:keepLines/>
            </w:pPr>
            <w:r>
              <w:rPr>
                <w:color w:val="000000"/>
                <w:sz w:val="20"/>
              </w:rPr>
              <w:t>150 imported RE1 cases; 5 selected RE2 cases; recorded metrics / trace data where available</w:t>
            </w:r>
          </w:p>
        </w:tc>
        <w:tc>
          <w:tcPr>
            <w:tcW w:type="dxa" w:w="2117"/>
            <w:vAlign w:val="top"/>
            <w:shd w:fill="FAFAFA"/>
            <w:tcMar>
              <w:top w:w="70" w:type="dxa"/>
              <w:bottom w:w="70" w:type="dxa"/>
              <w:left w:w="70" w:type="dxa"/>
              <w:right w:w="70" w:type="dxa"/>
            </w:tcMar>
          </w:tcPr>
          <w:p>
            <w:pPr>
              <w:pStyle w:val="TableText"/>
              <w:keepLines/>
            </w:pPr>
            <w:r>
              <w:rPr>
                <w:color w:val="000000"/>
                <w:sz w:val="20"/>
              </w:rPr>
              <w:t>Fault localization and mechanism research</w:t>
            </w:r>
          </w:p>
        </w:tc>
        <w:tc>
          <w:tcPr>
            <w:tcW w:type="dxa" w:w="2635"/>
            <w:vAlign w:val="top"/>
            <w:shd w:fill="FAFAFA"/>
            <w:tcMar>
              <w:top w:w="70" w:type="dxa"/>
              <w:bottom w:w="70" w:type="dxa"/>
              <w:left w:w="70" w:type="dxa"/>
              <w:right w:w="70" w:type="dxa"/>
            </w:tcMar>
          </w:tcPr>
          <w:p>
            <w:pPr>
              <w:pStyle w:val="TableText"/>
              <w:keepLines/>
            </w:pPr>
            <w:r>
              <w:rPr>
                <w:color w:val="000000"/>
                <w:sz w:val="20"/>
              </w:rPr>
              <w:t>Controlled benchmark labels, not banking failures</w:t>
            </w:r>
          </w:p>
        </w:tc>
      </w:tr>
      <w:tr>
        <w:trPr>
          <w:cantSplit/>
        </w:trPr>
        <w:tc>
          <w:tcPr>
            <w:tcW w:type="dxa" w:w="2016"/>
            <w:vAlign w:val="top"/>
            <w:tcMar>
              <w:top w:w="70" w:type="dxa"/>
              <w:bottom w:w="70" w:type="dxa"/>
              <w:left w:w="70" w:type="dxa"/>
              <w:right w:w="70" w:type="dxa"/>
            </w:tcMar>
          </w:tcPr>
          <w:p>
            <w:pPr>
              <w:pStyle w:val="TableText"/>
              <w:keepLines/>
            </w:pPr>
            <w:r>
              <w:rPr>
                <w:color w:val="000000"/>
                <w:sz w:val="20"/>
              </w:rPr>
              <w:t>AWS CloudWatch / host probes</w:t>
            </w:r>
          </w:p>
        </w:tc>
        <w:tc>
          <w:tcPr>
            <w:tcW w:type="dxa" w:w="2736"/>
            <w:vAlign w:val="top"/>
            <w:tcMar>
              <w:top w:w="70" w:type="dxa"/>
              <w:bottom w:w="70" w:type="dxa"/>
              <w:left w:w="70" w:type="dxa"/>
              <w:right w:w="70" w:type="dxa"/>
            </w:tcMar>
          </w:tcPr>
          <w:p>
            <w:pPr>
              <w:pStyle w:val="TableText"/>
              <w:keepLines/>
            </w:pPr>
            <w:r>
              <w:rPr>
                <w:color w:val="000000"/>
                <w:sz w:val="20"/>
              </w:rPr>
              <w:t>Native resource observations plus ten measured banking requests published to a dedicated custom namespace</w:t>
            </w:r>
          </w:p>
        </w:tc>
        <w:tc>
          <w:tcPr>
            <w:tcW w:type="dxa" w:w="2117"/>
            <w:vAlign w:val="top"/>
            <w:tcMar>
              <w:top w:w="70" w:type="dxa"/>
              <w:bottom w:w="70" w:type="dxa"/>
              <w:left w:w="70" w:type="dxa"/>
              <w:right w:w="70" w:type="dxa"/>
            </w:tcMar>
          </w:tcPr>
          <w:p>
            <w:pPr>
              <w:pStyle w:val="TableText"/>
              <w:keepLines/>
            </w:pPr>
            <w:r>
              <w:rPr>
                <w:color w:val="000000"/>
                <w:sz w:val="20"/>
              </w:rPr>
              <w:t>Separate cloud monitoring</w:t>
            </w:r>
          </w:p>
        </w:tc>
        <w:tc>
          <w:tcPr>
            <w:tcW w:type="dxa" w:w="2635"/>
            <w:vAlign w:val="top"/>
            <w:tcMar>
              <w:top w:w="70" w:type="dxa"/>
              <w:bottom w:w="70" w:type="dxa"/>
              <w:left w:w="70" w:type="dxa"/>
              <w:right w:w="70" w:type="dxa"/>
            </w:tcMar>
          </w:tcPr>
          <w:p>
            <w:pPr>
              <w:pStyle w:val="TableText"/>
              <w:keepLines/>
            </w:pPr>
            <w:r>
              <w:rPr>
                <w:color w:val="000000"/>
                <w:sz w:val="20"/>
              </w:rPr>
              <w:t>Local banking source; AWS CloudWatch storage; separate EC2/RDS metrics</w:t>
            </w:r>
          </w:p>
        </w:tc>
      </w:tr>
    </w:tbl>
    <w:p>
      <w:pPr>
        <w:spacing w:after="0"/>
      </w:pPr>
    </w:p>
    <w:p>
      <w:pPr>
        <w:pStyle w:val="Heading2"/>
      </w:pPr>
      <w:r>
        <w:rPr>
          <w:color w:val="000000"/>
        </w:rPr>
        <w:t>6.1 Source Links and Data Preparation</w:t>
      </w:r>
    </w:p>
    <w:p>
      <w:r>
        <w:rPr>
          <w:color w:val="000000"/>
        </w:rPr>
        <w:t>Alibaba: https://github.com/alibaba/clusterdata/tree/master/cluster-trace-microservices-v2021. The selected trace prefix was parsed into measured calls and recorded dependencies.</w:t>
      </w:r>
    </w:p>
    <w:p>
      <w:r>
        <w:rPr>
          <w:color w:val="000000"/>
        </w:rPr>
        <w:t>Microsoft: https://github.com/microsoft/cloud-monitoring-dataset. Chronological ordering, duplicate handling, missing-value preservation, and train/validation/test separation were applied.</w:t>
      </w:r>
    </w:p>
    <w:p>
      <w:r>
        <w:rPr>
          <w:color w:val="000000"/>
        </w:rPr>
        <w:t>RCAEval: https://github.com/phamquiluan/RCAEval. Official incident annotations were isolated from inference, with recorded cases used for independent scoring.</w:t>
      </w:r>
    </w:p>
    <w:p>
      <w:r>
        <w:rPr>
          <w:color w:val="000000"/>
        </w:rPr>
        <w:t>Banking study: service handlers, client requests, and SQL spans were collected through the local application and stored in excluded runtime files. The frozen final summary is committed under results/banking/measured_20261016/report.json.</w:t>
      </w:r>
    </w:p>
    <w:p>
      <w:r>
        <w:rPr>
          <w:color w:val="000000"/>
        </w:rPr>
        <w:t>Original raw file sizes and per-column feature counts differ across the heterogeneous benchmark sources; the final repository contains the imported counts and schema adapters rather than a single merged dataset with a common feature count. No unsupported aggregate dataset size is stated. Public releases are subject to their respective licenses and source terms.</w:t>
      </w:r>
    </w:p>
    <w:p>
      <w:pPr>
        <w:pStyle w:val="Heading1"/>
      </w:pPr>
      <w:r>
        <w:rPr>
          <w:color w:val="000000"/>
        </w:rPr>
        <w:t>7. AWS Services and Deployment Evidence</w:t>
      </w:r>
    </w:p>
    <w:p>
      <w:pPr>
        <w:pStyle w:val="Caption"/>
        <w:keepNext/>
        <w:jc w:val="center"/>
      </w:pPr>
      <w:r>
        <w:rPr>
          <w:color w:val="000000"/>
        </w:rPr>
        <w:t>Table 5. AWS service use and final recorded status</w:t>
      </w:r>
    </w:p>
    <w:tbl>
      <w:tblPr>
        <w:tblStyle w:val="TableGrid"/>
        <w:tblW w:type="auto" w:w="0"/>
        <w:jc w:val="center"/>
        <w:tblLayout w:type="fixed"/>
        <w:tblLook w:firstColumn="1" w:firstRow="1" w:lastColumn="0" w:lastRow="0" w:noHBand="0" w:noVBand="1" w:val="04A0"/>
      </w:tblPr>
      <w:tblGrid>
        <w:gridCol w:w="1800"/>
        <w:gridCol w:w="2376"/>
        <w:gridCol w:w="2232"/>
        <w:gridCol w:w="3096"/>
      </w:tblGrid>
      <w:tr>
        <w:trPr>
          <w:tblHeader w:val="true"/>
          <w:cantSplit/>
          <w:tblHeader/>
        </w:trPr>
        <w:tc>
          <w:tcPr>
            <w:tcW w:type="dxa" w:w="1800"/>
            <w:shd w:fill="EDEDED"/>
            <w:tcMar>
              <w:top w:w="70" w:type="dxa"/>
              <w:bottom w:w="70" w:type="dxa"/>
              <w:left w:w="70" w:type="dxa"/>
              <w:right w:w="70" w:type="dxa"/>
            </w:tcMar>
            <w:vAlign w:val="top"/>
          </w:tcPr>
          <w:p>
            <w:pPr>
              <w:pStyle w:val="TableText"/>
              <w:keepNext/>
            </w:pPr>
            <w:r>
              <w:rPr>
                <w:b/>
                <w:color w:val="000000"/>
                <w:sz w:val="20"/>
              </w:rPr>
              <w:t>AWS component</w:t>
            </w:r>
          </w:p>
        </w:tc>
        <w:tc>
          <w:tcPr>
            <w:tcW w:type="dxa" w:w="2376"/>
            <w:shd w:fill="EDEDED"/>
            <w:tcMar>
              <w:top w:w="70" w:type="dxa"/>
              <w:bottom w:w="70" w:type="dxa"/>
              <w:left w:w="70" w:type="dxa"/>
              <w:right w:w="70" w:type="dxa"/>
            </w:tcMar>
            <w:vAlign w:val="top"/>
          </w:tcPr>
          <w:p>
            <w:pPr>
              <w:pStyle w:val="TableText"/>
              <w:keepNext/>
            </w:pPr>
            <w:r>
              <w:rPr>
                <w:b/>
                <w:color w:val="000000"/>
                <w:sz w:val="20"/>
              </w:rPr>
              <w:t>Role</w:t>
            </w:r>
          </w:p>
        </w:tc>
        <w:tc>
          <w:tcPr>
            <w:tcW w:type="dxa" w:w="2232"/>
            <w:shd w:fill="EDEDED"/>
            <w:tcMar>
              <w:top w:w="70" w:type="dxa"/>
              <w:bottom w:w="70" w:type="dxa"/>
              <w:left w:w="70" w:type="dxa"/>
              <w:right w:w="70" w:type="dxa"/>
            </w:tcMar>
            <w:vAlign w:val="top"/>
          </w:tcPr>
          <w:p>
            <w:pPr>
              <w:pStyle w:val="TableText"/>
              <w:keepNext/>
            </w:pPr>
            <w:r>
              <w:rPr>
                <w:b/>
                <w:color w:val="000000"/>
                <w:sz w:val="20"/>
              </w:rPr>
              <w:t>Recorded status</w:t>
            </w:r>
          </w:p>
        </w:tc>
        <w:tc>
          <w:tcPr>
            <w:tcW w:type="dxa" w:w="3096"/>
            <w:shd w:fill="EDEDED"/>
            <w:tcMar>
              <w:top w:w="70" w:type="dxa"/>
              <w:bottom w:w="70" w:type="dxa"/>
              <w:left w:w="70" w:type="dxa"/>
              <w:right w:w="70" w:type="dxa"/>
            </w:tcMar>
            <w:vAlign w:val="top"/>
          </w:tcPr>
          <w:p>
            <w:pPr>
              <w:pStyle w:val="TableText"/>
              <w:keepNext/>
            </w:pPr>
            <w:r>
              <w:rPr>
                <w:b/>
                <w:color w:val="000000"/>
                <w:sz w:val="20"/>
              </w:rPr>
              <w:t>Security / cost consideration</w:t>
            </w:r>
          </w:p>
        </w:tc>
      </w:tr>
      <w:tr>
        <w:trPr>
          <w:cantSplit/>
        </w:trPr>
        <w:tc>
          <w:tcPr>
            <w:tcW w:type="dxa" w:w="1800"/>
            <w:vAlign w:val="top"/>
            <w:tcMar>
              <w:top w:w="70" w:type="dxa"/>
              <w:bottom w:w="70" w:type="dxa"/>
              <w:left w:w="70" w:type="dxa"/>
              <w:right w:w="70" w:type="dxa"/>
            </w:tcMar>
          </w:tcPr>
          <w:p>
            <w:pPr>
              <w:pStyle w:val="TableText"/>
              <w:keepLines/>
            </w:pPr>
            <w:r>
              <w:rPr>
                <w:color w:val="000000"/>
                <w:sz w:val="20"/>
              </w:rPr>
              <w:t>Amazon EC2</w:t>
            </w:r>
          </w:p>
        </w:tc>
        <w:tc>
          <w:tcPr>
            <w:tcW w:type="dxa" w:w="2376"/>
            <w:vAlign w:val="top"/>
            <w:tcMar>
              <w:top w:w="70" w:type="dxa"/>
              <w:bottom w:w="70" w:type="dxa"/>
              <w:left w:w="70" w:type="dxa"/>
              <w:right w:w="70" w:type="dxa"/>
            </w:tcMar>
          </w:tcPr>
          <w:p>
            <w:pPr>
              <w:pStyle w:val="TableText"/>
              <w:keepLines/>
            </w:pPr>
            <w:r>
              <w:rPr>
                <w:color w:val="000000"/>
                <w:sz w:val="20"/>
              </w:rPr>
              <w:t>Monitored compute / test host</w:t>
            </w:r>
          </w:p>
        </w:tc>
        <w:tc>
          <w:tcPr>
            <w:tcW w:type="dxa" w:w="2232"/>
            <w:vAlign w:val="top"/>
            <w:tcMar>
              <w:top w:w="70" w:type="dxa"/>
              <w:bottom w:w="70" w:type="dxa"/>
              <w:left w:w="70" w:type="dxa"/>
              <w:right w:w="70" w:type="dxa"/>
            </w:tcMar>
          </w:tcPr>
          <w:p>
            <w:pPr>
              <w:pStyle w:val="TableText"/>
              <w:keepLines/>
            </w:pPr>
            <w:r>
              <w:rPr>
                <w:color w:val="000000"/>
                <w:sz w:val="20"/>
              </w:rPr>
              <w:t>Live discovery: one running EC2 instance; native infrastructure collection returned three metric series</w:t>
            </w:r>
          </w:p>
        </w:tc>
        <w:tc>
          <w:tcPr>
            <w:tcW w:type="dxa" w:w="3096"/>
            <w:vAlign w:val="top"/>
            <w:tcMar>
              <w:top w:w="70" w:type="dxa"/>
              <w:bottom w:w="70" w:type="dxa"/>
              <w:left w:w="70" w:type="dxa"/>
              <w:right w:w="70" w:type="dxa"/>
            </w:tcMar>
          </w:tcPr>
          <w:p>
            <w:pPr>
              <w:pStyle w:val="TableText"/>
              <w:keepLines/>
            </w:pPr>
            <w:r>
              <w:rPr>
                <w:color w:val="000000"/>
                <w:sz w:val="20"/>
              </w:rPr>
              <w:t>Read-only IAM inspection; no infrastructure mutation</w:t>
            </w:r>
          </w:p>
        </w:tc>
      </w:tr>
      <w:tr>
        <w:trPr>
          <w:cantSplit/>
        </w:trPr>
        <w:tc>
          <w:tcPr>
            <w:tcW w:type="dxa" w:w="1800"/>
            <w:vAlign w:val="top"/>
            <w:shd w:fill="FAFAFA"/>
            <w:tcMar>
              <w:top w:w="70" w:type="dxa"/>
              <w:bottom w:w="70" w:type="dxa"/>
              <w:left w:w="70" w:type="dxa"/>
              <w:right w:w="70" w:type="dxa"/>
            </w:tcMar>
          </w:tcPr>
          <w:p>
            <w:pPr>
              <w:pStyle w:val="TableText"/>
              <w:keepLines/>
            </w:pPr>
            <w:r>
              <w:rPr>
                <w:color w:val="000000"/>
                <w:sz w:val="20"/>
              </w:rPr>
              <w:t>Amazon CloudWatch</w:t>
            </w:r>
          </w:p>
        </w:tc>
        <w:tc>
          <w:tcPr>
            <w:tcW w:type="dxa" w:w="2376"/>
            <w:vAlign w:val="top"/>
            <w:shd w:fill="FAFAFA"/>
            <w:tcMar>
              <w:top w:w="70" w:type="dxa"/>
              <w:bottom w:w="70" w:type="dxa"/>
              <w:left w:w="70" w:type="dxa"/>
              <w:right w:w="70" w:type="dxa"/>
            </w:tcMar>
          </w:tcPr>
          <w:p>
            <w:pPr>
              <w:pStyle w:val="TableText"/>
              <w:keepLines/>
            </w:pPr>
            <w:r>
              <w:rPr>
                <w:color w:val="000000"/>
                <w:sz w:val="20"/>
              </w:rPr>
              <w:t>Native/cloud custom resource observations</w:t>
            </w:r>
          </w:p>
        </w:tc>
        <w:tc>
          <w:tcPr>
            <w:tcW w:type="dxa" w:w="2232"/>
            <w:vAlign w:val="top"/>
            <w:shd w:fill="FAFAFA"/>
            <w:tcMar>
              <w:top w:w="70" w:type="dxa"/>
              <w:bottom w:w="70" w:type="dxa"/>
              <w:left w:w="70" w:type="dxa"/>
              <w:right w:w="70" w:type="dxa"/>
            </w:tcMar>
          </w:tcPr>
          <w:p>
            <w:pPr>
              <w:pStyle w:val="TableText"/>
              <w:keepLines/>
            </w:pPr>
            <w:r>
              <w:rPr>
                <w:color w:val="000000"/>
                <w:sz w:val="20"/>
              </w:rPr>
              <w:t>Ten measured banking requests published as 118 metric values; 30 series retrieved across eight metric types</w:t>
            </w:r>
          </w:p>
        </w:tc>
        <w:tc>
          <w:tcPr>
            <w:tcW w:type="dxa" w:w="3096"/>
            <w:vAlign w:val="top"/>
            <w:shd w:fill="FAFAFA"/>
            <w:tcMar>
              <w:top w:w="70" w:type="dxa"/>
              <w:bottom w:w="70" w:type="dxa"/>
              <w:left w:w="70" w:type="dxa"/>
              <w:right w:w="70" w:type="dxa"/>
            </w:tcMar>
          </w:tcPr>
          <w:p>
            <w:pPr>
              <w:pStyle w:val="TableText"/>
              <w:keepLines/>
            </w:pPr>
            <w:r>
              <w:rPr>
                <w:color w:val="000000"/>
                <w:sz w:val="20"/>
              </w:rPr>
              <w:t>Bounded explicit PutMetricData; GetMetricData reads; no sensitive transaction data or automatic publication</w:t>
            </w:r>
          </w:p>
        </w:tc>
      </w:tr>
      <w:tr>
        <w:trPr>
          <w:cantSplit/>
        </w:trPr>
        <w:tc>
          <w:tcPr>
            <w:tcW w:type="dxa" w:w="1800"/>
            <w:vAlign w:val="top"/>
            <w:tcMar>
              <w:top w:w="70" w:type="dxa"/>
              <w:bottom w:w="70" w:type="dxa"/>
              <w:left w:w="70" w:type="dxa"/>
              <w:right w:w="70" w:type="dxa"/>
            </w:tcMar>
          </w:tcPr>
          <w:p>
            <w:pPr>
              <w:pStyle w:val="TableText"/>
              <w:keepLines/>
            </w:pPr>
            <w:r>
              <w:rPr>
                <w:color w:val="000000"/>
                <w:sz w:val="20"/>
              </w:rPr>
              <w:t>AWS IAM / STS</w:t>
            </w:r>
          </w:p>
        </w:tc>
        <w:tc>
          <w:tcPr>
            <w:tcW w:type="dxa" w:w="2376"/>
            <w:vAlign w:val="top"/>
            <w:tcMar>
              <w:top w:w="70" w:type="dxa"/>
              <w:bottom w:w="70" w:type="dxa"/>
              <w:left w:w="70" w:type="dxa"/>
              <w:right w:w="70" w:type="dxa"/>
            </w:tcMar>
          </w:tcPr>
          <w:p>
            <w:pPr>
              <w:pStyle w:val="TableText"/>
              <w:keepLines/>
            </w:pPr>
            <w:r>
              <w:rPr>
                <w:color w:val="000000"/>
                <w:sz w:val="20"/>
              </w:rPr>
              <w:t>Authentication and resource discovery</w:t>
            </w:r>
          </w:p>
        </w:tc>
        <w:tc>
          <w:tcPr>
            <w:tcW w:type="dxa" w:w="2232"/>
            <w:vAlign w:val="top"/>
            <w:tcMar>
              <w:top w:w="70" w:type="dxa"/>
              <w:bottom w:w="70" w:type="dxa"/>
              <w:left w:w="70" w:type="dxa"/>
              <w:right w:w="70" w:type="dxa"/>
            </w:tcMar>
          </w:tcPr>
          <w:p>
            <w:pPr>
              <w:pStyle w:val="TableText"/>
              <w:keepLines/>
            </w:pPr>
            <w:r>
              <w:rPr>
                <w:color w:val="000000"/>
                <w:sz w:val="20"/>
              </w:rPr>
              <w:t>STS authentication succeeded in us-east-1 on 16 October 2026 at 16:19 UTC</w:t>
            </w:r>
          </w:p>
        </w:tc>
        <w:tc>
          <w:tcPr>
            <w:tcW w:type="dxa" w:w="3096"/>
            <w:vAlign w:val="top"/>
            <w:tcMar>
              <w:top w:w="70" w:type="dxa"/>
              <w:bottom w:w="70" w:type="dxa"/>
              <w:left w:w="70" w:type="dxa"/>
              <w:right w:w="70" w:type="dxa"/>
            </w:tcMar>
          </w:tcPr>
          <w:p>
            <w:pPr>
              <w:pStyle w:val="TableText"/>
              <w:keepLines/>
            </w:pPr>
            <w:r>
              <w:rPr>
                <w:color w:val="000000"/>
                <w:sz w:val="20"/>
              </w:rPr>
              <w:t>Temporary academy credentials excluded from Git</w:t>
            </w:r>
          </w:p>
        </w:tc>
      </w:tr>
      <w:tr>
        <w:trPr>
          <w:cantSplit/>
        </w:trPr>
        <w:tc>
          <w:tcPr>
            <w:tcW w:type="dxa" w:w="1800"/>
            <w:vAlign w:val="top"/>
            <w:shd w:fill="FAFAFA"/>
            <w:tcMar>
              <w:top w:w="70" w:type="dxa"/>
              <w:bottom w:w="70" w:type="dxa"/>
              <w:left w:w="70" w:type="dxa"/>
              <w:right w:w="70" w:type="dxa"/>
            </w:tcMar>
          </w:tcPr>
          <w:p>
            <w:pPr>
              <w:pStyle w:val="TableText"/>
              <w:keepLines/>
            </w:pPr>
            <w:r>
              <w:rPr>
                <w:color w:val="000000"/>
                <w:sz w:val="20"/>
              </w:rPr>
              <w:t>AWS Systems Manager</w:t>
            </w:r>
          </w:p>
        </w:tc>
        <w:tc>
          <w:tcPr>
            <w:tcW w:type="dxa" w:w="2376"/>
            <w:vAlign w:val="top"/>
            <w:shd w:fill="FAFAFA"/>
            <w:tcMar>
              <w:top w:w="70" w:type="dxa"/>
              <w:bottom w:w="70" w:type="dxa"/>
              <w:left w:w="70" w:type="dxa"/>
              <w:right w:w="70" w:type="dxa"/>
            </w:tcMar>
          </w:tcPr>
          <w:p>
            <w:pPr>
              <w:pStyle w:val="TableText"/>
              <w:keepLines/>
            </w:pPr>
            <w:r>
              <w:rPr>
                <w:color w:val="000000"/>
                <w:sz w:val="20"/>
              </w:rPr>
              <w:t>Read-only EC2/PostgreSQL diagnostic collection</w:t>
            </w:r>
          </w:p>
        </w:tc>
        <w:tc>
          <w:tcPr>
            <w:tcW w:type="dxa" w:w="2232"/>
            <w:vAlign w:val="top"/>
            <w:shd w:fill="FAFAFA"/>
            <w:tcMar>
              <w:top w:w="70" w:type="dxa"/>
              <w:bottom w:w="70" w:type="dxa"/>
              <w:left w:w="70" w:type="dxa"/>
              <w:right w:w="70" w:type="dxa"/>
            </w:tcMar>
          </w:tcPr>
          <w:p>
            <w:pPr>
              <w:pStyle w:val="TableText"/>
              <w:keepLines/>
            </w:pPr>
            <w:r>
              <w:rPr>
                <w:color w:val="000000"/>
                <w:sz w:val="20"/>
              </w:rPr>
              <w:t>Previously implemented, not newly fault-tested</w:t>
            </w:r>
          </w:p>
        </w:tc>
        <w:tc>
          <w:tcPr>
            <w:tcW w:type="dxa" w:w="3096"/>
            <w:vAlign w:val="top"/>
            <w:shd w:fill="FAFAFA"/>
            <w:tcMar>
              <w:top w:w="70" w:type="dxa"/>
              <w:bottom w:w="70" w:type="dxa"/>
              <w:left w:w="70" w:type="dxa"/>
              <w:right w:w="70" w:type="dxa"/>
            </w:tcMar>
          </w:tcPr>
          <w:p>
            <w:pPr>
              <w:pStyle w:val="TableText"/>
              <w:keepLines/>
            </w:pPr>
            <w:r>
              <w:rPr>
                <w:color w:val="000000"/>
                <w:sz w:val="20"/>
              </w:rPr>
              <w:t>Least-privilege monitoring and command access</w:t>
            </w:r>
          </w:p>
        </w:tc>
      </w:tr>
      <w:tr>
        <w:trPr>
          <w:cantSplit/>
        </w:trPr>
        <w:tc>
          <w:tcPr>
            <w:tcW w:type="dxa" w:w="1800"/>
            <w:vAlign w:val="top"/>
            <w:tcMar>
              <w:top w:w="70" w:type="dxa"/>
              <w:bottom w:w="70" w:type="dxa"/>
              <w:left w:w="70" w:type="dxa"/>
              <w:right w:w="70" w:type="dxa"/>
            </w:tcMar>
          </w:tcPr>
          <w:p>
            <w:pPr>
              <w:pStyle w:val="TableText"/>
              <w:keepLines/>
            </w:pPr>
            <w:r>
              <w:rPr>
                <w:color w:val="000000"/>
                <w:sz w:val="20"/>
              </w:rPr>
              <w:t>Amazon RDS</w:t>
            </w:r>
          </w:p>
        </w:tc>
        <w:tc>
          <w:tcPr>
            <w:tcW w:type="dxa" w:w="2376"/>
            <w:vAlign w:val="top"/>
            <w:tcMar>
              <w:top w:w="70" w:type="dxa"/>
              <w:bottom w:w="70" w:type="dxa"/>
              <w:left w:w="70" w:type="dxa"/>
              <w:right w:w="70" w:type="dxa"/>
            </w:tcMar>
          </w:tcPr>
          <w:p>
            <w:pPr>
              <w:pStyle w:val="TableText"/>
              <w:keepLines/>
            </w:pPr>
            <w:r>
              <w:rPr>
                <w:color w:val="000000"/>
                <w:sz w:val="20"/>
              </w:rPr>
              <w:t>Discovery check only</w:t>
            </w:r>
          </w:p>
        </w:tc>
        <w:tc>
          <w:tcPr>
            <w:tcW w:type="dxa" w:w="2232"/>
            <w:vAlign w:val="top"/>
            <w:tcMar>
              <w:top w:w="70" w:type="dxa"/>
              <w:bottom w:w="70" w:type="dxa"/>
              <w:left w:w="70" w:type="dxa"/>
              <w:right w:w="70" w:type="dxa"/>
            </w:tcMar>
          </w:tcPr>
          <w:p>
            <w:pPr>
              <w:pStyle w:val="TableText"/>
              <w:keepLines/>
            </w:pPr>
            <w:r>
              <w:rPr>
                <w:color w:val="000000"/>
                <w:sz w:val="20"/>
              </w:rPr>
              <w:t>Live discovery succeeded; zero RDS databases visible; no banking RDS deployment claimed</w:t>
            </w:r>
          </w:p>
        </w:tc>
        <w:tc>
          <w:tcPr>
            <w:tcW w:type="dxa" w:w="3096"/>
            <w:vAlign w:val="top"/>
            <w:tcMar>
              <w:top w:w="70" w:type="dxa"/>
              <w:bottom w:w="70" w:type="dxa"/>
              <w:left w:w="70" w:type="dxa"/>
              <w:right w:w="70" w:type="dxa"/>
            </w:tcMar>
          </w:tcPr>
          <w:p>
            <w:pPr>
              <w:pStyle w:val="TableText"/>
              <w:keepLines/>
            </w:pPr>
            <w:r>
              <w:rPr>
                <w:color w:val="000000"/>
                <w:sz w:val="20"/>
              </w:rPr>
              <w:t>No RDS deployment or cost attributed</w:t>
            </w:r>
          </w:p>
        </w:tc>
      </w:tr>
    </w:tbl>
    <w:p>
      <w:pPr>
        <w:spacing w:after="0"/>
      </w:pPr>
    </w:p>
    <w:p>
      <w:pPr>
        <w:pStyle w:val="Heading2"/>
      </w:pPr>
      <w:r>
        <w:rPr>
          <w:color w:val="000000"/>
        </w:rPr>
        <w:t>7.1 Deployment and Network Design</w:t>
      </w:r>
    </w:p>
    <w:p>
      <w:r>
        <w:rPr>
          <w:color w:val="000000"/>
        </w:rPr>
        <w:t>The banking gateway and services operated on 127.0.0.1 using ports 8000, 8101, and 8102. The dedicated SQLite runtime files were local and excluded from Git. This separation prevented the academic delay experiment from affecting the monitored EC2/PostgreSQL environment.</w:t>
      </w:r>
    </w:p>
    <w:p>
      <w:pPr>
        <w:pStyle w:val="Heading2"/>
      </w:pPr>
      <w:r>
        <w:rPr>
          <w:color w:val="000000"/>
        </w:rPr>
        <w:t>7.2 Cost and Credential Management</w:t>
      </w:r>
    </w:p>
    <w:p>
      <w:r>
        <w:rPr>
          <w:color w:val="000000"/>
        </w:rPr>
        <w:t>No AWS resources, permissions, security groups or databases were provisioned or modified. The approved custom-metric publication consisted of ten existing measured requests; it did not execute a banking transfer or start a fault. Custom metrics may incur charges, but no measured cost or savings claim is made. Credentials remained outside source control, and unrelated environment settings were unchanged.</w:t>
      </w:r>
    </w:p>
    <w:p>
      <w:pPr>
        <w:pStyle w:val="Heading2"/>
      </w:pPr>
      <w:r>
        <w:rPr>
          <w:color w:val="000000"/>
        </w:rPr>
        <w:t>7.3 Banking Telemetry Integration Status</w:t>
      </w:r>
    </w:p>
    <w:p>
      <w:r>
        <w:rPr>
          <w:color w:val="000000"/>
        </w:rPr>
        <w:t>The AWS extension adds a read-only telemetry publisher, persistent publication checkpoint, banking-specific CloudWatch collector, explicit publication CLI, AWS-only API endpoints, and a Cloud Monitoring banking panel. Eight measured metric types are supported: request and error counts; handler and client latency; service latency and exclusive processing; SQL execution and connection timing. Original measurement timestamps and units are retained. Only bounded service, operation and academic-local-test dimensions are published. No account identifiers, balances, transfer identifiers, trace identifiers, credentials or raw request payloads enter CloudWatch. Definite API failures preserve unsuccessful work; ambiguous network outcomes block replay because PutMetricData does not provide an idempotency key. Publication is not triggered by startup or dashboard viewing.</w:t>
      </w:r>
    </w:p>
    <w:p>
      <w:pPr>
        <w:pStyle w:val="Heading2"/>
      </w:pPr>
      <w:r>
        <w:rPr>
          <w:color w:val="000000"/>
        </w:rPr>
        <w:t>7.4 AWS Banking Results and Analysis Limits</w:t>
      </w:r>
    </w:p>
    <w:p>
      <w:r>
        <w:rPr>
          <w:color w:val="000000"/>
        </w:rPr>
        <w:t>The retrieved request totals were four balance enquiries, three transfers and three transaction-history requests, matching the ten published source rows. These observations came from an earlier measured academic run and are not additional repetitions of the frozen research study. Thirty non-empty metric series were retrieved across the three operations. The first post-publication read exposed only thirteen series during propagation; later independent reads exposed all thirty. The observations occupy a single 60-second measurement bucket, so they do not establish a normal cloud baseline, a latency trend, anomaly accuracy, a verified mechanism or recovery. The AWS panel therefore reports insufficient_evidence and root cause not_established. Native infrastructure measurements remain separate from these local application observations.</w:t>
      </w:r>
    </w:p>
    <w:p>
      <w:pPr>
        <w:pStyle w:val="Heading1"/>
      </w:pPr>
      <w:r>
        <w:rPr>
          <w:color w:val="000000"/>
        </w:rPr>
        <w:t>8. Methodology</w:t>
      </w:r>
    </w:p>
    <w:p>
      <w:pPr>
        <w:pStyle w:val="Heading2"/>
      </w:pPr>
      <w:r>
        <w:rPr>
          <w:color w:val="000000"/>
        </w:rPr>
        <w:t>8.1 Overall Procedure</w:t>
      </w:r>
    </w:p>
    <w:p>
      <w:r>
        <w:rPr>
          <w:color w:val="000000"/>
        </w:rPr>
        <w:t>The methodology followed a repeatable chronological sequence: collect normal requests, freeze baseline, record measured request spans, detect significant deviations, localize the probable originating component, assess mechanism-specific evidence, recommend further checks, and verify against independent bounded experiment labels and later measured observations.</w:t>
      </w:r>
    </w:p>
    <w:p>
      <w:pPr>
        <w:pStyle w:val="Heading2"/>
      </w:pPr>
      <w:r>
        <w:rPr>
          <w:color w:val="000000"/>
        </w:rPr>
        <w:t>8.2 Tools and Technologies</w:t>
      </w:r>
    </w:p>
    <w:tbl>
      <w:tblPr>
        <w:tblStyle w:val="TableGrid"/>
        <w:tblW w:type="auto" w:w="0"/>
        <w:jc w:val="center"/>
        <w:tblLayout w:type="fixed"/>
        <w:tblLook w:firstColumn="1" w:firstRow="1" w:lastColumn="0" w:lastRow="0" w:noHBand="0" w:noVBand="1" w:val="04A0"/>
      </w:tblPr>
      <w:tblGrid>
        <w:gridCol w:w="2232"/>
        <w:gridCol w:w="3600"/>
        <w:gridCol w:w="3672"/>
      </w:tblGrid>
      <w:tr>
        <w:trPr>
          <w:tblHeader w:val="true"/>
          <w:cantSplit/>
          <w:tblHeader/>
        </w:trPr>
        <w:tc>
          <w:tcPr>
            <w:tcW w:type="dxa" w:w="2232"/>
            <w:shd w:fill="EDEDED"/>
            <w:tcMar>
              <w:top w:w="70" w:type="dxa"/>
              <w:bottom w:w="70" w:type="dxa"/>
              <w:left w:w="70" w:type="dxa"/>
              <w:right w:w="70" w:type="dxa"/>
            </w:tcMar>
            <w:vAlign w:val="top"/>
          </w:tcPr>
          <w:p>
            <w:pPr>
              <w:pStyle w:val="TableText"/>
              <w:keepNext/>
            </w:pPr>
            <w:r>
              <w:rPr>
                <w:b/>
                <w:color w:val="000000"/>
                <w:sz w:val="20"/>
              </w:rPr>
              <w:t>Technology</w:t>
            </w:r>
          </w:p>
        </w:tc>
        <w:tc>
          <w:tcPr>
            <w:tcW w:type="dxa" w:w="3600"/>
            <w:shd w:fill="EDEDED"/>
            <w:tcMar>
              <w:top w:w="70" w:type="dxa"/>
              <w:bottom w:w="70" w:type="dxa"/>
              <w:left w:w="70" w:type="dxa"/>
              <w:right w:w="70" w:type="dxa"/>
            </w:tcMar>
            <w:vAlign w:val="top"/>
          </w:tcPr>
          <w:p>
            <w:pPr>
              <w:pStyle w:val="TableText"/>
              <w:keepNext/>
            </w:pPr>
            <w:r>
              <w:rPr>
                <w:b/>
                <w:color w:val="000000"/>
                <w:sz w:val="20"/>
              </w:rPr>
              <w:t>Usage</w:t>
            </w:r>
          </w:p>
        </w:tc>
        <w:tc>
          <w:tcPr>
            <w:tcW w:type="dxa" w:w="3672"/>
            <w:shd w:fill="EDEDED"/>
            <w:tcMar>
              <w:top w:w="70" w:type="dxa"/>
              <w:bottom w:w="70" w:type="dxa"/>
              <w:left w:w="70" w:type="dxa"/>
              <w:right w:w="70" w:type="dxa"/>
            </w:tcMar>
            <w:vAlign w:val="top"/>
          </w:tcPr>
          <w:p>
            <w:pPr>
              <w:pStyle w:val="TableText"/>
              <w:keepNext/>
            </w:pPr>
            <w:r>
              <w:rPr>
                <w:b/>
                <w:color w:val="000000"/>
                <w:sz w:val="20"/>
              </w:rPr>
              <w:t>Verified context</w:t>
            </w:r>
          </w:p>
        </w:tc>
      </w:tr>
      <w:tr>
        <w:trPr>
          <w:cantSplit/>
        </w:trPr>
        <w:tc>
          <w:tcPr>
            <w:tcW w:type="dxa" w:w="2232"/>
            <w:vAlign w:val="top"/>
            <w:tcMar>
              <w:top w:w="70" w:type="dxa"/>
              <w:bottom w:w="70" w:type="dxa"/>
              <w:left w:w="70" w:type="dxa"/>
              <w:right w:w="70" w:type="dxa"/>
            </w:tcMar>
          </w:tcPr>
          <w:p>
            <w:pPr>
              <w:pStyle w:val="TableText"/>
              <w:keepLines/>
            </w:pPr>
            <w:r>
              <w:rPr>
                <w:color w:val="000000"/>
                <w:sz w:val="20"/>
              </w:rPr>
              <w:t>Python 3.12 / FastAPI</w:t>
            </w:r>
          </w:p>
        </w:tc>
        <w:tc>
          <w:tcPr>
            <w:tcW w:type="dxa" w:w="3600"/>
            <w:vAlign w:val="top"/>
            <w:tcMar>
              <w:top w:w="70" w:type="dxa"/>
              <w:bottom w:w="70" w:type="dxa"/>
              <w:left w:w="70" w:type="dxa"/>
              <w:right w:w="70" w:type="dxa"/>
            </w:tcMar>
          </w:tcPr>
          <w:p>
            <w:pPr>
              <w:pStyle w:val="TableText"/>
              <w:keepLines/>
            </w:pPr>
            <w:r>
              <w:rPr>
                <w:color w:val="000000"/>
                <w:sz w:val="20"/>
              </w:rPr>
              <w:t>Banking APIs, workload and investigation</w:t>
            </w:r>
          </w:p>
        </w:tc>
        <w:tc>
          <w:tcPr>
            <w:tcW w:type="dxa" w:w="3672"/>
            <w:vAlign w:val="top"/>
            <w:tcMar>
              <w:top w:w="70" w:type="dxa"/>
              <w:bottom w:w="70" w:type="dxa"/>
              <w:left w:w="70" w:type="dxa"/>
              <w:right w:w="70" w:type="dxa"/>
            </w:tcMar>
          </w:tcPr>
          <w:p>
            <w:pPr>
              <w:pStyle w:val="TableText"/>
              <w:keepLines/>
            </w:pPr>
            <w:r>
              <w:rPr>
                <w:color w:val="000000"/>
                <w:sz w:val="20"/>
              </w:rPr>
              <w:t>Three local processes</w:t>
            </w:r>
          </w:p>
        </w:tc>
      </w:tr>
      <w:tr>
        <w:trPr>
          <w:cantSplit/>
        </w:trPr>
        <w:tc>
          <w:tcPr>
            <w:tcW w:type="dxa" w:w="2232"/>
            <w:vAlign w:val="top"/>
            <w:shd w:fill="FAFAFA"/>
            <w:tcMar>
              <w:top w:w="70" w:type="dxa"/>
              <w:bottom w:w="70" w:type="dxa"/>
              <w:left w:w="70" w:type="dxa"/>
              <w:right w:w="70" w:type="dxa"/>
            </w:tcMar>
          </w:tcPr>
          <w:p>
            <w:pPr>
              <w:pStyle w:val="TableText"/>
              <w:keepLines/>
            </w:pPr>
            <w:r>
              <w:rPr>
                <w:color w:val="000000"/>
                <w:sz w:val="20"/>
              </w:rPr>
              <w:t>SQLite</w:t>
            </w:r>
          </w:p>
        </w:tc>
        <w:tc>
          <w:tcPr>
            <w:tcW w:type="dxa" w:w="3600"/>
            <w:vAlign w:val="top"/>
            <w:shd w:fill="FAFAFA"/>
            <w:tcMar>
              <w:top w:w="70" w:type="dxa"/>
              <w:bottom w:w="70" w:type="dxa"/>
              <w:left w:w="70" w:type="dxa"/>
              <w:right w:w="70" w:type="dxa"/>
            </w:tcMar>
          </w:tcPr>
          <w:p>
            <w:pPr>
              <w:pStyle w:val="TableText"/>
              <w:keepLines/>
            </w:pPr>
            <w:r>
              <w:rPr>
                <w:color w:val="000000"/>
                <w:sz w:val="20"/>
              </w:rPr>
              <w:t>Dedicated test account and ledger storage</w:t>
            </w:r>
          </w:p>
        </w:tc>
        <w:tc>
          <w:tcPr>
            <w:tcW w:type="dxa" w:w="3672"/>
            <w:vAlign w:val="top"/>
            <w:shd w:fill="FAFAFA"/>
            <w:tcMar>
              <w:top w:w="70" w:type="dxa"/>
              <w:bottom w:w="70" w:type="dxa"/>
              <w:left w:w="70" w:type="dxa"/>
              <w:right w:w="70" w:type="dxa"/>
            </w:tcMar>
          </w:tcPr>
          <w:p>
            <w:pPr>
              <w:pStyle w:val="TableText"/>
              <w:keepLines/>
            </w:pPr>
            <w:r>
              <w:rPr>
                <w:color w:val="000000"/>
                <w:sz w:val="20"/>
              </w:rPr>
              <w:t>Transactional and idempotent tests</w:t>
            </w:r>
          </w:p>
        </w:tc>
      </w:tr>
      <w:tr>
        <w:trPr>
          <w:cantSplit/>
        </w:trPr>
        <w:tc>
          <w:tcPr>
            <w:tcW w:type="dxa" w:w="2232"/>
            <w:vAlign w:val="top"/>
            <w:tcMar>
              <w:top w:w="70" w:type="dxa"/>
              <w:bottom w:w="70" w:type="dxa"/>
              <w:left w:w="70" w:type="dxa"/>
              <w:right w:w="70" w:type="dxa"/>
            </w:tcMar>
          </w:tcPr>
          <w:p>
            <w:pPr>
              <w:pStyle w:val="TableText"/>
              <w:keepLines/>
            </w:pPr>
            <w:r>
              <w:rPr>
                <w:color w:val="000000"/>
                <w:sz w:val="20"/>
              </w:rPr>
              <w:t>React / Vite</w:t>
            </w:r>
          </w:p>
        </w:tc>
        <w:tc>
          <w:tcPr>
            <w:tcW w:type="dxa" w:w="3600"/>
            <w:vAlign w:val="top"/>
            <w:tcMar>
              <w:top w:w="70" w:type="dxa"/>
              <w:bottom w:w="70" w:type="dxa"/>
              <w:left w:w="70" w:type="dxa"/>
              <w:right w:w="70" w:type="dxa"/>
            </w:tcMar>
          </w:tcPr>
          <w:p>
            <w:pPr>
              <w:pStyle w:val="TableText"/>
              <w:keepLines/>
            </w:pPr>
            <w:r>
              <w:rPr>
                <w:color w:val="000000"/>
                <w:sz w:val="20"/>
              </w:rPr>
              <w:t>Banking and research dashboards</w:t>
            </w:r>
          </w:p>
        </w:tc>
        <w:tc>
          <w:tcPr>
            <w:tcW w:type="dxa" w:w="3672"/>
            <w:vAlign w:val="top"/>
            <w:tcMar>
              <w:top w:w="70" w:type="dxa"/>
              <w:bottom w:w="70" w:type="dxa"/>
              <w:left w:w="70" w:type="dxa"/>
              <w:right w:w="70" w:type="dxa"/>
            </w:tcMar>
          </w:tcPr>
          <w:p>
            <w:pPr>
              <w:pStyle w:val="TableText"/>
              <w:keepLines/>
            </w:pPr>
            <w:r>
              <w:rPr>
                <w:color w:val="000000"/>
                <w:sz w:val="20"/>
              </w:rPr>
              <w:t>Production build verified</w:t>
            </w:r>
          </w:p>
        </w:tc>
      </w:tr>
      <w:tr>
        <w:trPr>
          <w:cantSplit/>
        </w:trPr>
        <w:tc>
          <w:tcPr>
            <w:tcW w:type="dxa" w:w="2232"/>
            <w:vAlign w:val="top"/>
            <w:shd w:fill="FAFAFA"/>
            <w:tcMar>
              <w:top w:w="70" w:type="dxa"/>
              <w:bottom w:w="70" w:type="dxa"/>
              <w:left w:w="70" w:type="dxa"/>
              <w:right w:w="70" w:type="dxa"/>
            </w:tcMar>
          </w:tcPr>
          <w:p>
            <w:pPr>
              <w:pStyle w:val="TableText"/>
              <w:keepLines/>
            </w:pPr>
            <w:r>
              <w:rPr>
                <w:color w:val="000000"/>
                <w:sz w:val="20"/>
              </w:rPr>
              <w:t>PyTorch</w:t>
            </w:r>
          </w:p>
        </w:tc>
        <w:tc>
          <w:tcPr>
            <w:tcW w:type="dxa" w:w="3600"/>
            <w:vAlign w:val="top"/>
            <w:shd w:fill="FAFAFA"/>
            <w:tcMar>
              <w:top w:w="70" w:type="dxa"/>
              <w:bottom w:w="70" w:type="dxa"/>
              <w:left w:w="70" w:type="dxa"/>
              <w:right w:w="70" w:type="dxa"/>
            </w:tcMar>
          </w:tcPr>
          <w:p>
            <w:pPr>
              <w:pStyle w:val="TableText"/>
              <w:keepLines/>
            </w:pPr>
            <w:r>
              <w:rPr>
                <w:color w:val="000000"/>
                <w:sz w:val="20"/>
              </w:rPr>
              <w:t>Banking graph and feature-only prediction models</w:t>
            </w:r>
          </w:p>
        </w:tc>
        <w:tc>
          <w:tcPr>
            <w:tcW w:type="dxa" w:w="3672"/>
            <w:vAlign w:val="top"/>
            <w:shd w:fill="FAFAFA"/>
            <w:tcMar>
              <w:top w:w="70" w:type="dxa"/>
              <w:bottom w:w="70" w:type="dxa"/>
              <w:left w:w="70" w:type="dxa"/>
              <w:right w:w="70" w:type="dxa"/>
            </w:tcMar>
          </w:tcPr>
          <w:p>
            <w:pPr>
              <w:pStyle w:val="TableText"/>
              <w:keepLines/>
            </w:pPr>
            <w:r>
              <w:rPr>
                <w:color w:val="000000"/>
                <w:sz w:val="20"/>
              </w:rPr>
              <w:t>100-epoch measured comparison</w:t>
            </w:r>
          </w:p>
        </w:tc>
      </w:tr>
      <w:tr>
        <w:trPr>
          <w:cantSplit/>
        </w:trPr>
        <w:tc>
          <w:tcPr>
            <w:tcW w:type="dxa" w:w="2232"/>
            <w:vAlign w:val="top"/>
            <w:tcMar>
              <w:top w:w="70" w:type="dxa"/>
              <w:bottom w:w="70" w:type="dxa"/>
              <w:left w:w="70" w:type="dxa"/>
              <w:right w:w="70" w:type="dxa"/>
            </w:tcMar>
          </w:tcPr>
          <w:p>
            <w:pPr>
              <w:pStyle w:val="TableText"/>
              <w:keepLines/>
            </w:pPr>
            <w:r>
              <w:rPr>
                <w:color w:val="000000"/>
                <w:sz w:val="20"/>
              </w:rPr>
              <w:t>AWS EC2 / CloudWatch / SSM</w:t>
            </w:r>
          </w:p>
        </w:tc>
        <w:tc>
          <w:tcPr>
            <w:tcW w:type="dxa" w:w="3600"/>
            <w:vAlign w:val="top"/>
            <w:tcMar>
              <w:top w:w="70" w:type="dxa"/>
              <w:bottom w:w="70" w:type="dxa"/>
              <w:left w:w="70" w:type="dxa"/>
              <w:right w:w="70" w:type="dxa"/>
            </w:tcMar>
          </w:tcPr>
          <w:p>
            <w:pPr>
              <w:pStyle w:val="TableText"/>
              <w:keepLines/>
            </w:pPr>
            <w:r>
              <w:rPr>
                <w:color w:val="000000"/>
                <w:sz w:val="20"/>
              </w:rPr>
              <w:t>Explicit banking metric publication and native resource reads</w:t>
            </w:r>
          </w:p>
        </w:tc>
        <w:tc>
          <w:tcPr>
            <w:tcW w:type="dxa" w:w="3672"/>
            <w:vAlign w:val="top"/>
            <w:tcMar>
              <w:top w:w="70" w:type="dxa"/>
              <w:bottom w:w="70" w:type="dxa"/>
              <w:left w:w="70" w:type="dxa"/>
              <w:right w:w="70" w:type="dxa"/>
            </w:tcMar>
          </w:tcPr>
          <w:p>
            <w:pPr>
              <w:pStyle w:val="TableText"/>
              <w:keepLines/>
            </w:pPr>
            <w:r>
              <w:rPr>
                <w:color w:val="000000"/>
                <w:sz w:val="20"/>
              </w:rPr>
              <w:t>Local workload; separate AWS metric storage</w:t>
            </w:r>
          </w:p>
        </w:tc>
      </w:tr>
      <w:tr>
        <w:trPr>
          <w:cantSplit/>
        </w:trPr>
        <w:tc>
          <w:tcPr>
            <w:tcW w:type="dxa" w:w="2232"/>
            <w:vAlign w:val="top"/>
            <w:shd w:fill="FAFAFA"/>
            <w:tcMar>
              <w:top w:w="70" w:type="dxa"/>
              <w:bottom w:w="70" w:type="dxa"/>
              <w:left w:w="70" w:type="dxa"/>
              <w:right w:w="70" w:type="dxa"/>
            </w:tcMar>
          </w:tcPr>
          <w:p>
            <w:pPr>
              <w:pStyle w:val="TableText"/>
              <w:keepLines/>
            </w:pPr>
            <w:r>
              <w:rPr>
                <w:color w:val="000000"/>
                <w:sz w:val="20"/>
              </w:rPr>
              <w:t>Git / GitHub</w:t>
            </w:r>
          </w:p>
        </w:tc>
        <w:tc>
          <w:tcPr>
            <w:tcW w:type="dxa" w:w="3600"/>
            <w:vAlign w:val="top"/>
            <w:shd w:fill="FAFAFA"/>
            <w:tcMar>
              <w:top w:w="70" w:type="dxa"/>
              <w:bottom w:w="70" w:type="dxa"/>
              <w:left w:w="70" w:type="dxa"/>
              <w:right w:w="70" w:type="dxa"/>
            </w:tcMar>
          </w:tcPr>
          <w:p>
            <w:pPr>
              <w:pStyle w:val="TableText"/>
              <w:keepLines/>
            </w:pPr>
            <w:r>
              <w:rPr>
                <w:color w:val="000000"/>
                <w:sz w:val="20"/>
              </w:rPr>
              <w:t>Versioned source and experimental artifacts</w:t>
            </w:r>
          </w:p>
        </w:tc>
        <w:tc>
          <w:tcPr>
            <w:tcW w:type="dxa" w:w="3672"/>
            <w:vAlign w:val="top"/>
            <w:shd w:fill="FAFAFA"/>
            <w:tcMar>
              <w:top w:w="70" w:type="dxa"/>
              <w:bottom w:w="70" w:type="dxa"/>
              <w:left w:w="70" w:type="dxa"/>
              <w:right w:w="70" w:type="dxa"/>
            </w:tcMar>
          </w:tcPr>
          <w:p>
            <w:pPr>
              <w:pStyle w:val="TableText"/>
              <w:keepLines/>
            </w:pPr>
            <w:r>
              <w:rPr>
                <w:color w:val="000000"/>
                <w:sz w:val="20"/>
              </w:rPr>
              <w:t>Main commit 839b525</w:t>
            </w:r>
          </w:p>
        </w:tc>
      </w:tr>
    </w:tbl>
    <w:p>
      <w:pPr>
        <w:spacing w:after="0"/>
      </w:pPr>
    </w:p>
    <w:p>
      <w:pPr>
        <w:pStyle w:val="Heading2"/>
      </w:pPr>
      <w:r>
        <w:rPr>
          <w:color w:val="000000"/>
        </w:rPr>
        <w:t>8.3 Normal Baseline and Anomaly Detection</w:t>
      </w:r>
    </w:p>
    <w:p>
      <w:r>
        <w:rPr>
          <w:color w:val="000000"/>
        </w:rPr>
        <w:t>The normal workload produced 90 balance, 90 transfer, and 90 history requests, with concurrency one. Its chronological 60/20/20 split was used for reference, threshold calibration, and held-out normal testing. Robust deviations were evaluated with a persistence condition. The selected local threshold was approximately 75.1464 in the detector score scale; it is neither a response-time SLO nor a calibrated failure probability.</w:t>
      </w:r>
    </w:p>
    <w:p>
      <w:pPr>
        <w:pStyle w:val="Heading2"/>
      </w:pPr>
      <w:r>
        <w:rPr>
          <w:color w:val="000000"/>
        </w:rPr>
        <w:t>8.4 Graph Analysis and Root-Cause Localization</w:t>
      </w:r>
    </w:p>
    <w:p>
      <w:r>
        <w:rPr>
          <w:color w:val="000000"/>
        </w:rPr>
        <w:t>Each monitored transaction produced a service call path and timed spans. The primary banking localization method examined exclusive Ledger Service processing time in conjunction with inherited gateway latency and direct database timing. A trained graph next-request predictor provided additional residual evidence; its results were kept separate from the primary ranking because the controlled comparison showed no measured graph advantage.</w:t>
      </w:r>
    </w:p>
    <w:p>
      <w:pPr>
        <w:pStyle w:val="Heading2"/>
      </w:pPr>
      <w:r>
        <w:rPr>
          <w:color w:val="000000"/>
        </w:rPr>
        <w:t>8.5 Mechanism Assessment, Recommendations, and Verification</w:t>
      </w:r>
    </w:p>
    <w:p>
      <w:r>
        <w:rPr>
          <w:color w:val="000000"/>
        </w:rPr>
        <w:t>Mechanism assessment distinguished a measured application-processing delay from unverified explanations such as lock contention or network loss. Results retained supporting and missing evidence and produced conditional investigation advice. The service and mechanism predictions were frozen at the tenth completed transfer under the controlled condition; labels were loaded only afterwards. Subsequent actual request timings were compared with the original frozen reference.</w:t>
      </w:r>
    </w:p>
    <w:p>
      <w:r>
        <w:rPr>
          <w:color w:val="000000"/>
        </w:rPr>
        <w:br w:type="page"/>
      </w:r>
    </w:p>
    <w:p>
      <w:pPr>
        <w:pStyle w:val="Heading1"/>
      </w:pPr>
      <w:r>
        <w:rPr>
          <w:color w:val="000000"/>
        </w:rPr>
        <w:t>9. Implementation and Development</w:t>
      </w:r>
    </w:p>
    <w:p>
      <w:pPr>
        <w:pStyle w:val="Heading2"/>
      </w:pPr>
      <w:r>
        <w:rPr>
          <w:color w:val="000000"/>
        </w:rPr>
        <w:t>9.1 Implemented Modules</w:t>
      </w:r>
    </w:p>
    <w:p>
      <w:pPr>
        <w:pStyle w:val="Caption"/>
        <w:keepNext/>
        <w:jc w:val="center"/>
      </w:pPr>
      <w:r>
        <w:rPr>
          <w:color w:val="000000"/>
        </w:rPr>
        <w:t>Table 6. Principal implemented modules and evidence</w:t>
      </w:r>
    </w:p>
    <w:tbl>
      <w:tblPr>
        <w:tblStyle w:val="TableGrid"/>
        <w:tblW w:type="auto" w:w="0"/>
        <w:jc w:val="center"/>
        <w:tblLayout w:type="fixed"/>
        <w:tblLook w:firstColumn="1" w:firstRow="1" w:lastColumn="0" w:lastRow="0" w:noHBand="0" w:noVBand="1" w:val="04A0"/>
      </w:tblPr>
      <w:tblGrid>
        <w:gridCol w:w="2131"/>
        <w:gridCol w:w="5184"/>
        <w:gridCol w:w="2189"/>
      </w:tblGrid>
      <w:tr>
        <w:trPr>
          <w:tblHeader w:val="true"/>
          <w:cantSplit/>
          <w:tblHeader/>
        </w:trPr>
        <w:tc>
          <w:tcPr>
            <w:tcW w:type="dxa" w:w="2131"/>
            <w:shd w:fill="EDEDED"/>
            <w:tcMar>
              <w:top w:w="70" w:type="dxa"/>
              <w:bottom w:w="70" w:type="dxa"/>
              <w:left w:w="70" w:type="dxa"/>
              <w:right w:w="70" w:type="dxa"/>
            </w:tcMar>
            <w:vAlign w:val="top"/>
          </w:tcPr>
          <w:p>
            <w:pPr>
              <w:pStyle w:val="TableText"/>
              <w:keepNext/>
            </w:pPr>
            <w:r>
              <w:rPr>
                <w:b/>
                <w:color w:val="000000"/>
                <w:sz w:val="20"/>
              </w:rPr>
              <w:t>Module</w:t>
            </w:r>
          </w:p>
        </w:tc>
        <w:tc>
          <w:tcPr>
            <w:tcW w:type="dxa" w:w="5184"/>
            <w:shd w:fill="EDEDED"/>
            <w:tcMar>
              <w:top w:w="70" w:type="dxa"/>
              <w:bottom w:w="70" w:type="dxa"/>
              <w:left w:w="70" w:type="dxa"/>
              <w:right w:w="70" w:type="dxa"/>
            </w:tcMar>
            <w:vAlign w:val="top"/>
          </w:tcPr>
          <w:p>
            <w:pPr>
              <w:pStyle w:val="TableText"/>
              <w:keepNext/>
            </w:pPr>
            <w:r>
              <w:rPr>
                <w:b/>
                <w:color w:val="000000"/>
                <w:sz w:val="20"/>
              </w:rPr>
              <w:t>Implementation evidence</w:t>
            </w:r>
          </w:p>
        </w:tc>
        <w:tc>
          <w:tcPr>
            <w:tcW w:type="dxa" w:w="2189"/>
            <w:shd w:fill="EDEDED"/>
            <w:tcMar>
              <w:top w:w="70" w:type="dxa"/>
              <w:bottom w:w="70" w:type="dxa"/>
              <w:left w:w="70" w:type="dxa"/>
              <w:right w:w="70" w:type="dxa"/>
            </w:tcMar>
            <w:vAlign w:val="top"/>
          </w:tcPr>
          <w:p>
            <w:pPr>
              <w:pStyle w:val="TableText"/>
              <w:keepNext/>
            </w:pPr>
            <w:r>
              <w:rPr>
                <w:b/>
                <w:color w:val="000000"/>
                <w:sz w:val="20"/>
              </w:rPr>
              <w:t>Status</w:t>
            </w:r>
          </w:p>
        </w:tc>
      </w:tr>
      <w:tr>
        <w:trPr>
          <w:cantSplit/>
        </w:trPr>
        <w:tc>
          <w:tcPr>
            <w:tcW w:type="dxa" w:w="2131"/>
            <w:vAlign w:val="top"/>
            <w:tcMar>
              <w:top w:w="70" w:type="dxa"/>
              <w:bottom w:w="70" w:type="dxa"/>
              <w:left w:w="70" w:type="dxa"/>
              <w:right w:w="70" w:type="dxa"/>
            </w:tcMar>
          </w:tcPr>
          <w:p>
            <w:pPr>
              <w:pStyle w:val="TableText"/>
              <w:keepLines/>
            </w:pPr>
            <w:r>
              <w:rPr>
                <w:color w:val="000000"/>
                <w:sz w:val="20"/>
              </w:rPr>
              <w:t>Banking operations</w:t>
            </w:r>
          </w:p>
        </w:tc>
        <w:tc>
          <w:tcPr>
            <w:tcW w:type="dxa" w:w="5184"/>
            <w:vAlign w:val="top"/>
            <w:tcMar>
              <w:top w:w="70" w:type="dxa"/>
              <w:bottom w:w="70" w:type="dxa"/>
              <w:left w:w="70" w:type="dxa"/>
              <w:right w:w="70" w:type="dxa"/>
            </w:tcMar>
          </w:tcPr>
          <w:p>
            <w:pPr>
              <w:pStyle w:val="TableText"/>
              <w:keepLines/>
            </w:pPr>
            <w:r>
              <w:rPr>
                <w:color w:val="000000"/>
                <w:sz w:val="20"/>
              </w:rPr>
              <w:t>Gateway / account / ledger services, atomic and idempotent transfers</w:t>
            </w:r>
          </w:p>
        </w:tc>
        <w:tc>
          <w:tcPr>
            <w:tcW w:type="dxa" w:w="2189"/>
            <w:vAlign w:val="top"/>
            <w:tcMar>
              <w:top w:w="70" w:type="dxa"/>
              <w:bottom w:w="70" w:type="dxa"/>
              <w:left w:w="70" w:type="dxa"/>
              <w:right w:w="70" w:type="dxa"/>
            </w:tcMar>
          </w:tcPr>
          <w:p>
            <w:pPr>
              <w:pStyle w:val="TableText"/>
              <w:keepLines/>
            </w:pPr>
            <w:r>
              <w:rPr>
                <w:color w:val="000000"/>
                <w:sz w:val="20"/>
              </w:rPr>
              <w:t>Implemented and tested</w:t>
            </w:r>
          </w:p>
        </w:tc>
      </w:tr>
      <w:tr>
        <w:trPr>
          <w:cantSplit/>
        </w:trPr>
        <w:tc>
          <w:tcPr>
            <w:tcW w:type="dxa" w:w="2131"/>
            <w:vAlign w:val="top"/>
            <w:shd w:fill="FAFAFA"/>
            <w:tcMar>
              <w:top w:w="70" w:type="dxa"/>
              <w:bottom w:w="70" w:type="dxa"/>
              <w:left w:w="70" w:type="dxa"/>
              <w:right w:w="70" w:type="dxa"/>
            </w:tcMar>
          </w:tcPr>
          <w:p>
            <w:pPr>
              <w:pStyle w:val="TableText"/>
              <w:keepLines/>
            </w:pPr>
            <w:r>
              <w:rPr>
                <w:color w:val="000000"/>
                <w:sz w:val="20"/>
              </w:rPr>
              <w:t>Custom tracing</w:t>
            </w:r>
          </w:p>
        </w:tc>
        <w:tc>
          <w:tcPr>
            <w:tcW w:type="dxa" w:w="5184"/>
            <w:vAlign w:val="top"/>
            <w:shd w:fill="FAFAFA"/>
            <w:tcMar>
              <w:top w:w="70" w:type="dxa"/>
              <w:bottom w:w="70" w:type="dxa"/>
              <w:left w:w="70" w:type="dxa"/>
              <w:right w:w="70" w:type="dxa"/>
            </w:tcMar>
          </w:tcPr>
          <w:p>
            <w:pPr>
              <w:pStyle w:val="TableText"/>
              <w:keepLines/>
            </w:pPr>
            <w:r>
              <w:rPr>
                <w:color w:val="000000"/>
                <w:sz w:val="20"/>
              </w:rPr>
              <w:t>Cross-process HTTP and measured SQL spans</w:t>
            </w:r>
          </w:p>
        </w:tc>
        <w:tc>
          <w:tcPr>
            <w:tcW w:type="dxa" w:w="2189"/>
            <w:vAlign w:val="top"/>
            <w:shd w:fill="FAFAFA"/>
            <w:tcMar>
              <w:top w:w="70" w:type="dxa"/>
              <w:bottom w:w="70" w:type="dxa"/>
              <w:left w:w="70" w:type="dxa"/>
              <w:right w:w="70" w:type="dxa"/>
            </w:tcMar>
          </w:tcPr>
          <w:p>
            <w:pPr>
              <w:pStyle w:val="TableText"/>
              <w:keepLines/>
            </w:pPr>
            <w:r>
              <w:rPr>
                <w:color w:val="000000"/>
                <w:sz w:val="20"/>
              </w:rPr>
              <w:t>Implemented and tested</w:t>
            </w:r>
          </w:p>
        </w:tc>
      </w:tr>
      <w:tr>
        <w:trPr>
          <w:cantSplit/>
        </w:trPr>
        <w:tc>
          <w:tcPr>
            <w:tcW w:type="dxa" w:w="2131"/>
            <w:vAlign w:val="top"/>
            <w:tcMar>
              <w:top w:w="70" w:type="dxa"/>
              <w:bottom w:w="70" w:type="dxa"/>
              <w:left w:w="70" w:type="dxa"/>
              <w:right w:w="70" w:type="dxa"/>
            </w:tcMar>
          </w:tcPr>
          <w:p>
            <w:pPr>
              <w:pStyle w:val="TableText"/>
              <w:keepLines/>
            </w:pPr>
            <w:r>
              <w:rPr>
                <w:color w:val="000000"/>
                <w:sz w:val="20"/>
              </w:rPr>
              <w:t>Statistical detection</w:t>
            </w:r>
          </w:p>
        </w:tc>
        <w:tc>
          <w:tcPr>
            <w:tcW w:type="dxa" w:w="5184"/>
            <w:vAlign w:val="top"/>
            <w:tcMar>
              <w:top w:w="70" w:type="dxa"/>
              <w:bottom w:w="70" w:type="dxa"/>
              <w:left w:w="70" w:type="dxa"/>
              <w:right w:w="70" w:type="dxa"/>
            </w:tcMar>
          </w:tcPr>
          <w:p>
            <w:pPr>
              <w:pStyle w:val="TableText"/>
              <w:keepLines/>
            </w:pPr>
            <w:r>
              <w:rPr>
                <w:color w:val="000000"/>
                <w:sz w:val="20"/>
              </w:rPr>
              <w:t>Frozen normal calibration, held-out test, evidence gating</w:t>
            </w:r>
          </w:p>
        </w:tc>
        <w:tc>
          <w:tcPr>
            <w:tcW w:type="dxa" w:w="2189"/>
            <w:vAlign w:val="top"/>
            <w:tcMar>
              <w:top w:w="70" w:type="dxa"/>
              <w:bottom w:w="70" w:type="dxa"/>
              <w:left w:w="70" w:type="dxa"/>
              <w:right w:w="70" w:type="dxa"/>
            </w:tcMar>
          </w:tcPr>
          <w:p>
            <w:pPr>
              <w:pStyle w:val="TableText"/>
              <w:keepLines/>
            </w:pPr>
            <w:r>
              <w:rPr>
                <w:color w:val="000000"/>
                <w:sz w:val="20"/>
              </w:rPr>
              <w:t>Evaluated locally</w:t>
            </w:r>
          </w:p>
        </w:tc>
      </w:tr>
      <w:tr>
        <w:trPr>
          <w:cantSplit/>
        </w:trPr>
        <w:tc>
          <w:tcPr>
            <w:tcW w:type="dxa" w:w="2131"/>
            <w:vAlign w:val="top"/>
            <w:shd w:fill="FAFAFA"/>
            <w:tcMar>
              <w:top w:w="70" w:type="dxa"/>
              <w:bottom w:w="70" w:type="dxa"/>
              <w:left w:w="70" w:type="dxa"/>
              <w:right w:w="70" w:type="dxa"/>
            </w:tcMar>
          </w:tcPr>
          <w:p>
            <w:pPr>
              <w:pStyle w:val="TableText"/>
              <w:keepLines/>
            </w:pPr>
            <w:r>
              <w:rPr>
                <w:color w:val="000000"/>
                <w:sz w:val="20"/>
              </w:rPr>
              <w:t>Mechanism investigation</w:t>
            </w:r>
          </w:p>
        </w:tc>
        <w:tc>
          <w:tcPr>
            <w:tcW w:type="dxa" w:w="5184"/>
            <w:vAlign w:val="top"/>
            <w:shd w:fill="FAFAFA"/>
            <w:tcMar>
              <w:top w:w="70" w:type="dxa"/>
              <w:bottom w:w="70" w:type="dxa"/>
              <w:left w:w="70" w:type="dxa"/>
              <w:right w:w="70" w:type="dxa"/>
            </w:tcMar>
          </w:tcPr>
          <w:p>
            <w:pPr>
              <w:pStyle w:val="TableText"/>
              <w:keepLines/>
            </w:pPr>
            <w:r>
              <w:rPr>
                <w:color w:val="000000"/>
                <w:sz w:val="20"/>
              </w:rPr>
              <w:t>Service own-time analysis and evidence-linked advice</w:t>
            </w:r>
          </w:p>
        </w:tc>
        <w:tc>
          <w:tcPr>
            <w:tcW w:type="dxa" w:w="2189"/>
            <w:vAlign w:val="top"/>
            <w:shd w:fill="FAFAFA"/>
            <w:tcMar>
              <w:top w:w="70" w:type="dxa"/>
              <w:bottom w:w="70" w:type="dxa"/>
              <w:left w:w="70" w:type="dxa"/>
              <w:right w:w="70" w:type="dxa"/>
            </w:tcMar>
          </w:tcPr>
          <w:p>
            <w:pPr>
              <w:pStyle w:val="TableText"/>
              <w:keepLines/>
            </w:pPr>
            <w:r>
              <w:rPr>
                <w:color w:val="000000"/>
                <w:sz w:val="20"/>
              </w:rPr>
              <w:t>Validated for application delay</w:t>
            </w:r>
          </w:p>
        </w:tc>
      </w:tr>
      <w:tr>
        <w:trPr>
          <w:cantSplit/>
        </w:trPr>
        <w:tc>
          <w:tcPr>
            <w:tcW w:type="dxa" w:w="2131"/>
            <w:vAlign w:val="top"/>
            <w:tcMar>
              <w:top w:w="70" w:type="dxa"/>
              <w:bottom w:w="70" w:type="dxa"/>
              <w:left w:w="70" w:type="dxa"/>
              <w:right w:w="70" w:type="dxa"/>
            </w:tcMar>
          </w:tcPr>
          <w:p>
            <w:pPr>
              <w:pStyle w:val="TableText"/>
              <w:keepLines/>
            </w:pPr>
            <w:r>
              <w:rPr>
                <w:color w:val="000000"/>
                <w:sz w:val="20"/>
              </w:rPr>
              <w:t>Banking graph models</w:t>
            </w:r>
          </w:p>
        </w:tc>
        <w:tc>
          <w:tcPr>
            <w:tcW w:type="dxa" w:w="5184"/>
            <w:vAlign w:val="top"/>
            <w:tcMar>
              <w:top w:w="70" w:type="dxa"/>
              <w:bottom w:w="70" w:type="dxa"/>
              <w:left w:w="70" w:type="dxa"/>
              <w:right w:w="70" w:type="dxa"/>
            </w:tcMar>
          </w:tcPr>
          <w:p>
            <w:pPr>
              <w:pStyle w:val="TableText"/>
              <w:keepLines/>
            </w:pPr>
            <w:r>
              <w:rPr>
                <w:color w:val="000000"/>
                <w:sz w:val="20"/>
              </w:rPr>
              <w:t>Graph and identity predictors from measured local traces</w:t>
            </w:r>
          </w:p>
        </w:tc>
        <w:tc>
          <w:tcPr>
            <w:tcW w:type="dxa" w:w="2189"/>
            <w:vAlign w:val="top"/>
            <w:tcMar>
              <w:top w:w="70" w:type="dxa"/>
              <w:bottom w:w="70" w:type="dxa"/>
              <w:left w:w="70" w:type="dxa"/>
              <w:right w:w="70" w:type="dxa"/>
            </w:tcMar>
          </w:tcPr>
          <w:p>
            <w:pPr>
              <w:pStyle w:val="TableText"/>
              <w:keepLines/>
            </w:pPr>
            <w:r>
              <w:rPr>
                <w:color w:val="000000"/>
                <w:sz w:val="20"/>
              </w:rPr>
              <w:t>Trained and compared</w:t>
            </w:r>
          </w:p>
        </w:tc>
      </w:tr>
      <w:tr>
        <w:trPr>
          <w:cantSplit/>
        </w:trPr>
        <w:tc>
          <w:tcPr>
            <w:tcW w:type="dxa" w:w="2131"/>
            <w:vAlign w:val="top"/>
            <w:shd w:fill="FAFAFA"/>
            <w:tcMar>
              <w:top w:w="70" w:type="dxa"/>
              <w:bottom w:w="70" w:type="dxa"/>
              <w:left w:w="70" w:type="dxa"/>
              <w:right w:w="70" w:type="dxa"/>
            </w:tcMar>
          </w:tcPr>
          <w:p>
            <w:pPr>
              <w:pStyle w:val="TableText"/>
              <w:keepLines/>
            </w:pPr>
            <w:r>
              <w:rPr>
                <w:color w:val="000000"/>
                <w:sz w:val="20"/>
              </w:rPr>
              <w:t>TC-CFAO</w:t>
            </w:r>
          </w:p>
        </w:tc>
        <w:tc>
          <w:tcPr>
            <w:tcW w:type="dxa" w:w="5184"/>
            <w:vAlign w:val="top"/>
            <w:shd w:fill="FAFAFA"/>
            <w:tcMar>
              <w:top w:w="70" w:type="dxa"/>
              <w:bottom w:w="70" w:type="dxa"/>
              <w:left w:w="70" w:type="dxa"/>
              <w:right w:w="70" w:type="dxa"/>
            </w:tcMar>
          </w:tcPr>
          <w:p>
            <w:pPr>
              <w:pStyle w:val="TableText"/>
              <w:keepLines/>
            </w:pPr>
            <w:r>
              <w:rPr>
                <w:color w:val="000000"/>
                <w:sz w:val="20"/>
              </w:rPr>
              <w:t>Focused inspection of selected recorded fields</w:t>
            </w:r>
          </w:p>
        </w:tc>
        <w:tc>
          <w:tcPr>
            <w:tcW w:type="dxa" w:w="2189"/>
            <w:vAlign w:val="top"/>
            <w:shd w:fill="FAFAFA"/>
            <w:tcMar>
              <w:top w:w="70" w:type="dxa"/>
              <w:bottom w:w="70" w:type="dxa"/>
              <w:left w:w="70" w:type="dxa"/>
              <w:right w:w="70" w:type="dxa"/>
            </w:tcMar>
          </w:tcPr>
          <w:p>
            <w:pPr>
              <w:pStyle w:val="TableText"/>
              <w:keepLines/>
            </w:pPr>
            <w:r>
              <w:rPr>
                <w:color w:val="000000"/>
                <w:sz w:val="20"/>
              </w:rPr>
              <w:t>Measured scope reported</w:t>
            </w:r>
          </w:p>
        </w:tc>
      </w:tr>
      <w:tr>
        <w:trPr>
          <w:cantSplit/>
        </w:trPr>
        <w:tc>
          <w:tcPr>
            <w:tcW w:type="dxa" w:w="2131"/>
            <w:vAlign w:val="top"/>
            <w:tcMar>
              <w:top w:w="70" w:type="dxa"/>
              <w:bottom w:w="70" w:type="dxa"/>
              <w:left w:w="70" w:type="dxa"/>
              <w:right w:w="70" w:type="dxa"/>
            </w:tcMar>
          </w:tcPr>
          <w:p>
            <w:pPr>
              <w:pStyle w:val="TableText"/>
              <w:keepLines/>
            </w:pPr>
            <w:r>
              <w:rPr>
                <w:color w:val="000000"/>
                <w:sz w:val="20"/>
              </w:rPr>
              <w:t>Research benchmark evaluation</w:t>
            </w:r>
          </w:p>
        </w:tc>
        <w:tc>
          <w:tcPr>
            <w:tcW w:type="dxa" w:w="5184"/>
            <w:vAlign w:val="top"/>
            <w:tcMar>
              <w:top w:w="70" w:type="dxa"/>
              <w:bottom w:w="70" w:type="dxa"/>
              <w:left w:w="70" w:type="dxa"/>
              <w:right w:w="70" w:type="dxa"/>
            </w:tcMar>
          </w:tcPr>
          <w:p>
            <w:pPr>
              <w:pStyle w:val="TableText"/>
              <w:keepLines/>
            </w:pPr>
            <w:r>
              <w:rPr>
                <w:color w:val="000000"/>
                <w:sz w:val="20"/>
              </w:rPr>
              <w:t>Preserved Alibaba/Microsoft/RCAEval artifacts</w:t>
            </w:r>
          </w:p>
        </w:tc>
        <w:tc>
          <w:tcPr>
            <w:tcW w:type="dxa" w:w="2189"/>
            <w:vAlign w:val="top"/>
            <w:tcMar>
              <w:top w:w="70" w:type="dxa"/>
              <w:bottom w:w="70" w:type="dxa"/>
              <w:left w:w="70" w:type="dxa"/>
              <w:right w:w="70" w:type="dxa"/>
            </w:tcMar>
          </w:tcPr>
          <w:p>
            <w:pPr>
              <w:pStyle w:val="TableText"/>
              <w:keepLines/>
            </w:pPr>
            <w:r>
              <w:rPr>
                <w:color w:val="000000"/>
                <w:sz w:val="20"/>
              </w:rPr>
              <w:t>Verified prior results</w:t>
            </w:r>
          </w:p>
        </w:tc>
      </w:tr>
      <w:tr>
        <w:trPr>
          <w:cantSplit/>
        </w:trPr>
        <w:tc>
          <w:tcPr>
            <w:tcW w:type="dxa" w:w="2131"/>
            <w:vAlign w:val="top"/>
            <w:shd w:fill="FAFAFA"/>
            <w:tcMar>
              <w:top w:w="70" w:type="dxa"/>
              <w:bottom w:w="70" w:type="dxa"/>
              <w:left w:w="70" w:type="dxa"/>
              <w:right w:w="70" w:type="dxa"/>
            </w:tcMar>
          </w:tcPr>
          <w:p>
            <w:pPr>
              <w:pStyle w:val="TableText"/>
              <w:keepLines/>
            </w:pPr>
            <w:r>
              <w:rPr>
                <w:color w:val="000000"/>
                <w:sz w:val="20"/>
              </w:rPr>
              <w:t>AWS cloud monitoring</w:t>
            </w:r>
          </w:p>
        </w:tc>
        <w:tc>
          <w:tcPr>
            <w:tcW w:type="dxa" w:w="5184"/>
            <w:vAlign w:val="top"/>
            <w:shd w:fill="FAFAFA"/>
            <w:tcMar>
              <w:top w:w="70" w:type="dxa"/>
              <w:bottom w:w="70" w:type="dxa"/>
              <w:left w:w="70" w:type="dxa"/>
              <w:right w:w="70" w:type="dxa"/>
            </w:tcMar>
          </w:tcPr>
          <w:p>
            <w:pPr>
              <w:pStyle w:val="TableText"/>
              <w:keepLines/>
            </w:pPr>
            <w:r>
              <w:rPr>
                <w:color w:val="000000"/>
                <w:sz w:val="20"/>
              </w:rPr>
              <w:t>Banking publisher, persistent checkpoint, custom collector, read-only APIs and Cloud Monitoring panel</w:t>
            </w:r>
          </w:p>
        </w:tc>
        <w:tc>
          <w:tcPr>
            <w:tcW w:type="dxa" w:w="2189"/>
            <w:vAlign w:val="top"/>
            <w:shd w:fill="FAFAFA"/>
            <w:tcMar>
              <w:top w:w="70" w:type="dxa"/>
              <w:bottom w:w="70" w:type="dxa"/>
              <w:left w:w="70" w:type="dxa"/>
              <w:right w:w="70" w:type="dxa"/>
            </w:tcMar>
          </w:tcPr>
          <w:p>
            <w:pPr>
              <w:pStyle w:val="TableText"/>
              <w:keepLines/>
            </w:pPr>
            <w:r>
              <w:rPr>
                <w:color w:val="000000"/>
                <w:sz w:val="20"/>
              </w:rPr>
              <w:t>Live publication and retrieval verified</w:t>
            </w:r>
          </w:p>
        </w:tc>
      </w:tr>
      <w:tr>
        <w:trPr>
          <w:cantSplit/>
        </w:trPr>
        <w:tc>
          <w:tcPr>
            <w:tcW w:type="dxa" w:w="2131"/>
            <w:vAlign w:val="top"/>
            <w:tcMar>
              <w:top w:w="70" w:type="dxa"/>
              <w:bottom w:w="70" w:type="dxa"/>
              <w:left w:w="70" w:type="dxa"/>
              <w:right w:w="70" w:type="dxa"/>
            </w:tcMar>
          </w:tcPr>
          <w:p>
            <w:pPr>
              <w:pStyle w:val="TableText"/>
              <w:keepLines/>
            </w:pPr>
            <w:r>
              <w:rPr>
                <w:color w:val="000000"/>
                <w:sz w:val="20"/>
              </w:rPr>
              <w:t>React presentation</w:t>
            </w:r>
          </w:p>
        </w:tc>
        <w:tc>
          <w:tcPr>
            <w:tcW w:type="dxa" w:w="5184"/>
            <w:vAlign w:val="top"/>
            <w:tcMar>
              <w:top w:w="70" w:type="dxa"/>
              <w:bottom w:w="70" w:type="dxa"/>
              <w:left w:w="70" w:type="dxa"/>
              <w:right w:w="70" w:type="dxa"/>
            </w:tcMar>
          </w:tcPr>
          <w:p>
            <w:pPr>
              <w:pStyle w:val="TableText"/>
              <w:keepLines/>
            </w:pPr>
            <w:r>
              <w:rPr>
                <w:color w:val="000000"/>
                <w:sz w:val="20"/>
              </w:rPr>
              <w:t>Banking-first workflow, research validation and cloud monitoring</w:t>
            </w:r>
          </w:p>
        </w:tc>
        <w:tc>
          <w:tcPr>
            <w:tcW w:type="dxa" w:w="2189"/>
            <w:vAlign w:val="top"/>
            <w:tcMar>
              <w:top w:w="70" w:type="dxa"/>
              <w:bottom w:w="70" w:type="dxa"/>
              <w:left w:w="70" w:type="dxa"/>
              <w:right w:w="70" w:type="dxa"/>
            </w:tcMar>
          </w:tcPr>
          <w:p>
            <w:pPr>
              <w:pStyle w:val="TableText"/>
              <w:keepLines/>
            </w:pPr>
            <w:r>
              <w:rPr>
                <w:color w:val="000000"/>
                <w:sz w:val="20"/>
              </w:rPr>
              <w:t>Build and browser tested</w:t>
            </w:r>
          </w:p>
        </w:tc>
      </w:tr>
    </w:tbl>
    <w:p>
      <w:pPr>
        <w:spacing w:after="0"/>
      </w:pPr>
    </w:p>
    <w:p>
      <w:pPr>
        <w:pStyle w:val="Heading2"/>
      </w:pPr>
      <w:r>
        <w:rPr>
          <w:color w:val="000000"/>
        </w:rPr>
        <w:t>9.2 Screenshots and Configuration Evidence</w:t>
      </w:r>
    </w:p>
    <w:p>
      <w:pPr>
        <w:keepNext w:val="0"/>
      </w:pPr>
      <w:r>
        <w:rPr>
          <w:color w:val="000000"/>
        </w:rPr>
        <w:t>Figures 5–8 reproduce saved banking application captures supplied with the project. Figure 9 is a new capture of the implemented Cloud Monitoring panel after successful publication and retrieval of actual banking measurements. Crops retain original displayed measurements and source labels. Interface screenshots are not additional cases in the frozen three-repetition local study.</w:t>
      </w:r>
    </w:p>
    <w:p>
      <w:pPr>
        <w:keepNext/>
        <w:pageBreakBefore/>
        <w:spacing w:after="40"/>
        <w:jc w:val="center"/>
      </w:pPr>
      <w:r>
        <w:rPr>
          <w:color w:val="000000"/>
        </w:rPr>
        <w:drawing>
          <wp:inline xmlns:a="http://schemas.openxmlformats.org/drawingml/2006/main" xmlns:pic="http://schemas.openxmlformats.org/drawingml/2006/picture">
            <wp:extent cx="5806440" cy="3264528"/>
            <wp:docPr id="10" name="Picture 10"/>
            <wp:cNvGraphicFramePr>
              <a:graphicFrameLocks noChangeAspect="1"/>
            </wp:cNvGraphicFramePr>
            <a:graphic>
              <a:graphicData uri="http://schemas.openxmlformats.org/drawingml/2006/picture">
                <pic:pic>
                  <pic:nvPicPr>
                    <pic:cNvPr id="0" name="dashboard.png"/>
                    <pic:cNvPicPr/>
                  </pic:nvPicPr>
                  <pic:blipFill>
                    <a:blip r:embed="rId16"/>
                    <a:stretch>
                      <a:fillRect/>
                    </a:stretch>
                  </pic:blipFill>
                  <pic:spPr>
                    <a:xfrm>
                      <a:off x="0" y="0"/>
                      <a:ext cx="5806440" cy="3264528"/>
                    </a:xfrm>
                    <a:prstGeom prst="rect"/>
                  </pic:spPr>
                </pic:pic>
              </a:graphicData>
            </a:graphic>
          </wp:inline>
        </w:drawing>
      </w:r>
    </w:p>
    <w:p>
      <w:pPr>
        <w:pStyle w:val="Caption"/>
        <w:keepNext w:val="0"/>
        <w:spacing w:after="200"/>
        <w:jc w:val="center"/>
      </w:pPr>
      <w:r>
        <w:rPr>
          <w:color w:val="000000"/>
        </w:rPr>
        <w:t>Figure 5. Recorded Digital Banking Performance Intelligence dashboard, showing local service readiness, measured request latency, and the test banking interface.</w:t>
      </w:r>
    </w:p>
    <w:p>
      <w:pPr>
        <w:keepNext/>
        <w:pageBreakBefore w:val="0"/>
        <w:spacing w:after="40"/>
        <w:jc w:val="center"/>
      </w:pPr>
      <w:r>
        <w:rPr>
          <w:color w:val="000000"/>
        </w:rPr>
        <w:drawing>
          <wp:inline xmlns:a="http://schemas.openxmlformats.org/drawingml/2006/main" xmlns:pic="http://schemas.openxmlformats.org/drawingml/2006/picture">
            <wp:extent cx="5806440" cy="2826925"/>
            <wp:docPr id="11" name="Picture 11"/>
            <wp:cNvGraphicFramePr>
              <a:graphicFrameLocks noChangeAspect="1"/>
            </wp:cNvGraphicFramePr>
            <a:graphic>
              <a:graphicData uri="http://schemas.openxmlformats.org/drawingml/2006/picture">
                <pic:pic>
                  <pic:nvPicPr>
                    <pic:cNvPr id="0" name="transfer_controls.png"/>
                    <pic:cNvPicPr/>
                  </pic:nvPicPr>
                  <pic:blipFill>
                    <a:blip r:embed="rId17"/>
                    <a:stretch>
                      <a:fillRect/>
                    </a:stretch>
                  </pic:blipFill>
                  <pic:spPr>
                    <a:xfrm>
                      <a:off x="0" y="0"/>
                      <a:ext cx="5806440" cy="2826925"/>
                    </a:xfrm>
                    <a:prstGeom prst="rect"/>
                  </pic:spPr>
                </pic:pic>
              </a:graphicData>
            </a:graphic>
          </wp:inline>
        </w:drawing>
      </w:r>
    </w:p>
    <w:p>
      <w:pPr>
        <w:pStyle w:val="Caption"/>
        <w:keepNext w:val="0"/>
        <w:spacing w:after="200"/>
        <w:jc w:val="center"/>
      </w:pPr>
      <w:r>
        <w:rPr>
          <w:color w:val="000000"/>
        </w:rPr>
        <w:t>Figure 6. Fund Transfer controls in the dedicated SQLite academic test environment. The panel identifies the operation, fictitious test account, and test amount; it is not a payment receipt.</w:t>
      </w:r>
    </w:p>
    <w:p>
      <w:pPr>
        <w:keepNext/>
        <w:pageBreakBefore w:val="0"/>
        <w:spacing w:after="40"/>
        <w:jc w:val="center"/>
      </w:pPr>
      <w:r>
        <w:rPr>
          <w:color w:val="000000"/>
        </w:rPr>
        <w:drawing>
          <wp:inline xmlns:a="http://schemas.openxmlformats.org/drawingml/2006/main" xmlns:pic="http://schemas.openxmlformats.org/drawingml/2006/picture">
            <wp:extent cx="5806440" cy="2134815"/>
            <wp:docPr id="12" name="Picture 12"/>
            <wp:cNvGraphicFramePr>
              <a:graphicFrameLocks noChangeAspect="1"/>
            </wp:cNvGraphicFramePr>
            <a:graphic>
              <a:graphicData uri="http://schemas.openxmlformats.org/drawingml/2006/picture">
                <pic:pic>
                  <pic:nvPicPr>
                    <pic:cNvPr id="0" name="dependency_explanation.png"/>
                    <pic:cNvPicPr/>
                  </pic:nvPicPr>
                  <pic:blipFill>
                    <a:blip r:embed="rId18"/>
                    <a:stretch>
                      <a:fillRect/>
                    </a:stretch>
                  </pic:blipFill>
                  <pic:spPr>
                    <a:xfrm>
                      <a:off x="0" y="0"/>
                      <a:ext cx="5806440" cy="2134815"/>
                    </a:xfrm>
                    <a:prstGeom prst="rect"/>
                  </pic:spPr>
                </pic:pic>
              </a:graphicData>
            </a:graphic>
          </wp:inline>
        </w:drawing>
      </w:r>
    </w:p>
    <w:p>
      <w:pPr>
        <w:pStyle w:val="Caption"/>
        <w:keepNext w:val="0"/>
        <w:spacing w:after="200"/>
        <w:jc w:val="center"/>
      </w:pPr>
      <w:r>
        <w:rPr>
          <w:color w:val="000000"/>
        </w:rPr>
        <w:t>Figure 7. Recorded transfer dependency graph: Banking API → Ledger Service → SQLite Test Database. The highlighted Ledger Service denotes a suspected origin, not confirmed causal proof.</w:t>
      </w:r>
    </w:p>
    <w:p>
      <w:pPr>
        <w:keepNext/>
        <w:pageBreakBefore w:val="0"/>
        <w:spacing w:after="40"/>
        <w:jc w:val="center"/>
      </w:pPr>
      <w:r>
        <w:rPr>
          <w:color w:val="000000"/>
        </w:rPr>
        <w:drawing>
          <wp:inline xmlns:a="http://schemas.openxmlformats.org/drawingml/2006/main" xmlns:pic="http://schemas.openxmlformats.org/drawingml/2006/picture">
            <wp:extent cx="5806440" cy="1335754"/>
            <wp:docPr id="13" name="Picture 13"/>
            <wp:cNvGraphicFramePr>
              <a:graphicFrameLocks noChangeAspect="1"/>
            </wp:cNvGraphicFramePr>
            <a:graphic>
              <a:graphicData uri="http://schemas.openxmlformats.org/drawingml/2006/picture">
                <pic:pic>
                  <pic:nvPicPr>
                    <pic:cNvPr id="0" name="independent_verification.png"/>
                    <pic:cNvPicPr/>
                  </pic:nvPicPr>
                  <pic:blipFill>
                    <a:blip r:embed="rId19"/>
                    <a:stretch>
                      <a:fillRect/>
                    </a:stretch>
                  </pic:blipFill>
                  <pic:spPr>
                    <a:xfrm>
                      <a:off x="0" y="0"/>
                      <a:ext cx="5806440" cy="1335754"/>
                    </a:xfrm>
                    <a:prstGeom prst="rect"/>
                  </pic:spPr>
                </pic:pic>
              </a:graphicData>
            </a:graphic>
          </wp:inline>
        </w:drawing>
      </w:r>
    </w:p>
    <w:p>
      <w:pPr>
        <w:pStyle w:val="Caption"/>
        <w:keepNext w:val="0"/>
        <w:spacing w:after="200"/>
        <w:jc w:val="center"/>
      </w:pPr>
      <w:r>
        <w:rPr>
          <w:color w:val="000000"/>
        </w:rPr>
        <w:t>Figure 8. Recorded independent verification and measured follow-up from a browser validation run. Service and mechanism annotation agreement and return toward the frozen reference are displayed separately; this capture is not an additional frozen-study repetition.</w:t>
      </w:r>
    </w:p>
    <w:p>
      <w:pPr>
        <w:keepNext/>
        <w:pageBreakBefore/>
        <w:spacing w:after="40"/>
        <w:jc w:val="center"/>
      </w:pPr>
      <w:r>
        <w:rPr>
          <w:color w:val="000000"/>
        </w:rPr>
        <w:drawing>
          <wp:inline xmlns:a="http://schemas.openxmlformats.org/drawingml/2006/main" xmlns:pic="http://schemas.openxmlformats.org/drawingml/2006/picture">
            <wp:extent cx="4206240" cy="6859962"/>
            <wp:docPr id="14" name="Picture 14"/>
            <wp:cNvGraphicFramePr>
              <a:graphicFrameLocks noChangeAspect="1"/>
            </wp:cNvGraphicFramePr>
            <a:graphic>
              <a:graphicData uri="http://schemas.openxmlformats.org/drawingml/2006/picture">
                <pic:pic>
                  <pic:nvPicPr>
                    <pic:cNvPr id="0" name="cloudwatch-report.jpg"/>
                    <pic:cNvPicPr/>
                  </pic:nvPicPr>
                  <pic:blipFill>
                    <a:blip r:embed="rId21"/>
                    <a:stretch>
                      <a:fillRect/>
                    </a:stretch>
                  </pic:blipFill>
                  <pic:spPr>
                    <a:xfrm>
                      <a:off x="0" y="0"/>
                      <a:ext cx="4206240" cy="6859962"/>
                    </a:xfrm>
                    <a:prstGeom prst="rect"/>
                  </pic:spPr>
                </pic:pic>
              </a:graphicData>
            </a:graphic>
          </wp:inline>
        </w:drawing>
      </w:r>
    </w:p>
    <w:p>
      <w:pPr>
        <w:pStyle w:val="Caption"/>
        <w:keepNext w:val="0"/>
        <w:spacing w:after="200"/>
        <w:jc w:val="center"/>
      </w:pPr>
      <w:r>
        <w:rPr>
          <w:color w:val="000000"/>
        </w:rPr>
        <w:t>Figure 9. Implemented Cloud Monitoring banking panel after live AWS verification. CloudWatch returns 30 observed metric series in us-east-1; the checkpoint confirms ten published source requests. The selected Fund Transfer view shows three requests and the original measured latency timestamp. The workload remains local.</w:t>
      </w:r>
    </w:p>
    <w:p>
      <w:pPr>
        <w:pStyle w:val="Heading2"/>
        <w:pageBreakBefore/>
      </w:pPr>
      <w:r>
        <w:rPr>
          <w:color w:val="000000"/>
        </w:rPr>
        <w:t>9.3 Repository and Version Evidence</w:t>
      </w:r>
    </w:p>
    <w:p>
      <w:r>
        <w:rPr>
          <w:color w:val="000000"/>
        </w:rPr>
        <w:t>The source repository is maintained at https://github.com/Haris757518/ExplainableAI_Cloud_Banking_Cloud_Project_2026. The supplied main checkout references baseline commit 839b52599ff542ed4e04d033b69e5edd282d39a5 (16 October 2026). The AWS telemetry extension was implemented and verified as local working-tree changes on that baseline. Frozen measured results remain independent of runtime databases, credentials, and the bounded CloudWatch verification subset.</w:t>
      </w:r>
    </w:p>
    <w:p>
      <w:pPr>
        <w:pStyle w:val="Heading1"/>
      </w:pPr>
      <w:r>
        <w:rPr>
          <w:color w:val="000000"/>
        </w:rPr>
        <w:t>10. Testing, Results, and Observations</w:t>
      </w:r>
    </w:p>
    <w:p>
      <w:pPr>
        <w:pStyle w:val="Heading2"/>
      </w:pPr>
      <w:r>
        <w:rPr>
          <w:color w:val="000000"/>
        </w:rPr>
        <w:t>10.1 Test Plan and Execution</w:t>
      </w:r>
    </w:p>
    <w:p>
      <w:pPr>
        <w:pStyle w:val="Caption"/>
        <w:keepNext/>
        <w:jc w:val="center"/>
      </w:pPr>
      <w:r>
        <w:rPr>
          <w:color w:val="000000"/>
        </w:rPr>
        <w:t>Table 7. Final test cases and verification status</w:t>
      </w:r>
    </w:p>
    <w:tbl>
      <w:tblPr>
        <w:tblStyle w:val="TableGrid"/>
        <w:tblW w:type="auto" w:w="0"/>
        <w:jc w:val="center"/>
        <w:tblLayout w:type="fixed"/>
        <w:tblLook w:firstColumn="1" w:firstRow="1" w:lastColumn="0" w:lastRow="0" w:noHBand="0" w:noVBand="1" w:val="04A0"/>
      </w:tblPr>
      <w:tblGrid>
        <w:gridCol w:w="648"/>
        <w:gridCol w:w="2376"/>
        <w:gridCol w:w="4594"/>
        <w:gridCol w:w="1886"/>
      </w:tblGrid>
      <w:tr>
        <w:trPr>
          <w:tblHeader w:val="true"/>
          <w:cantSplit/>
          <w:tblHeader/>
        </w:trPr>
        <w:tc>
          <w:tcPr>
            <w:tcW w:type="dxa" w:w="648"/>
            <w:shd w:fill="EDEDED"/>
            <w:tcMar>
              <w:top w:w="70" w:type="dxa"/>
              <w:bottom w:w="70" w:type="dxa"/>
              <w:left w:w="70" w:type="dxa"/>
              <w:right w:w="70" w:type="dxa"/>
            </w:tcMar>
            <w:vAlign w:val="top"/>
          </w:tcPr>
          <w:p>
            <w:pPr>
              <w:pStyle w:val="TableText"/>
              <w:keepNext/>
            </w:pPr>
            <w:r>
              <w:rPr>
                <w:b/>
                <w:color w:val="000000"/>
                <w:sz w:val="20"/>
              </w:rPr>
              <w:t>Test</w:t>
            </w:r>
          </w:p>
        </w:tc>
        <w:tc>
          <w:tcPr>
            <w:tcW w:type="dxa" w:w="2376"/>
            <w:shd w:fill="EDEDED"/>
            <w:tcMar>
              <w:top w:w="70" w:type="dxa"/>
              <w:bottom w:w="70" w:type="dxa"/>
              <w:left w:w="70" w:type="dxa"/>
              <w:right w:w="70" w:type="dxa"/>
            </w:tcMar>
            <w:vAlign w:val="top"/>
          </w:tcPr>
          <w:p>
            <w:pPr>
              <w:pStyle w:val="TableText"/>
              <w:keepNext/>
            </w:pPr>
            <w:r>
              <w:rPr>
                <w:b/>
                <w:color w:val="000000"/>
                <w:sz w:val="20"/>
              </w:rPr>
              <w:t>Scenario</w:t>
            </w:r>
          </w:p>
        </w:tc>
        <w:tc>
          <w:tcPr>
            <w:tcW w:type="dxa" w:w="4594"/>
            <w:shd w:fill="EDEDED"/>
            <w:tcMar>
              <w:top w:w="70" w:type="dxa"/>
              <w:bottom w:w="70" w:type="dxa"/>
              <w:left w:w="70" w:type="dxa"/>
              <w:right w:w="70" w:type="dxa"/>
            </w:tcMar>
            <w:vAlign w:val="top"/>
          </w:tcPr>
          <w:p>
            <w:pPr>
              <w:pStyle w:val="TableText"/>
              <w:keepNext/>
            </w:pPr>
            <w:r>
              <w:rPr>
                <w:b/>
                <w:color w:val="000000"/>
                <w:sz w:val="20"/>
              </w:rPr>
              <w:t>Recorded observation</w:t>
            </w:r>
          </w:p>
        </w:tc>
        <w:tc>
          <w:tcPr>
            <w:tcW w:type="dxa" w:w="1886"/>
            <w:shd w:fill="EDEDED"/>
            <w:tcMar>
              <w:top w:w="70" w:type="dxa"/>
              <w:bottom w:w="70" w:type="dxa"/>
              <w:left w:w="70" w:type="dxa"/>
              <w:right w:w="70" w:type="dxa"/>
            </w:tcMar>
            <w:vAlign w:val="top"/>
          </w:tcPr>
          <w:p>
            <w:pPr>
              <w:pStyle w:val="TableText"/>
              <w:keepNext/>
            </w:pPr>
            <w:r>
              <w:rPr>
                <w:b/>
                <w:color w:val="000000"/>
                <w:sz w:val="20"/>
              </w:rPr>
              <w:t>Status</w:t>
            </w:r>
          </w:p>
        </w:tc>
      </w:tr>
      <w:tr>
        <w:trPr>
          <w:cantSplit/>
        </w:trPr>
        <w:tc>
          <w:tcPr>
            <w:tcW w:type="dxa" w:w="648"/>
            <w:vAlign w:val="top"/>
            <w:tcMar>
              <w:top w:w="70" w:type="dxa"/>
              <w:bottom w:w="70" w:type="dxa"/>
              <w:left w:w="70" w:type="dxa"/>
              <w:right w:w="70" w:type="dxa"/>
            </w:tcMar>
          </w:tcPr>
          <w:p>
            <w:pPr>
              <w:pStyle w:val="TableText"/>
              <w:keepLines/>
            </w:pPr>
            <w:r>
              <w:rPr>
                <w:color w:val="000000"/>
                <w:sz w:val="20"/>
              </w:rPr>
              <w:t>T01</w:t>
            </w:r>
          </w:p>
        </w:tc>
        <w:tc>
          <w:tcPr>
            <w:tcW w:type="dxa" w:w="2376"/>
            <w:vAlign w:val="top"/>
            <w:tcMar>
              <w:top w:w="70" w:type="dxa"/>
              <w:bottom w:w="70" w:type="dxa"/>
              <w:left w:w="70" w:type="dxa"/>
              <w:right w:w="70" w:type="dxa"/>
            </w:tcMar>
          </w:tcPr>
          <w:p>
            <w:pPr>
              <w:pStyle w:val="TableText"/>
              <w:keepLines/>
            </w:pPr>
            <w:r>
              <w:rPr>
                <w:color w:val="000000"/>
                <w:sz w:val="20"/>
              </w:rPr>
              <w:t>Balance enquiry</w:t>
            </w:r>
          </w:p>
        </w:tc>
        <w:tc>
          <w:tcPr>
            <w:tcW w:type="dxa" w:w="4594"/>
            <w:vAlign w:val="top"/>
            <w:tcMar>
              <w:top w:w="70" w:type="dxa"/>
              <w:bottom w:w="70" w:type="dxa"/>
              <w:left w:w="70" w:type="dxa"/>
              <w:right w:w="70" w:type="dxa"/>
            </w:tcMar>
          </w:tcPr>
          <w:p>
            <w:pPr>
              <w:pStyle w:val="TableText"/>
              <w:keepLines/>
            </w:pPr>
            <w:r>
              <w:rPr>
                <w:color w:val="000000"/>
                <w:sz w:val="20"/>
              </w:rPr>
              <w:t>Test account lookup and returned fictitious balance</w:t>
            </w:r>
          </w:p>
        </w:tc>
        <w:tc>
          <w:tcPr>
            <w:tcW w:type="dxa" w:w="1886"/>
            <w:vAlign w:val="top"/>
            <w:tcMar>
              <w:top w:w="70" w:type="dxa"/>
              <w:bottom w:w="70" w:type="dxa"/>
              <w:left w:w="70" w:type="dxa"/>
              <w:right w:w="70" w:type="dxa"/>
            </w:tcMar>
          </w:tcPr>
          <w:p>
            <w:pPr>
              <w:pStyle w:val="TableText"/>
              <w:keepLines/>
            </w:pPr>
            <w:r>
              <w:rPr>
                <w:color w:val="000000"/>
                <w:sz w:val="20"/>
              </w:rPr>
              <w:t>Passed</w:t>
            </w:r>
          </w:p>
        </w:tc>
      </w:tr>
      <w:tr>
        <w:trPr>
          <w:cantSplit/>
        </w:trPr>
        <w:tc>
          <w:tcPr>
            <w:tcW w:type="dxa" w:w="648"/>
            <w:vAlign w:val="top"/>
            <w:shd w:fill="FAFAFA"/>
            <w:tcMar>
              <w:top w:w="70" w:type="dxa"/>
              <w:bottom w:w="70" w:type="dxa"/>
              <w:left w:w="70" w:type="dxa"/>
              <w:right w:w="70" w:type="dxa"/>
            </w:tcMar>
          </w:tcPr>
          <w:p>
            <w:pPr>
              <w:pStyle w:val="TableText"/>
              <w:keepLines/>
            </w:pPr>
            <w:r>
              <w:rPr>
                <w:color w:val="000000"/>
                <w:sz w:val="20"/>
              </w:rPr>
              <w:t>T02</w:t>
            </w:r>
          </w:p>
        </w:tc>
        <w:tc>
          <w:tcPr>
            <w:tcW w:type="dxa" w:w="2376"/>
            <w:vAlign w:val="top"/>
            <w:shd w:fill="FAFAFA"/>
            <w:tcMar>
              <w:top w:w="70" w:type="dxa"/>
              <w:bottom w:w="70" w:type="dxa"/>
              <w:left w:w="70" w:type="dxa"/>
              <w:right w:w="70" w:type="dxa"/>
            </w:tcMar>
          </w:tcPr>
          <w:p>
            <w:pPr>
              <w:pStyle w:val="TableText"/>
              <w:keepLines/>
            </w:pPr>
            <w:r>
              <w:rPr>
                <w:color w:val="000000"/>
                <w:sz w:val="20"/>
              </w:rPr>
              <w:t>Fund transfer</w:t>
            </w:r>
          </w:p>
        </w:tc>
        <w:tc>
          <w:tcPr>
            <w:tcW w:type="dxa" w:w="4594"/>
            <w:vAlign w:val="top"/>
            <w:shd w:fill="FAFAFA"/>
            <w:tcMar>
              <w:top w:w="70" w:type="dxa"/>
              <w:bottom w:w="70" w:type="dxa"/>
              <w:left w:w="70" w:type="dxa"/>
              <w:right w:w="70" w:type="dxa"/>
            </w:tcMar>
          </w:tcPr>
          <w:p>
            <w:pPr>
              <w:pStyle w:val="TableText"/>
              <w:keepLines/>
            </w:pPr>
            <w:r>
              <w:rPr>
                <w:color w:val="000000"/>
                <w:sz w:val="20"/>
              </w:rPr>
              <w:t>Atomic debit/credit and ledger record</w:t>
            </w:r>
          </w:p>
        </w:tc>
        <w:tc>
          <w:tcPr>
            <w:tcW w:type="dxa" w:w="1886"/>
            <w:vAlign w:val="top"/>
            <w:shd w:fill="FAFAFA"/>
            <w:tcMar>
              <w:top w:w="70" w:type="dxa"/>
              <w:bottom w:w="70" w:type="dxa"/>
              <w:left w:w="70" w:type="dxa"/>
              <w:right w:w="70" w:type="dxa"/>
            </w:tcMar>
          </w:tcPr>
          <w:p>
            <w:pPr>
              <w:pStyle w:val="TableText"/>
              <w:keepLines/>
            </w:pPr>
            <w:r>
              <w:rPr>
                <w:color w:val="000000"/>
                <w:sz w:val="20"/>
              </w:rPr>
              <w:t>Passed</w:t>
            </w:r>
          </w:p>
        </w:tc>
      </w:tr>
      <w:tr>
        <w:trPr>
          <w:cantSplit/>
        </w:trPr>
        <w:tc>
          <w:tcPr>
            <w:tcW w:type="dxa" w:w="648"/>
            <w:vAlign w:val="top"/>
            <w:tcMar>
              <w:top w:w="70" w:type="dxa"/>
              <w:bottom w:w="70" w:type="dxa"/>
              <w:left w:w="70" w:type="dxa"/>
              <w:right w:w="70" w:type="dxa"/>
            </w:tcMar>
          </w:tcPr>
          <w:p>
            <w:pPr>
              <w:pStyle w:val="TableText"/>
              <w:keepLines/>
            </w:pPr>
            <w:r>
              <w:rPr>
                <w:color w:val="000000"/>
                <w:sz w:val="20"/>
              </w:rPr>
              <w:t>T03</w:t>
            </w:r>
          </w:p>
        </w:tc>
        <w:tc>
          <w:tcPr>
            <w:tcW w:type="dxa" w:w="2376"/>
            <w:vAlign w:val="top"/>
            <w:tcMar>
              <w:top w:w="70" w:type="dxa"/>
              <w:bottom w:w="70" w:type="dxa"/>
              <w:left w:w="70" w:type="dxa"/>
              <w:right w:w="70" w:type="dxa"/>
            </w:tcMar>
          </w:tcPr>
          <w:p>
            <w:pPr>
              <w:pStyle w:val="TableText"/>
              <w:keepLines/>
            </w:pPr>
            <w:r>
              <w:rPr>
                <w:color w:val="000000"/>
                <w:sz w:val="20"/>
              </w:rPr>
              <w:t>Transfer retry</w:t>
            </w:r>
          </w:p>
        </w:tc>
        <w:tc>
          <w:tcPr>
            <w:tcW w:type="dxa" w:w="4594"/>
            <w:vAlign w:val="top"/>
            <w:tcMar>
              <w:top w:w="70" w:type="dxa"/>
              <w:bottom w:w="70" w:type="dxa"/>
              <w:left w:w="70" w:type="dxa"/>
              <w:right w:w="70" w:type="dxa"/>
            </w:tcMar>
          </w:tcPr>
          <w:p>
            <w:pPr>
              <w:pStyle w:val="TableText"/>
              <w:keepLines/>
            </w:pPr>
            <w:r>
              <w:rPr>
                <w:color w:val="000000"/>
                <w:sz w:val="20"/>
              </w:rPr>
              <w:t>Duplicate transfer ID did not create a second debit</w:t>
            </w:r>
          </w:p>
        </w:tc>
        <w:tc>
          <w:tcPr>
            <w:tcW w:type="dxa" w:w="1886"/>
            <w:vAlign w:val="top"/>
            <w:tcMar>
              <w:top w:w="70" w:type="dxa"/>
              <w:bottom w:w="70" w:type="dxa"/>
              <w:left w:w="70" w:type="dxa"/>
              <w:right w:w="70" w:type="dxa"/>
            </w:tcMar>
          </w:tcPr>
          <w:p>
            <w:pPr>
              <w:pStyle w:val="TableText"/>
              <w:keepLines/>
            </w:pPr>
            <w:r>
              <w:rPr>
                <w:color w:val="000000"/>
                <w:sz w:val="20"/>
              </w:rPr>
              <w:t>Passed</w:t>
            </w:r>
          </w:p>
        </w:tc>
      </w:tr>
      <w:tr>
        <w:trPr>
          <w:cantSplit/>
        </w:trPr>
        <w:tc>
          <w:tcPr>
            <w:tcW w:type="dxa" w:w="648"/>
            <w:vAlign w:val="top"/>
            <w:shd w:fill="FAFAFA"/>
            <w:tcMar>
              <w:top w:w="70" w:type="dxa"/>
              <w:bottom w:w="70" w:type="dxa"/>
              <w:left w:w="70" w:type="dxa"/>
              <w:right w:w="70" w:type="dxa"/>
            </w:tcMar>
          </w:tcPr>
          <w:p>
            <w:pPr>
              <w:pStyle w:val="TableText"/>
              <w:keepLines/>
            </w:pPr>
            <w:r>
              <w:rPr>
                <w:color w:val="000000"/>
                <w:sz w:val="20"/>
              </w:rPr>
              <w:t>T04</w:t>
            </w:r>
          </w:p>
        </w:tc>
        <w:tc>
          <w:tcPr>
            <w:tcW w:type="dxa" w:w="2376"/>
            <w:vAlign w:val="top"/>
            <w:shd w:fill="FAFAFA"/>
            <w:tcMar>
              <w:top w:w="70" w:type="dxa"/>
              <w:bottom w:w="70" w:type="dxa"/>
              <w:left w:w="70" w:type="dxa"/>
              <w:right w:w="70" w:type="dxa"/>
            </w:tcMar>
          </w:tcPr>
          <w:p>
            <w:pPr>
              <w:pStyle w:val="TableText"/>
              <w:keepLines/>
            </w:pPr>
            <w:r>
              <w:rPr>
                <w:color w:val="000000"/>
                <w:sz w:val="20"/>
              </w:rPr>
              <w:t>Transaction history</w:t>
            </w:r>
          </w:p>
        </w:tc>
        <w:tc>
          <w:tcPr>
            <w:tcW w:type="dxa" w:w="4594"/>
            <w:vAlign w:val="top"/>
            <w:shd w:fill="FAFAFA"/>
            <w:tcMar>
              <w:top w:w="70" w:type="dxa"/>
              <w:bottom w:w="70" w:type="dxa"/>
              <w:left w:w="70" w:type="dxa"/>
              <w:right w:w="70" w:type="dxa"/>
            </w:tcMar>
          </w:tcPr>
          <w:p>
            <w:pPr>
              <w:pStyle w:val="TableText"/>
              <w:keepLines/>
            </w:pPr>
            <w:r>
              <w:rPr>
                <w:color w:val="000000"/>
                <w:sz w:val="20"/>
              </w:rPr>
              <w:t>Stored test transfer entries returned</w:t>
            </w:r>
          </w:p>
        </w:tc>
        <w:tc>
          <w:tcPr>
            <w:tcW w:type="dxa" w:w="1886"/>
            <w:vAlign w:val="top"/>
            <w:shd w:fill="FAFAFA"/>
            <w:tcMar>
              <w:top w:w="70" w:type="dxa"/>
              <w:bottom w:w="70" w:type="dxa"/>
              <w:left w:w="70" w:type="dxa"/>
              <w:right w:w="70" w:type="dxa"/>
            </w:tcMar>
          </w:tcPr>
          <w:p>
            <w:pPr>
              <w:pStyle w:val="TableText"/>
              <w:keepLines/>
            </w:pPr>
            <w:r>
              <w:rPr>
                <w:color w:val="000000"/>
                <w:sz w:val="20"/>
              </w:rPr>
              <w:t>Passed</w:t>
            </w:r>
          </w:p>
        </w:tc>
      </w:tr>
      <w:tr>
        <w:trPr>
          <w:cantSplit/>
        </w:trPr>
        <w:tc>
          <w:tcPr>
            <w:tcW w:type="dxa" w:w="648"/>
            <w:vAlign w:val="top"/>
            <w:tcMar>
              <w:top w:w="70" w:type="dxa"/>
              <w:bottom w:w="70" w:type="dxa"/>
              <w:left w:w="70" w:type="dxa"/>
              <w:right w:w="70" w:type="dxa"/>
            </w:tcMar>
          </w:tcPr>
          <w:p>
            <w:pPr>
              <w:pStyle w:val="TableText"/>
              <w:keepLines/>
            </w:pPr>
            <w:r>
              <w:rPr>
                <w:color w:val="000000"/>
                <w:sz w:val="20"/>
              </w:rPr>
              <w:t>T05</w:t>
            </w:r>
          </w:p>
        </w:tc>
        <w:tc>
          <w:tcPr>
            <w:tcW w:type="dxa" w:w="2376"/>
            <w:vAlign w:val="top"/>
            <w:tcMar>
              <w:top w:w="70" w:type="dxa"/>
              <w:bottom w:w="70" w:type="dxa"/>
              <w:left w:w="70" w:type="dxa"/>
              <w:right w:w="70" w:type="dxa"/>
            </w:tcMar>
          </w:tcPr>
          <w:p>
            <w:pPr>
              <w:pStyle w:val="TableText"/>
              <w:keepLines/>
            </w:pPr>
            <w:r>
              <w:rPr>
                <w:color w:val="000000"/>
                <w:sz w:val="20"/>
              </w:rPr>
              <w:t>Normal workload</w:t>
            </w:r>
          </w:p>
        </w:tc>
        <w:tc>
          <w:tcPr>
            <w:tcW w:type="dxa" w:w="4594"/>
            <w:vAlign w:val="top"/>
            <w:tcMar>
              <w:top w:w="70" w:type="dxa"/>
              <w:bottom w:w="70" w:type="dxa"/>
              <w:left w:w="70" w:type="dxa"/>
              <w:right w:w="70" w:type="dxa"/>
            </w:tcMar>
          </w:tcPr>
          <w:p>
            <w:pPr>
              <w:pStyle w:val="TableText"/>
              <w:keepLines/>
            </w:pPr>
            <w:r>
              <w:rPr>
                <w:color w:val="000000"/>
                <w:sz w:val="20"/>
              </w:rPr>
              <w:t>270 requests and frozen chronological baseline</w:t>
            </w:r>
          </w:p>
        </w:tc>
        <w:tc>
          <w:tcPr>
            <w:tcW w:type="dxa" w:w="1886"/>
            <w:vAlign w:val="top"/>
            <w:tcMar>
              <w:top w:w="70" w:type="dxa"/>
              <w:bottom w:w="70" w:type="dxa"/>
              <w:left w:w="70" w:type="dxa"/>
              <w:right w:w="70" w:type="dxa"/>
            </w:tcMar>
          </w:tcPr>
          <w:p>
            <w:pPr>
              <w:pStyle w:val="TableText"/>
              <w:keepLines/>
            </w:pPr>
            <w:r>
              <w:rPr>
                <w:color w:val="000000"/>
                <w:sz w:val="20"/>
              </w:rPr>
              <w:t>Passed</w:t>
            </w:r>
          </w:p>
        </w:tc>
      </w:tr>
      <w:tr>
        <w:trPr>
          <w:cantSplit/>
        </w:trPr>
        <w:tc>
          <w:tcPr>
            <w:tcW w:type="dxa" w:w="648"/>
            <w:vAlign w:val="top"/>
            <w:shd w:fill="FAFAFA"/>
            <w:tcMar>
              <w:top w:w="70" w:type="dxa"/>
              <w:bottom w:w="70" w:type="dxa"/>
              <w:left w:w="70" w:type="dxa"/>
              <w:right w:w="70" w:type="dxa"/>
            </w:tcMar>
          </w:tcPr>
          <w:p>
            <w:pPr>
              <w:pStyle w:val="TableText"/>
              <w:keepLines/>
            </w:pPr>
            <w:r>
              <w:rPr>
                <w:color w:val="000000"/>
                <w:sz w:val="20"/>
              </w:rPr>
              <w:t>T06</w:t>
            </w:r>
          </w:p>
        </w:tc>
        <w:tc>
          <w:tcPr>
            <w:tcW w:type="dxa" w:w="2376"/>
            <w:vAlign w:val="top"/>
            <w:shd w:fill="FAFAFA"/>
            <w:tcMar>
              <w:top w:w="70" w:type="dxa"/>
              <w:bottom w:w="70" w:type="dxa"/>
              <w:left w:w="70" w:type="dxa"/>
              <w:right w:w="70" w:type="dxa"/>
            </w:tcMar>
          </w:tcPr>
          <w:p>
            <w:pPr>
              <w:pStyle w:val="TableText"/>
              <w:keepLines/>
            </w:pPr>
            <w:r>
              <w:rPr>
                <w:color w:val="000000"/>
                <w:sz w:val="20"/>
              </w:rPr>
              <w:t>Controlled application delay</w:t>
            </w:r>
          </w:p>
        </w:tc>
        <w:tc>
          <w:tcPr>
            <w:tcW w:type="dxa" w:w="4594"/>
            <w:vAlign w:val="top"/>
            <w:shd w:fill="FAFAFA"/>
            <w:tcMar>
              <w:top w:w="70" w:type="dxa"/>
              <w:bottom w:w="70" w:type="dxa"/>
              <w:left w:w="70" w:type="dxa"/>
              <w:right w:w="70" w:type="dxa"/>
            </w:tcMar>
          </w:tcPr>
          <w:p>
            <w:pPr>
              <w:pStyle w:val="TableText"/>
              <w:keepLines/>
            </w:pPr>
            <w:r>
              <w:rPr>
                <w:color w:val="000000"/>
                <w:sz w:val="20"/>
              </w:rPr>
              <w:t>3 of 3 detections and service/mechanism matches</w:t>
            </w:r>
          </w:p>
        </w:tc>
        <w:tc>
          <w:tcPr>
            <w:tcW w:type="dxa" w:w="1886"/>
            <w:vAlign w:val="top"/>
            <w:shd w:fill="FAFAFA"/>
            <w:tcMar>
              <w:top w:w="70" w:type="dxa"/>
              <w:bottom w:w="70" w:type="dxa"/>
              <w:left w:w="70" w:type="dxa"/>
              <w:right w:w="70" w:type="dxa"/>
            </w:tcMar>
          </w:tcPr>
          <w:p>
            <w:pPr>
              <w:pStyle w:val="TableText"/>
              <w:keepLines/>
            </w:pPr>
            <w:r>
              <w:rPr>
                <w:color w:val="000000"/>
                <w:sz w:val="20"/>
              </w:rPr>
              <w:t>Passed within study</w:t>
            </w:r>
          </w:p>
        </w:tc>
      </w:tr>
      <w:tr>
        <w:trPr>
          <w:cantSplit/>
        </w:trPr>
        <w:tc>
          <w:tcPr>
            <w:tcW w:type="dxa" w:w="648"/>
            <w:vAlign w:val="top"/>
            <w:tcMar>
              <w:top w:w="70" w:type="dxa"/>
              <w:bottom w:w="70" w:type="dxa"/>
              <w:left w:w="70" w:type="dxa"/>
              <w:right w:w="70" w:type="dxa"/>
            </w:tcMar>
          </w:tcPr>
          <w:p>
            <w:pPr>
              <w:pStyle w:val="TableText"/>
              <w:keepLines/>
            </w:pPr>
            <w:r>
              <w:rPr>
                <w:color w:val="000000"/>
                <w:sz w:val="20"/>
              </w:rPr>
              <w:t>T07</w:t>
            </w:r>
          </w:p>
        </w:tc>
        <w:tc>
          <w:tcPr>
            <w:tcW w:type="dxa" w:w="2376"/>
            <w:vAlign w:val="top"/>
            <w:tcMar>
              <w:top w:w="70" w:type="dxa"/>
              <w:bottom w:w="70" w:type="dxa"/>
              <w:left w:w="70" w:type="dxa"/>
              <w:right w:w="70" w:type="dxa"/>
            </w:tcMar>
          </w:tcPr>
          <w:p>
            <w:pPr>
              <w:pStyle w:val="TableText"/>
              <w:keepLines/>
            </w:pPr>
            <w:r>
              <w:rPr>
                <w:color w:val="000000"/>
                <w:sz w:val="20"/>
              </w:rPr>
              <w:t>Graph model comparison</w:t>
            </w:r>
          </w:p>
        </w:tc>
        <w:tc>
          <w:tcPr>
            <w:tcW w:type="dxa" w:w="4594"/>
            <w:vAlign w:val="top"/>
            <w:tcMar>
              <w:top w:w="70" w:type="dxa"/>
              <w:bottom w:w="70" w:type="dxa"/>
              <w:left w:w="70" w:type="dxa"/>
              <w:right w:w="70" w:type="dxa"/>
            </w:tcMar>
          </w:tcPr>
          <w:p>
            <w:pPr>
              <w:pStyle w:val="TableText"/>
              <w:keepLines/>
            </w:pPr>
            <w:r>
              <w:rPr>
                <w:color w:val="000000"/>
                <w:sz w:val="20"/>
              </w:rPr>
              <w:t>Both predictors trained/evaluated; no graph advantage</w:t>
            </w:r>
          </w:p>
        </w:tc>
        <w:tc>
          <w:tcPr>
            <w:tcW w:type="dxa" w:w="1886"/>
            <w:vAlign w:val="top"/>
            <w:tcMar>
              <w:top w:w="70" w:type="dxa"/>
              <w:bottom w:w="70" w:type="dxa"/>
              <w:left w:w="70" w:type="dxa"/>
              <w:right w:w="70" w:type="dxa"/>
            </w:tcMar>
          </w:tcPr>
          <w:p>
            <w:pPr>
              <w:pStyle w:val="TableText"/>
              <w:keepLines/>
            </w:pPr>
            <w:r>
              <w:rPr>
                <w:color w:val="000000"/>
                <w:sz w:val="20"/>
              </w:rPr>
              <w:t>Evaluated</w:t>
            </w:r>
          </w:p>
        </w:tc>
      </w:tr>
      <w:tr>
        <w:trPr>
          <w:cantSplit/>
        </w:trPr>
        <w:tc>
          <w:tcPr>
            <w:tcW w:type="dxa" w:w="648"/>
            <w:vAlign w:val="top"/>
            <w:shd w:fill="FAFAFA"/>
            <w:tcMar>
              <w:top w:w="70" w:type="dxa"/>
              <w:bottom w:w="70" w:type="dxa"/>
              <w:left w:w="70" w:type="dxa"/>
              <w:right w:w="70" w:type="dxa"/>
            </w:tcMar>
          </w:tcPr>
          <w:p>
            <w:pPr>
              <w:pStyle w:val="TableText"/>
              <w:keepLines/>
            </w:pPr>
            <w:r>
              <w:rPr>
                <w:color w:val="000000"/>
                <w:sz w:val="20"/>
              </w:rPr>
              <w:t>T08</w:t>
            </w:r>
          </w:p>
        </w:tc>
        <w:tc>
          <w:tcPr>
            <w:tcW w:type="dxa" w:w="2376"/>
            <w:vAlign w:val="top"/>
            <w:shd w:fill="FAFAFA"/>
            <w:tcMar>
              <w:top w:w="70" w:type="dxa"/>
              <w:bottom w:w="70" w:type="dxa"/>
              <w:left w:w="70" w:type="dxa"/>
              <w:right w:w="70" w:type="dxa"/>
            </w:tcMar>
          </w:tcPr>
          <w:p>
            <w:pPr>
              <w:pStyle w:val="TableText"/>
              <w:keepLines/>
            </w:pPr>
            <w:r>
              <w:rPr>
                <w:color w:val="000000"/>
                <w:sz w:val="20"/>
              </w:rPr>
              <w:t>PostgreSQL lock contention</w:t>
            </w:r>
          </w:p>
        </w:tc>
        <w:tc>
          <w:tcPr>
            <w:tcW w:type="dxa" w:w="4594"/>
            <w:vAlign w:val="top"/>
            <w:shd w:fill="FAFAFA"/>
            <w:tcMar>
              <w:top w:w="70" w:type="dxa"/>
              <w:bottom w:w="70" w:type="dxa"/>
              <w:left w:w="70" w:type="dxa"/>
              <w:right w:w="70" w:type="dxa"/>
            </w:tcMar>
          </w:tcPr>
          <w:p>
            <w:pPr>
              <w:pStyle w:val="TableText"/>
              <w:keepLines/>
            </w:pPr>
            <w:r>
              <w:rPr>
                <w:color w:val="000000"/>
                <w:sz w:val="20"/>
              </w:rPr>
              <w:t>Dedicated PostgreSQL test environment unavailable</w:t>
            </w:r>
          </w:p>
        </w:tc>
        <w:tc>
          <w:tcPr>
            <w:tcW w:type="dxa" w:w="1886"/>
            <w:vAlign w:val="top"/>
            <w:shd w:fill="FAFAFA"/>
            <w:tcMar>
              <w:top w:w="70" w:type="dxa"/>
              <w:bottom w:w="70" w:type="dxa"/>
              <w:left w:w="70" w:type="dxa"/>
              <w:right w:w="70" w:type="dxa"/>
            </w:tcMar>
          </w:tcPr>
          <w:p>
            <w:pPr>
              <w:pStyle w:val="TableText"/>
              <w:keepLines/>
            </w:pPr>
            <w:r>
              <w:rPr>
                <w:color w:val="000000"/>
                <w:sz w:val="20"/>
              </w:rPr>
              <w:t>Not executed</w:t>
            </w:r>
          </w:p>
        </w:tc>
      </w:tr>
      <w:tr>
        <w:trPr>
          <w:cantSplit/>
        </w:trPr>
        <w:tc>
          <w:tcPr>
            <w:tcW w:type="dxa" w:w="648"/>
            <w:vAlign w:val="top"/>
            <w:tcMar>
              <w:top w:w="70" w:type="dxa"/>
              <w:bottom w:w="70" w:type="dxa"/>
              <w:left w:w="70" w:type="dxa"/>
              <w:right w:w="70" w:type="dxa"/>
            </w:tcMar>
          </w:tcPr>
          <w:p>
            <w:pPr>
              <w:pStyle w:val="TableText"/>
              <w:keepLines/>
            </w:pPr>
            <w:r>
              <w:rPr>
                <w:color w:val="000000"/>
                <w:sz w:val="20"/>
              </w:rPr>
              <w:t>T09</w:t>
            </w:r>
          </w:p>
        </w:tc>
        <w:tc>
          <w:tcPr>
            <w:tcW w:type="dxa" w:w="2376"/>
            <w:vAlign w:val="top"/>
            <w:tcMar>
              <w:top w:w="70" w:type="dxa"/>
              <w:bottom w:w="70" w:type="dxa"/>
              <w:left w:w="70" w:type="dxa"/>
              <w:right w:w="70" w:type="dxa"/>
            </w:tcMar>
          </w:tcPr>
          <w:p>
            <w:pPr>
              <w:pStyle w:val="TableText"/>
              <w:keepLines/>
            </w:pPr>
            <w:r>
              <w:rPr>
                <w:color w:val="000000"/>
                <w:sz w:val="20"/>
              </w:rPr>
              <w:t>Frontend/backend regression</w:t>
            </w:r>
          </w:p>
        </w:tc>
        <w:tc>
          <w:tcPr>
            <w:tcW w:type="dxa" w:w="4594"/>
            <w:vAlign w:val="top"/>
            <w:tcMar>
              <w:top w:w="70" w:type="dxa"/>
              <w:bottom w:w="70" w:type="dxa"/>
              <w:left w:w="70" w:type="dxa"/>
              <w:right w:w="70" w:type="dxa"/>
            </w:tcMar>
          </w:tcPr>
          <w:p>
            <w:pPr>
              <w:pStyle w:val="TableText"/>
              <w:keepLines/>
            </w:pPr>
            <w:r>
              <w:rPr>
                <w:color w:val="000000"/>
                <w:sz w:val="20"/>
              </w:rPr>
              <w:t>124 backend tests passed and frontend production build passed; new AWS panel checked in a live browser</w:t>
            </w:r>
          </w:p>
        </w:tc>
        <w:tc>
          <w:tcPr>
            <w:tcW w:type="dxa" w:w="1886"/>
            <w:vAlign w:val="top"/>
            <w:tcMar>
              <w:top w:w="70" w:type="dxa"/>
              <w:bottom w:w="70" w:type="dxa"/>
              <w:left w:w="70" w:type="dxa"/>
              <w:right w:w="70" w:type="dxa"/>
            </w:tcMar>
          </w:tcPr>
          <w:p>
            <w:pPr>
              <w:pStyle w:val="TableText"/>
              <w:keepLines/>
            </w:pPr>
            <w:r>
              <w:rPr>
                <w:color w:val="000000"/>
                <w:sz w:val="20"/>
              </w:rPr>
              <w:t>Passed; earlier 16 browser tests remain historical</w:t>
            </w:r>
          </w:p>
        </w:tc>
      </w:tr>
      <w:tr>
        <w:trPr>
          <w:cantSplit/>
        </w:trPr>
        <w:tc>
          <w:tcPr>
            <w:tcW w:type="dxa" w:w="648"/>
            <w:vAlign w:val="top"/>
            <w:shd w:fill="FAFAFA"/>
            <w:tcMar>
              <w:top w:w="70" w:type="dxa"/>
              <w:bottom w:w="70" w:type="dxa"/>
              <w:left w:w="70" w:type="dxa"/>
              <w:right w:w="70" w:type="dxa"/>
            </w:tcMar>
          </w:tcPr>
          <w:p>
            <w:pPr>
              <w:pStyle w:val="TableText"/>
              <w:keepLines/>
            </w:pPr>
            <w:r>
              <w:rPr>
                <w:color w:val="000000"/>
                <w:sz w:val="20"/>
              </w:rPr>
              <w:t>T10</w:t>
            </w:r>
          </w:p>
        </w:tc>
        <w:tc>
          <w:tcPr>
            <w:tcW w:type="dxa" w:w="2376"/>
            <w:vAlign w:val="top"/>
            <w:shd w:fill="FAFAFA"/>
            <w:tcMar>
              <w:top w:w="70" w:type="dxa"/>
              <w:bottom w:w="70" w:type="dxa"/>
              <w:left w:w="70" w:type="dxa"/>
              <w:right w:w="70" w:type="dxa"/>
            </w:tcMar>
          </w:tcPr>
          <w:p>
            <w:pPr>
              <w:pStyle w:val="TableText"/>
              <w:keepLines/>
            </w:pPr>
            <w:r>
              <w:rPr>
                <w:color w:val="000000"/>
                <w:sz w:val="20"/>
              </w:rPr>
              <w:t>Live cloud fault/recovery</w:t>
            </w:r>
          </w:p>
        </w:tc>
        <w:tc>
          <w:tcPr>
            <w:tcW w:type="dxa" w:w="4594"/>
            <w:vAlign w:val="top"/>
            <w:shd w:fill="FAFAFA"/>
            <w:tcMar>
              <w:top w:w="70" w:type="dxa"/>
              <w:bottom w:w="70" w:type="dxa"/>
              <w:left w:w="70" w:type="dxa"/>
              <w:right w:w="70" w:type="dxa"/>
            </w:tcMar>
          </w:tcPr>
          <w:p>
            <w:pPr>
              <w:pStyle w:val="TableText"/>
              <w:keepLines/>
            </w:pPr>
            <w:r>
              <w:rPr>
                <w:color w:val="000000"/>
                <w:sz w:val="20"/>
              </w:rPr>
              <w:t>Not performed within final measured study</w:t>
            </w:r>
          </w:p>
        </w:tc>
        <w:tc>
          <w:tcPr>
            <w:tcW w:type="dxa" w:w="1886"/>
            <w:vAlign w:val="top"/>
            <w:shd w:fill="FAFAFA"/>
            <w:tcMar>
              <w:top w:w="70" w:type="dxa"/>
              <w:bottom w:w="70" w:type="dxa"/>
              <w:left w:w="70" w:type="dxa"/>
              <w:right w:w="70" w:type="dxa"/>
            </w:tcMar>
          </w:tcPr>
          <w:p>
            <w:pPr>
              <w:pStyle w:val="TableText"/>
              <w:keepLines/>
            </w:pPr>
            <w:r>
              <w:rPr>
                <w:color w:val="000000"/>
                <w:sz w:val="20"/>
              </w:rPr>
              <w:t>Not validated</w:t>
            </w:r>
          </w:p>
        </w:tc>
      </w:tr>
      <w:tr>
        <w:tc>
          <w:tcPr>
            <w:tcW w:type="dxa" w:w="648"/>
          </w:tcPr>
          <w:p>
            <w:r>
              <w:rPr>
                <w:color w:val="000000"/>
                <w:sz w:val="20"/>
              </w:rPr>
              <w:t>T11</w:t>
            </w:r>
          </w:p>
        </w:tc>
        <w:tc>
          <w:tcPr>
            <w:tcW w:type="dxa" w:w="2376"/>
          </w:tcPr>
          <w:p>
            <w:r>
              <w:rPr>
                <w:color w:val="000000"/>
                <w:sz w:val="20"/>
              </w:rPr>
              <w:t>AWS banking telemetry</w:t>
            </w:r>
          </w:p>
        </w:tc>
        <w:tc>
          <w:tcPr>
            <w:tcW w:type="dxa" w:w="4594"/>
          </w:tcPr>
          <w:p>
            <w:r>
              <w:rPr>
                <w:color w:val="000000"/>
                <w:sz w:val="20"/>
              </w:rPr>
              <w:t>10 existing requests; 118 values; 30 CloudWatch series; counts 4/3/3</w:t>
            </w:r>
          </w:p>
        </w:tc>
        <w:tc>
          <w:tcPr>
            <w:tcW w:type="dxa" w:w="1886"/>
          </w:tcPr>
          <w:p>
            <w:r>
              <w:rPr>
                <w:color w:val="000000"/>
                <w:sz w:val="20"/>
              </w:rPr>
              <w:t>Verified live</w:t>
            </w:r>
          </w:p>
        </w:tc>
      </w:tr>
    </w:tbl>
    <w:p>
      <w:pPr>
        <w:spacing w:after="0"/>
      </w:pPr>
    </w:p>
    <w:p>
      <w:pPr>
        <w:pStyle w:val="Heading2"/>
      </w:pPr>
      <w:r>
        <w:rPr>
          <w:color w:val="000000"/>
        </w:rPr>
        <w:t>10.2 Measured Banking Experiment</w:t>
      </w:r>
    </w:p>
    <w:p>
      <w:pPr>
        <w:pStyle w:val="Caption"/>
        <w:keepNext/>
        <w:jc w:val="center"/>
      </w:pPr>
      <w:r>
        <w:rPr>
          <w:color w:val="000000"/>
        </w:rPr>
        <w:t>Table 8. Banking experiment summary from frozen final report</w:t>
      </w:r>
    </w:p>
    <w:tbl>
      <w:tblPr>
        <w:tblStyle w:val="TableGrid"/>
        <w:tblW w:type="auto" w:w="0"/>
        <w:jc w:val="center"/>
        <w:tblLayout w:type="fixed"/>
        <w:tblLook w:firstColumn="1" w:firstRow="1" w:lastColumn="0" w:lastRow="0" w:noHBand="0" w:noVBand="1" w:val="04A0"/>
      </w:tblPr>
      <w:tblGrid>
        <w:gridCol w:w="5040"/>
        <w:gridCol w:w="4464"/>
      </w:tblGrid>
      <w:tr>
        <w:trPr>
          <w:tblHeader w:val="true"/>
          <w:cantSplit/>
          <w:tblHeader/>
        </w:trPr>
        <w:tc>
          <w:tcPr>
            <w:tcW w:type="dxa" w:w="5040"/>
            <w:shd w:fill="EDEDED"/>
            <w:tcMar>
              <w:top w:w="70" w:type="dxa"/>
              <w:bottom w:w="70" w:type="dxa"/>
              <w:left w:w="70" w:type="dxa"/>
              <w:right w:w="70" w:type="dxa"/>
            </w:tcMar>
            <w:vAlign w:val="top"/>
          </w:tcPr>
          <w:p>
            <w:pPr>
              <w:pStyle w:val="TableText"/>
              <w:keepNext/>
            </w:pPr>
            <w:r>
              <w:rPr>
                <w:b/>
                <w:color w:val="000000"/>
                <w:sz w:val="21"/>
              </w:rPr>
              <w:t>Measurement</w:t>
            </w:r>
          </w:p>
        </w:tc>
        <w:tc>
          <w:tcPr>
            <w:tcW w:type="dxa" w:w="4464"/>
            <w:shd w:fill="EDEDED"/>
            <w:tcMar>
              <w:top w:w="70" w:type="dxa"/>
              <w:bottom w:w="70" w:type="dxa"/>
              <w:left w:w="70" w:type="dxa"/>
              <w:right w:w="70" w:type="dxa"/>
            </w:tcMar>
            <w:vAlign w:val="top"/>
          </w:tcPr>
          <w:p>
            <w:pPr>
              <w:pStyle w:val="TableText"/>
              <w:keepNext/>
            </w:pPr>
            <w:r>
              <w:rPr>
                <w:b/>
                <w:color w:val="000000"/>
                <w:sz w:val="21"/>
              </w:rPr>
              <w:t>Recorded result</w:t>
            </w:r>
          </w:p>
        </w:tc>
      </w:tr>
      <w:tr>
        <w:trPr>
          <w:cantSplit/>
        </w:trPr>
        <w:tc>
          <w:tcPr>
            <w:tcW w:type="dxa" w:w="5040"/>
            <w:vAlign w:val="top"/>
            <w:tcMar>
              <w:top w:w="70" w:type="dxa"/>
              <w:bottom w:w="70" w:type="dxa"/>
              <w:left w:w="70" w:type="dxa"/>
              <w:right w:w="70" w:type="dxa"/>
            </w:tcMar>
          </w:tcPr>
          <w:p>
            <w:pPr>
              <w:pStyle w:val="TableText"/>
              <w:keepLines/>
            </w:pPr>
            <w:r>
              <w:rPr>
                <w:color w:val="000000"/>
                <w:sz w:val="21"/>
              </w:rPr>
              <w:t>Normal requests</w:t>
            </w:r>
          </w:p>
        </w:tc>
        <w:tc>
          <w:tcPr>
            <w:tcW w:type="dxa" w:w="4464"/>
            <w:vAlign w:val="top"/>
            <w:tcMar>
              <w:top w:w="70" w:type="dxa"/>
              <w:bottom w:w="70" w:type="dxa"/>
              <w:left w:w="70" w:type="dxa"/>
              <w:right w:w="70" w:type="dxa"/>
            </w:tcMar>
          </w:tcPr>
          <w:p>
            <w:pPr>
              <w:pStyle w:val="TableText"/>
              <w:keepLines/>
            </w:pPr>
            <w:r>
              <w:rPr>
                <w:color w:val="000000"/>
                <w:sz w:val="21"/>
              </w:rPr>
              <w:t>270 (90 per banking operation)</w:t>
            </w:r>
          </w:p>
        </w:tc>
      </w:tr>
      <w:tr>
        <w:trPr>
          <w:cantSplit/>
        </w:trPr>
        <w:tc>
          <w:tcPr>
            <w:tcW w:type="dxa" w:w="5040"/>
            <w:vAlign w:val="top"/>
            <w:shd w:fill="FAFAFA"/>
            <w:tcMar>
              <w:top w:w="70" w:type="dxa"/>
              <w:bottom w:w="70" w:type="dxa"/>
              <w:left w:w="70" w:type="dxa"/>
              <w:right w:w="70" w:type="dxa"/>
            </w:tcMar>
          </w:tcPr>
          <w:p>
            <w:pPr>
              <w:pStyle w:val="TableText"/>
              <w:keepLines/>
            </w:pPr>
            <w:r>
              <w:rPr>
                <w:color w:val="000000"/>
                <w:sz w:val="21"/>
              </w:rPr>
              <w:t>Held-out normal false-positive requests</w:t>
            </w:r>
          </w:p>
        </w:tc>
        <w:tc>
          <w:tcPr>
            <w:tcW w:type="dxa" w:w="4464"/>
            <w:vAlign w:val="top"/>
            <w:shd w:fill="FAFAFA"/>
            <w:tcMar>
              <w:top w:w="70" w:type="dxa"/>
              <w:bottom w:w="70" w:type="dxa"/>
              <w:left w:w="70" w:type="dxa"/>
              <w:right w:w="70" w:type="dxa"/>
            </w:tcMar>
          </w:tcPr>
          <w:p>
            <w:pPr>
              <w:pStyle w:val="TableText"/>
              <w:keepLines/>
            </w:pPr>
            <w:r>
              <w:rPr>
                <w:color w:val="000000"/>
                <w:sz w:val="21"/>
              </w:rPr>
              <w:t>0 of 54</w:t>
            </w:r>
          </w:p>
        </w:tc>
      </w:tr>
      <w:tr>
        <w:trPr>
          <w:cantSplit/>
        </w:trPr>
        <w:tc>
          <w:tcPr>
            <w:tcW w:type="dxa" w:w="5040"/>
            <w:vAlign w:val="top"/>
            <w:tcMar>
              <w:top w:w="70" w:type="dxa"/>
              <w:bottom w:w="70" w:type="dxa"/>
              <w:left w:w="70" w:type="dxa"/>
              <w:right w:w="70" w:type="dxa"/>
            </w:tcMar>
          </w:tcPr>
          <w:p>
            <w:pPr>
              <w:pStyle w:val="TableText"/>
              <w:keepLines/>
            </w:pPr>
            <w:r>
              <w:rPr>
                <w:color w:val="000000"/>
                <w:sz w:val="21"/>
              </w:rPr>
              <w:t>Controlled delay repetitions</w:t>
            </w:r>
          </w:p>
        </w:tc>
        <w:tc>
          <w:tcPr>
            <w:tcW w:type="dxa" w:w="4464"/>
            <w:vAlign w:val="top"/>
            <w:tcMar>
              <w:top w:w="70" w:type="dxa"/>
              <w:bottom w:w="70" w:type="dxa"/>
              <w:left w:w="70" w:type="dxa"/>
              <w:right w:w="70" w:type="dxa"/>
            </w:tcMar>
          </w:tcPr>
          <w:p>
            <w:pPr>
              <w:pStyle w:val="TableText"/>
              <w:keepLines/>
            </w:pPr>
            <w:r>
              <w:rPr>
                <w:color w:val="000000"/>
                <w:sz w:val="21"/>
              </w:rPr>
              <w:t>3; 150-ms ledger delay, maximum 12 s each</w:t>
            </w:r>
          </w:p>
        </w:tc>
      </w:tr>
      <w:tr>
        <w:trPr>
          <w:cantSplit/>
        </w:trPr>
        <w:tc>
          <w:tcPr>
            <w:tcW w:type="dxa" w:w="5040"/>
            <w:vAlign w:val="top"/>
            <w:shd w:fill="FAFAFA"/>
            <w:tcMar>
              <w:top w:w="70" w:type="dxa"/>
              <w:bottom w:w="70" w:type="dxa"/>
              <w:left w:w="70" w:type="dxa"/>
              <w:right w:w="70" w:type="dxa"/>
            </w:tcMar>
          </w:tcPr>
          <w:p>
            <w:pPr>
              <w:pStyle w:val="TableText"/>
              <w:keepLines/>
            </w:pPr>
            <w:r>
              <w:rPr>
                <w:color w:val="000000"/>
                <w:sz w:val="21"/>
              </w:rPr>
              <w:t>Incident detection / root-service Top-1</w:t>
            </w:r>
          </w:p>
        </w:tc>
        <w:tc>
          <w:tcPr>
            <w:tcW w:type="dxa" w:w="4464"/>
            <w:vAlign w:val="top"/>
            <w:shd w:fill="FAFAFA"/>
            <w:tcMar>
              <w:top w:w="70" w:type="dxa"/>
              <w:bottom w:w="70" w:type="dxa"/>
              <w:left w:w="70" w:type="dxa"/>
              <w:right w:w="70" w:type="dxa"/>
            </w:tcMar>
          </w:tcPr>
          <w:p>
            <w:pPr>
              <w:pStyle w:val="TableText"/>
              <w:keepLines/>
            </w:pPr>
            <w:r>
              <w:rPr>
                <w:color w:val="000000"/>
                <w:sz w:val="21"/>
              </w:rPr>
              <w:t>3 / 3; 3 / 3</w:t>
            </w:r>
          </w:p>
        </w:tc>
      </w:tr>
      <w:tr>
        <w:trPr>
          <w:cantSplit/>
        </w:trPr>
        <w:tc>
          <w:tcPr>
            <w:tcW w:type="dxa" w:w="5040"/>
            <w:vAlign w:val="top"/>
            <w:tcMar>
              <w:top w:w="70" w:type="dxa"/>
              <w:bottom w:w="70" w:type="dxa"/>
              <w:left w:w="70" w:type="dxa"/>
              <w:right w:w="70" w:type="dxa"/>
            </w:tcMar>
          </w:tcPr>
          <w:p>
            <w:pPr>
              <w:pStyle w:val="TableText"/>
              <w:keepLines/>
            </w:pPr>
            <w:r>
              <w:rPr>
                <w:color w:val="000000"/>
                <w:sz w:val="21"/>
              </w:rPr>
              <w:t>Application-delay annotation agreement</w:t>
            </w:r>
          </w:p>
        </w:tc>
        <w:tc>
          <w:tcPr>
            <w:tcW w:type="dxa" w:w="4464"/>
            <w:vAlign w:val="top"/>
            <w:tcMar>
              <w:top w:w="70" w:type="dxa"/>
              <w:bottom w:w="70" w:type="dxa"/>
              <w:left w:w="70" w:type="dxa"/>
              <w:right w:w="70" w:type="dxa"/>
            </w:tcMar>
          </w:tcPr>
          <w:p>
            <w:pPr>
              <w:pStyle w:val="TableText"/>
              <w:keepLines/>
            </w:pPr>
            <w:r>
              <w:rPr>
                <w:color w:val="000000"/>
                <w:sz w:val="21"/>
              </w:rPr>
              <w:t>3 / 3</w:t>
            </w:r>
          </w:p>
        </w:tc>
      </w:tr>
      <w:tr>
        <w:trPr>
          <w:cantSplit/>
        </w:trPr>
        <w:tc>
          <w:tcPr>
            <w:tcW w:type="dxa" w:w="5040"/>
            <w:vAlign w:val="top"/>
            <w:shd w:fill="FAFAFA"/>
            <w:tcMar>
              <w:top w:w="70" w:type="dxa"/>
              <w:bottom w:w="70" w:type="dxa"/>
              <w:left w:w="70" w:type="dxa"/>
              <w:right w:w="70" w:type="dxa"/>
            </w:tcMar>
          </w:tcPr>
          <w:p>
            <w:pPr>
              <w:pStyle w:val="TableText"/>
              <w:keepLines/>
            </w:pPr>
            <w:r>
              <w:rPr>
                <w:color w:val="000000"/>
                <w:sz w:val="21"/>
              </w:rPr>
              <w:t>Measured return toward reference</w:t>
            </w:r>
          </w:p>
        </w:tc>
        <w:tc>
          <w:tcPr>
            <w:tcW w:type="dxa" w:w="4464"/>
            <w:vAlign w:val="top"/>
            <w:shd w:fill="FAFAFA"/>
            <w:tcMar>
              <w:top w:w="70" w:type="dxa"/>
              <w:bottom w:w="70" w:type="dxa"/>
              <w:left w:w="70" w:type="dxa"/>
              <w:right w:w="70" w:type="dxa"/>
            </w:tcMar>
          </w:tcPr>
          <w:p>
            <w:pPr>
              <w:pStyle w:val="TableText"/>
              <w:keepLines/>
            </w:pPr>
            <w:r>
              <w:rPr>
                <w:color w:val="000000"/>
                <w:sz w:val="21"/>
              </w:rPr>
              <w:t>3 / 3</w:t>
            </w:r>
          </w:p>
        </w:tc>
      </w:tr>
      <w:tr>
        <w:trPr>
          <w:cantSplit/>
        </w:trPr>
        <w:tc>
          <w:tcPr>
            <w:tcW w:type="dxa" w:w="5040"/>
            <w:vAlign w:val="top"/>
            <w:tcMar>
              <w:top w:w="70" w:type="dxa"/>
              <w:bottom w:w="70" w:type="dxa"/>
              <w:left w:w="70" w:type="dxa"/>
              <w:right w:w="70" w:type="dxa"/>
            </w:tcMar>
          </w:tcPr>
          <w:p>
            <w:pPr>
              <w:pStyle w:val="TableText"/>
              <w:keepLines/>
            </w:pPr>
            <w:r>
              <w:rPr>
                <w:color w:val="000000"/>
                <w:sz w:val="21"/>
              </w:rPr>
              <w:t>Normal transfer-handler median</w:t>
            </w:r>
          </w:p>
        </w:tc>
        <w:tc>
          <w:tcPr>
            <w:tcW w:type="dxa" w:w="4464"/>
            <w:vAlign w:val="top"/>
            <w:tcMar>
              <w:top w:w="70" w:type="dxa"/>
              <w:bottom w:w="70" w:type="dxa"/>
              <w:left w:w="70" w:type="dxa"/>
              <w:right w:w="70" w:type="dxa"/>
            </w:tcMar>
          </w:tcPr>
          <w:p>
            <w:pPr>
              <w:pStyle w:val="TableText"/>
              <w:keepLines/>
            </w:pPr>
            <w:r>
              <w:rPr>
                <w:color w:val="000000"/>
                <w:sz w:val="21"/>
              </w:rPr>
              <w:t>26.113 ms</w:t>
            </w:r>
          </w:p>
        </w:tc>
      </w:tr>
      <w:tr>
        <w:trPr>
          <w:cantSplit/>
        </w:trPr>
        <w:tc>
          <w:tcPr>
            <w:tcW w:type="dxa" w:w="5040"/>
            <w:vAlign w:val="top"/>
            <w:shd w:fill="FAFAFA"/>
            <w:tcMar>
              <w:top w:w="70" w:type="dxa"/>
              <w:bottom w:w="70" w:type="dxa"/>
              <w:left w:w="70" w:type="dxa"/>
              <w:right w:w="70" w:type="dxa"/>
            </w:tcMar>
          </w:tcPr>
          <w:p>
            <w:pPr>
              <w:pStyle w:val="TableText"/>
              <w:keepLines/>
            </w:pPr>
            <w:r>
              <w:rPr>
                <w:color w:val="000000"/>
                <w:sz w:val="21"/>
              </w:rPr>
              <w:t>Condition-handler medians</w:t>
            </w:r>
          </w:p>
        </w:tc>
        <w:tc>
          <w:tcPr>
            <w:tcW w:type="dxa" w:w="4464"/>
            <w:vAlign w:val="top"/>
            <w:shd w:fill="FAFAFA"/>
            <w:tcMar>
              <w:top w:w="70" w:type="dxa"/>
              <w:bottom w:w="70" w:type="dxa"/>
              <w:left w:w="70" w:type="dxa"/>
              <w:right w:w="70" w:type="dxa"/>
            </w:tcMar>
          </w:tcPr>
          <w:p>
            <w:pPr>
              <w:pStyle w:val="TableText"/>
              <w:keepLines/>
            </w:pPr>
            <w:r>
              <w:rPr>
                <w:color w:val="000000"/>
                <w:sz w:val="21"/>
              </w:rPr>
              <w:t>181.240, 167.189, and 167.640 ms</w:t>
            </w:r>
          </w:p>
        </w:tc>
      </w:tr>
      <w:tr>
        <w:trPr>
          <w:cantSplit/>
        </w:trPr>
        <w:tc>
          <w:tcPr>
            <w:tcW w:type="dxa" w:w="5040"/>
            <w:vAlign w:val="top"/>
            <w:tcMar>
              <w:top w:w="70" w:type="dxa"/>
              <w:bottom w:w="70" w:type="dxa"/>
              <w:left w:w="70" w:type="dxa"/>
              <w:right w:w="70" w:type="dxa"/>
            </w:tcMar>
          </w:tcPr>
          <w:p>
            <w:pPr>
              <w:pStyle w:val="TableText"/>
              <w:keepLines/>
            </w:pPr>
            <w:r>
              <w:rPr>
                <w:color w:val="000000"/>
                <w:sz w:val="21"/>
              </w:rPr>
              <w:t>Focused inspection</w:t>
            </w:r>
          </w:p>
        </w:tc>
        <w:tc>
          <w:tcPr>
            <w:tcW w:type="dxa" w:w="4464"/>
            <w:vAlign w:val="top"/>
            <w:tcMar>
              <w:top w:w="70" w:type="dxa"/>
              <w:bottom w:w="70" w:type="dxa"/>
              <w:left w:w="70" w:type="dxa"/>
              <w:right w:w="70" w:type="dxa"/>
            </w:tcMar>
          </w:tcPr>
          <w:p>
            <w:pPr>
              <w:pStyle w:val="TableText"/>
              <w:keepLines/>
            </w:pPr>
            <w:r>
              <w:rPr>
                <w:color w:val="000000"/>
                <w:sz w:val="21"/>
              </w:rPr>
              <w:t>3 of 8 recorded fields; 2 of 3 resources</w:t>
            </w:r>
          </w:p>
        </w:tc>
      </w:tr>
    </w:tbl>
    <w:p>
      <w:pPr>
        <w:spacing w:after="0"/>
      </w:pPr>
    </w:p>
    <w:p>
      <w:pPr>
        <w:keepLines/>
        <w:jc w:val="center"/>
      </w:pPr>
      <w:r>
        <w:rPr>
          <w:color w:val="000000"/>
        </w:rPr>
        <w:drawing>
          <wp:inline xmlns:a="http://schemas.openxmlformats.org/drawingml/2006/main" xmlns:pic="http://schemas.openxmlformats.org/drawingml/2006/picture">
            <wp:extent cx="5852160" cy="2762106"/>
            <wp:docPr id="8" name="Picture 8"/>
            <wp:cNvGraphicFramePr>
              <a:graphicFrameLocks noChangeAspect="1"/>
            </wp:cNvGraphicFramePr>
            <a:graphic>
              <a:graphicData uri="http://schemas.openxmlformats.org/drawingml/2006/picture">
                <pic:pic>
                  <pic:nvPicPr>
                    <pic:cNvPr id="0" name="latency_comparison.png"/>
                    <pic:cNvPicPr/>
                  </pic:nvPicPr>
                  <pic:blipFill>
                    <a:blip r:embed="rId14"/>
                    <a:stretch>
                      <a:fillRect/>
                    </a:stretch>
                  </pic:blipFill>
                  <pic:spPr>
                    <a:xfrm>
                      <a:off x="0" y="0"/>
                      <a:ext cx="5852160" cy="2762106"/>
                    </a:xfrm>
                    <a:prstGeom prst="rect"/>
                  </pic:spPr>
                </pic:pic>
              </a:graphicData>
            </a:graphic>
          </wp:inline>
        </w:drawing>
      </w:r>
    </w:p>
    <w:p>
      <w:pPr>
        <w:pStyle w:val="Caption"/>
        <w:jc w:val="center"/>
      </w:pPr>
      <w:r>
        <w:rPr>
          <w:color w:val="000000"/>
        </w:rPr>
        <w:t>Figure 3. Measured normal and controlled-condition transfer-handler latency. Values are from the frozen local study; client round-trip time is a separate measurement.</w:t>
      </w:r>
    </w:p>
    <w:p>
      <w:r>
        <w:rPr>
          <w:color w:val="000000"/>
        </w:rPr>
        <w:t>The observed delay was generated by a bounded wait inside the Ledger Service. The component and application-processing mechanism matched independent experimental annotations in all three repetitions. These cases represent one deliberately introduced mechanism and do not establish accuracy across banking faults.</w:t>
      </w:r>
    </w:p>
    <w:p>
      <w:pPr>
        <w:pStyle w:val="Heading2"/>
      </w:pPr>
      <w:r>
        <w:rPr>
          <w:color w:val="000000"/>
        </w:rPr>
        <w:t>10.3 GNN and Baseline Comparison</w:t>
      </w:r>
    </w:p>
    <w:p>
      <w:pPr>
        <w:pStyle w:val="Caption"/>
        <w:keepNext/>
        <w:jc w:val="center"/>
      </w:pPr>
      <w:r>
        <w:rPr>
          <w:color w:val="000000"/>
        </w:rPr>
        <w:t>Table 9. Banking next-request prediction comparison</w:t>
      </w:r>
    </w:p>
    <w:tbl>
      <w:tblPr>
        <w:tblStyle w:val="TableGrid"/>
        <w:tblW w:type="auto" w:w="0"/>
        <w:jc w:val="center"/>
        <w:tblLayout w:type="fixed"/>
        <w:tblLook w:firstColumn="1" w:firstRow="1" w:lastColumn="0" w:lastRow="0" w:noHBand="0" w:noVBand="1" w:val="04A0"/>
      </w:tblPr>
      <w:tblGrid>
        <w:gridCol w:w="4608"/>
        <w:gridCol w:w="2448"/>
        <w:gridCol w:w="2448"/>
      </w:tblGrid>
      <w:tr>
        <w:trPr>
          <w:tblHeader w:val="true"/>
          <w:cantSplit/>
          <w:tblHeader/>
        </w:trPr>
        <w:tc>
          <w:tcPr>
            <w:tcW w:type="dxa" w:w="4608"/>
            <w:shd w:fill="EDEDED"/>
            <w:tcMar>
              <w:top w:w="70" w:type="dxa"/>
              <w:bottom w:w="70" w:type="dxa"/>
              <w:left w:w="70" w:type="dxa"/>
              <w:right w:w="70" w:type="dxa"/>
            </w:tcMar>
            <w:vAlign w:val="top"/>
          </w:tcPr>
          <w:p>
            <w:pPr>
              <w:pStyle w:val="TableText"/>
              <w:keepNext/>
            </w:pPr>
            <w:r>
              <w:rPr>
                <w:b/>
                <w:color w:val="000000"/>
                <w:sz w:val="20"/>
              </w:rPr>
              <w:t>Measure</w:t>
            </w:r>
          </w:p>
        </w:tc>
        <w:tc>
          <w:tcPr>
            <w:tcW w:type="dxa" w:w="2448"/>
            <w:shd w:fill="EDEDED"/>
            <w:tcMar>
              <w:top w:w="70" w:type="dxa"/>
              <w:bottom w:w="70" w:type="dxa"/>
              <w:left w:w="70" w:type="dxa"/>
              <w:right w:w="70" w:type="dxa"/>
            </w:tcMar>
            <w:vAlign w:val="top"/>
          </w:tcPr>
          <w:p>
            <w:pPr>
              <w:pStyle w:val="TableText"/>
              <w:keepNext/>
            </w:pPr>
            <w:r>
              <w:rPr>
                <w:b/>
                <w:color w:val="000000"/>
                <w:sz w:val="20"/>
              </w:rPr>
              <w:t>Feature-only</w:t>
            </w:r>
          </w:p>
        </w:tc>
        <w:tc>
          <w:tcPr>
            <w:tcW w:type="dxa" w:w="2448"/>
            <w:shd w:fill="EDEDED"/>
            <w:tcMar>
              <w:top w:w="70" w:type="dxa"/>
              <w:bottom w:w="70" w:type="dxa"/>
              <w:left w:w="70" w:type="dxa"/>
              <w:right w:w="70" w:type="dxa"/>
            </w:tcMar>
            <w:vAlign w:val="top"/>
          </w:tcPr>
          <w:p>
            <w:pPr>
              <w:pStyle w:val="TableText"/>
              <w:keepNext/>
            </w:pPr>
            <w:r>
              <w:rPr>
                <w:b/>
                <w:color w:val="000000"/>
                <w:sz w:val="20"/>
              </w:rPr>
              <w:t>Graph model</w:t>
            </w:r>
          </w:p>
        </w:tc>
      </w:tr>
      <w:tr>
        <w:trPr>
          <w:cantSplit/>
        </w:trPr>
        <w:tc>
          <w:tcPr>
            <w:tcW w:type="dxa" w:w="4608"/>
            <w:vAlign w:val="top"/>
            <w:tcMar>
              <w:top w:w="70" w:type="dxa"/>
              <w:bottom w:w="70" w:type="dxa"/>
              <w:left w:w="70" w:type="dxa"/>
              <w:right w:w="70" w:type="dxa"/>
            </w:tcMar>
          </w:tcPr>
          <w:p>
            <w:pPr>
              <w:pStyle w:val="TableText"/>
              <w:keepLines/>
            </w:pPr>
            <w:r>
              <w:rPr>
                <w:color w:val="000000"/>
                <w:sz w:val="20"/>
              </w:rPr>
              <w:t>Training / validation / test requests</w:t>
            </w:r>
          </w:p>
        </w:tc>
        <w:tc>
          <w:tcPr>
            <w:tcW w:type="dxa" w:w="2448"/>
            <w:vAlign w:val="top"/>
            <w:tcMar>
              <w:top w:w="70" w:type="dxa"/>
              <w:bottom w:w="70" w:type="dxa"/>
              <w:left w:w="70" w:type="dxa"/>
              <w:right w:w="70" w:type="dxa"/>
            </w:tcMar>
          </w:tcPr>
          <w:p>
            <w:pPr>
              <w:pStyle w:val="TableText"/>
              <w:keepLines/>
            </w:pPr>
            <w:r>
              <w:rPr>
                <w:color w:val="000000"/>
                <w:sz w:val="20"/>
              </w:rPr>
              <w:t>54 / 18 / 18</w:t>
            </w:r>
          </w:p>
        </w:tc>
        <w:tc>
          <w:tcPr>
            <w:tcW w:type="dxa" w:w="2448"/>
            <w:vAlign w:val="top"/>
            <w:tcMar>
              <w:top w:w="70" w:type="dxa"/>
              <w:bottom w:w="70" w:type="dxa"/>
              <w:left w:w="70" w:type="dxa"/>
              <w:right w:w="70" w:type="dxa"/>
            </w:tcMar>
          </w:tcPr>
          <w:p>
            <w:pPr>
              <w:pStyle w:val="TableText"/>
              <w:keepLines/>
            </w:pPr>
            <w:r>
              <w:rPr>
                <w:color w:val="000000"/>
                <w:sz w:val="20"/>
              </w:rPr>
              <w:t>54 / 18 / 18</w:t>
            </w:r>
          </w:p>
        </w:tc>
      </w:tr>
      <w:tr>
        <w:trPr>
          <w:cantSplit/>
        </w:trPr>
        <w:tc>
          <w:tcPr>
            <w:tcW w:type="dxa" w:w="4608"/>
            <w:vAlign w:val="top"/>
            <w:shd w:fill="FAFAFA"/>
            <w:tcMar>
              <w:top w:w="70" w:type="dxa"/>
              <w:bottom w:w="70" w:type="dxa"/>
              <w:left w:w="70" w:type="dxa"/>
              <w:right w:w="70" w:type="dxa"/>
            </w:tcMar>
          </w:tcPr>
          <w:p>
            <w:pPr>
              <w:pStyle w:val="TableText"/>
              <w:keepLines/>
            </w:pPr>
            <w:r>
              <w:rPr>
                <w:color w:val="000000"/>
                <w:sz w:val="20"/>
              </w:rPr>
              <w:t>Held-out masked next-request MSE</w:t>
            </w:r>
          </w:p>
        </w:tc>
        <w:tc>
          <w:tcPr>
            <w:tcW w:type="dxa" w:w="2448"/>
            <w:vAlign w:val="top"/>
            <w:shd w:fill="FAFAFA"/>
            <w:tcMar>
              <w:top w:w="70" w:type="dxa"/>
              <w:bottom w:w="70" w:type="dxa"/>
              <w:left w:w="70" w:type="dxa"/>
              <w:right w:w="70" w:type="dxa"/>
            </w:tcMar>
          </w:tcPr>
          <w:p>
            <w:pPr>
              <w:pStyle w:val="TableText"/>
              <w:keepLines/>
            </w:pPr>
            <w:r>
              <w:rPr>
                <w:color w:val="000000"/>
                <w:sz w:val="20"/>
              </w:rPr>
              <w:t>0.574412</w:t>
            </w:r>
          </w:p>
        </w:tc>
        <w:tc>
          <w:tcPr>
            <w:tcW w:type="dxa" w:w="2448"/>
            <w:vAlign w:val="top"/>
            <w:shd w:fill="FAFAFA"/>
            <w:tcMar>
              <w:top w:w="70" w:type="dxa"/>
              <w:bottom w:w="70" w:type="dxa"/>
              <w:left w:w="70" w:type="dxa"/>
              <w:right w:w="70" w:type="dxa"/>
            </w:tcMar>
          </w:tcPr>
          <w:p>
            <w:pPr>
              <w:pStyle w:val="TableText"/>
              <w:keepLines/>
            </w:pPr>
            <w:r>
              <w:rPr>
                <w:color w:val="000000"/>
                <w:sz w:val="20"/>
              </w:rPr>
              <w:t>0.575263</w:t>
            </w:r>
          </w:p>
        </w:tc>
      </w:tr>
      <w:tr>
        <w:trPr>
          <w:cantSplit/>
        </w:trPr>
        <w:tc>
          <w:tcPr>
            <w:tcW w:type="dxa" w:w="4608"/>
            <w:vAlign w:val="top"/>
            <w:tcMar>
              <w:top w:w="70" w:type="dxa"/>
              <w:bottom w:w="70" w:type="dxa"/>
              <w:left w:w="70" w:type="dxa"/>
              <w:right w:w="70" w:type="dxa"/>
            </w:tcMar>
          </w:tcPr>
          <w:p>
            <w:pPr>
              <w:pStyle w:val="TableText"/>
              <w:keepLines/>
            </w:pPr>
            <w:r>
              <w:rPr>
                <w:color w:val="000000"/>
                <w:sz w:val="20"/>
              </w:rPr>
              <w:t>Held-out prediction count</w:t>
            </w:r>
          </w:p>
        </w:tc>
        <w:tc>
          <w:tcPr>
            <w:tcW w:type="dxa" w:w="2448"/>
            <w:vAlign w:val="top"/>
            <w:tcMar>
              <w:top w:w="70" w:type="dxa"/>
              <w:bottom w:w="70" w:type="dxa"/>
              <w:left w:w="70" w:type="dxa"/>
              <w:right w:w="70" w:type="dxa"/>
            </w:tcMar>
          </w:tcPr>
          <w:p>
            <w:pPr>
              <w:pStyle w:val="TableText"/>
              <w:keepLines/>
            </w:pPr>
            <w:r>
              <w:rPr>
                <w:color w:val="000000"/>
                <w:sz w:val="20"/>
              </w:rPr>
              <w:t>17</w:t>
            </w:r>
          </w:p>
        </w:tc>
        <w:tc>
          <w:tcPr>
            <w:tcW w:type="dxa" w:w="2448"/>
            <w:vAlign w:val="top"/>
            <w:tcMar>
              <w:top w:w="70" w:type="dxa"/>
              <w:bottom w:w="70" w:type="dxa"/>
              <w:left w:w="70" w:type="dxa"/>
              <w:right w:w="70" w:type="dxa"/>
            </w:tcMar>
          </w:tcPr>
          <w:p>
            <w:pPr>
              <w:pStyle w:val="TableText"/>
              <w:keepLines/>
            </w:pPr>
            <w:r>
              <w:rPr>
                <w:color w:val="000000"/>
                <w:sz w:val="20"/>
              </w:rPr>
              <w:t>17</w:t>
            </w:r>
          </w:p>
        </w:tc>
      </w:tr>
      <w:tr>
        <w:trPr>
          <w:cantSplit/>
        </w:trPr>
        <w:tc>
          <w:tcPr>
            <w:tcW w:type="dxa" w:w="4608"/>
            <w:vAlign w:val="top"/>
            <w:shd w:fill="FAFAFA"/>
            <w:tcMar>
              <w:top w:w="70" w:type="dxa"/>
              <w:bottom w:w="70" w:type="dxa"/>
              <w:left w:w="70" w:type="dxa"/>
              <w:right w:w="70" w:type="dxa"/>
            </w:tcMar>
          </w:tcPr>
          <w:p>
            <w:pPr>
              <w:pStyle w:val="TableText"/>
              <w:keepLines/>
            </w:pPr>
            <w:r>
              <w:rPr>
                <w:color w:val="000000"/>
                <w:sz w:val="20"/>
              </w:rPr>
              <w:t>Normal residual false-alarm rate</w:t>
            </w:r>
          </w:p>
        </w:tc>
        <w:tc>
          <w:tcPr>
            <w:tcW w:type="dxa" w:w="2448"/>
            <w:vAlign w:val="top"/>
            <w:shd w:fill="FAFAFA"/>
            <w:tcMar>
              <w:top w:w="70" w:type="dxa"/>
              <w:bottom w:w="70" w:type="dxa"/>
              <w:left w:w="70" w:type="dxa"/>
              <w:right w:w="70" w:type="dxa"/>
            </w:tcMar>
          </w:tcPr>
          <w:p>
            <w:pPr>
              <w:pStyle w:val="TableText"/>
              <w:keepLines/>
            </w:pPr>
            <w:r>
              <w:rPr>
                <w:color w:val="000000"/>
                <w:sz w:val="20"/>
              </w:rPr>
              <w:t>17.65%</w:t>
            </w:r>
          </w:p>
        </w:tc>
        <w:tc>
          <w:tcPr>
            <w:tcW w:type="dxa" w:w="2448"/>
            <w:vAlign w:val="top"/>
            <w:shd w:fill="FAFAFA"/>
            <w:tcMar>
              <w:top w:w="70" w:type="dxa"/>
              <w:bottom w:w="70" w:type="dxa"/>
              <w:left w:w="70" w:type="dxa"/>
              <w:right w:w="70" w:type="dxa"/>
            </w:tcMar>
          </w:tcPr>
          <w:p>
            <w:pPr>
              <w:pStyle w:val="TableText"/>
              <w:keepLines/>
            </w:pPr>
            <w:r>
              <w:rPr>
                <w:color w:val="000000"/>
                <w:sz w:val="20"/>
              </w:rPr>
              <w:t>23.53%</w:t>
            </w:r>
          </w:p>
        </w:tc>
      </w:tr>
      <w:tr>
        <w:trPr>
          <w:cantSplit/>
        </w:trPr>
        <w:tc>
          <w:tcPr>
            <w:tcW w:type="dxa" w:w="4608"/>
            <w:vAlign w:val="top"/>
            <w:tcMar>
              <w:top w:w="70" w:type="dxa"/>
              <w:bottom w:w="70" w:type="dxa"/>
              <w:left w:w="70" w:type="dxa"/>
              <w:right w:w="70" w:type="dxa"/>
            </w:tcMar>
          </w:tcPr>
          <w:p>
            <w:pPr>
              <w:pStyle w:val="TableText"/>
              <w:keepLines/>
            </w:pPr>
            <w:r>
              <w:rPr>
                <w:color w:val="000000"/>
                <w:sz w:val="20"/>
              </w:rPr>
              <w:t>Controlled residual Top-1</w:t>
            </w:r>
          </w:p>
        </w:tc>
        <w:tc>
          <w:tcPr>
            <w:tcW w:type="dxa" w:w="2448"/>
            <w:vAlign w:val="top"/>
            <w:tcMar>
              <w:top w:w="70" w:type="dxa"/>
              <w:bottom w:w="70" w:type="dxa"/>
              <w:left w:w="70" w:type="dxa"/>
              <w:right w:w="70" w:type="dxa"/>
            </w:tcMar>
          </w:tcPr>
          <w:p>
            <w:pPr>
              <w:pStyle w:val="TableText"/>
              <w:keepLines/>
            </w:pPr>
            <w:r>
              <w:rPr>
                <w:color w:val="000000"/>
                <w:sz w:val="20"/>
              </w:rPr>
              <w:t>3 / 3</w:t>
            </w:r>
          </w:p>
        </w:tc>
        <w:tc>
          <w:tcPr>
            <w:tcW w:type="dxa" w:w="2448"/>
            <w:vAlign w:val="top"/>
            <w:tcMar>
              <w:top w:w="70" w:type="dxa"/>
              <w:bottom w:w="70" w:type="dxa"/>
              <w:left w:w="70" w:type="dxa"/>
              <w:right w:w="70" w:type="dxa"/>
            </w:tcMar>
          </w:tcPr>
          <w:p>
            <w:pPr>
              <w:pStyle w:val="TableText"/>
              <w:keepLines/>
            </w:pPr>
            <w:r>
              <w:rPr>
                <w:color w:val="000000"/>
                <w:sz w:val="20"/>
              </w:rPr>
              <w:t>3 / 3</w:t>
            </w:r>
          </w:p>
        </w:tc>
      </w:tr>
      <w:tr>
        <w:trPr>
          <w:cantSplit/>
        </w:trPr>
        <w:tc>
          <w:tcPr>
            <w:tcW w:type="dxa" w:w="4608"/>
            <w:vAlign w:val="top"/>
            <w:shd w:fill="FAFAFA"/>
            <w:tcMar>
              <w:top w:w="70" w:type="dxa"/>
              <w:bottom w:w="70" w:type="dxa"/>
              <w:left w:w="70" w:type="dxa"/>
              <w:right w:w="70" w:type="dxa"/>
            </w:tcMar>
          </w:tcPr>
          <w:p>
            <w:pPr>
              <w:pStyle w:val="TableText"/>
              <w:keepLines/>
            </w:pPr>
            <w:r>
              <w:rPr>
                <w:color w:val="000000"/>
                <w:sz w:val="20"/>
              </w:rPr>
              <w:t>Primary diagnosis ranking used</w:t>
            </w:r>
          </w:p>
        </w:tc>
        <w:tc>
          <w:tcPr>
            <w:tcW w:type="dxa" w:w="2448"/>
            <w:vAlign w:val="top"/>
            <w:shd w:fill="FAFAFA"/>
            <w:tcMar>
              <w:top w:w="70" w:type="dxa"/>
              <w:bottom w:w="70" w:type="dxa"/>
              <w:left w:w="70" w:type="dxa"/>
              <w:right w:w="70" w:type="dxa"/>
            </w:tcMar>
          </w:tcPr>
          <w:p>
            <w:pPr>
              <w:pStyle w:val="TableText"/>
              <w:keepLines/>
            </w:pPr>
            <w:r>
              <w:rPr>
                <w:color w:val="000000"/>
                <w:sz w:val="20"/>
              </w:rPr>
              <w:t>No</w:t>
            </w:r>
          </w:p>
        </w:tc>
        <w:tc>
          <w:tcPr>
            <w:tcW w:type="dxa" w:w="2448"/>
            <w:vAlign w:val="top"/>
            <w:shd w:fill="FAFAFA"/>
            <w:tcMar>
              <w:top w:w="70" w:type="dxa"/>
              <w:bottom w:w="70" w:type="dxa"/>
              <w:left w:w="70" w:type="dxa"/>
              <w:right w:w="70" w:type="dxa"/>
            </w:tcMar>
          </w:tcPr>
          <w:p>
            <w:pPr>
              <w:pStyle w:val="TableText"/>
              <w:keepLines/>
            </w:pPr>
            <w:r>
              <w:rPr>
                <w:color w:val="000000"/>
                <w:sz w:val="20"/>
              </w:rPr>
              <w:t>No</w:t>
            </w:r>
          </w:p>
        </w:tc>
      </w:tr>
    </w:tbl>
    <w:p>
      <w:pPr>
        <w:spacing w:after="0"/>
      </w:pPr>
    </w:p>
    <w:p>
      <w:pPr>
        <w:keepLines/>
        <w:jc w:val="center"/>
      </w:pPr>
      <w:r>
        <w:rPr>
          <w:color w:val="000000"/>
        </w:rPr>
        <w:drawing>
          <wp:inline xmlns:a="http://schemas.openxmlformats.org/drawingml/2006/main" xmlns:pic="http://schemas.openxmlformats.org/drawingml/2006/picture">
            <wp:extent cx="5577840" cy="2355088"/>
            <wp:docPr id="9" name="Picture 9"/>
            <wp:cNvGraphicFramePr>
              <a:graphicFrameLocks noChangeAspect="1"/>
            </wp:cNvGraphicFramePr>
            <a:graphic>
              <a:graphicData uri="http://schemas.openxmlformats.org/drawingml/2006/picture">
                <pic:pic>
                  <pic:nvPicPr>
                    <pic:cNvPr id="0" name="gnn_comparison.png"/>
                    <pic:cNvPicPr/>
                  </pic:nvPicPr>
                  <pic:blipFill>
                    <a:blip r:embed="rId15"/>
                    <a:stretch>
                      <a:fillRect/>
                    </a:stretch>
                  </pic:blipFill>
                  <pic:spPr>
                    <a:xfrm>
                      <a:off x="0" y="0"/>
                      <a:ext cx="5577840" cy="2355088"/>
                    </a:xfrm>
                    <a:prstGeom prst="rect"/>
                  </pic:spPr>
                </pic:pic>
              </a:graphicData>
            </a:graphic>
          </wp:inline>
        </w:drawing>
      </w:r>
    </w:p>
    <w:p>
      <w:pPr>
        <w:pStyle w:val="Caption"/>
        <w:jc w:val="center"/>
      </w:pPr>
      <w:r>
        <w:rPr>
          <w:color w:val="000000"/>
        </w:rPr>
        <w:t>Figure 4. Held-out prediction error for compatible banking graph and feature-only models. Lower values indicate smaller prediction error.</w:t>
      </w:r>
    </w:p>
    <w:p>
      <w:r>
        <w:rPr>
          <w:color w:val="000000"/>
        </w:rPr>
        <w:t>The graph predictor was evaluated on a compatible measured banking graph. It did not improve normal next-request prediction error or controlled root localization over the feature-only comparison. The primary root-cause ranking therefore retained direct measured execution evidence.</w:t>
      </w:r>
    </w:p>
    <w:p>
      <w:pPr>
        <w:pStyle w:val="Heading2"/>
      </w:pPr>
      <w:r>
        <w:rPr>
          <w:color w:val="000000"/>
        </w:rPr>
        <w:t>10.4 Preserved External Benchmark Results</w:t>
      </w:r>
    </w:p>
    <w:p>
      <w:r>
        <w:rPr>
          <w:color w:val="000000"/>
        </w:rPr>
        <w:t>Independent, earlier recorded research results included Microsoft median/MAD F1 = 0.3269, RCAEval RE1 service Top-1 = 60% and Top-3 = 86.67% on 30 held-out cases, and a separate five-case RE2 graph comparison tied at 60% Top-1 for graph and identity baselines. These values concern different sources and test designs; they were not pooled or presented as banking-lab accuracy.</w:t>
      </w:r>
    </w:p>
    <w:p>
      <w:pPr>
        <w:pStyle w:val="Heading2"/>
      </w:pPr>
      <w:r>
        <w:rPr>
          <w:color w:val="000000"/>
        </w:rPr>
        <w:t>10.5 Results Summary</w:t>
      </w:r>
    </w:p>
    <w:p>
      <w:r>
        <w:rPr>
          <w:color w:val="000000"/>
        </w:rPr>
        <w:t>The frozen banking study demonstrated anomaly detection, probable Ledger Service origin, application-processing-delay evidence, conditional guidance, and measured return toward baseline. The new AWS integration separately demonstrated publication and retrieval of genuine banking telemetry and its presentation in Cloud Monitoring. Numerical research conclusions remain tied to the frozen banking report; the ten-request cloud subset verifies integration behavior only.</w:t>
      </w:r>
    </w:p>
    <w:p>
      <w:pPr>
        <w:pStyle w:val="Heading1"/>
      </w:pPr>
      <w:r>
        <w:rPr>
          <w:color w:val="000000"/>
        </w:rPr>
        <w:t>11. Discussion, Limitations, and Risk Analysis</w:t>
      </w:r>
    </w:p>
    <w:p>
      <w:pPr>
        <w:pStyle w:val="Heading2"/>
      </w:pPr>
      <w:r>
        <w:rPr>
          <w:color w:val="000000"/>
        </w:rPr>
        <w:t>11.1 Discussion</w:t>
      </w:r>
    </w:p>
    <w:p>
      <w:r>
        <w:rPr>
          <w:color w:val="000000"/>
        </w:rPr>
        <w:t>Trace-level own-time attribution was useful in separating inherited banking API latency from execution time spent in the Ledger Service. Independent fault annotations provided a meaningful check on predicted service and mechanism labels. However, the laboratory scope was deliberately narrow, and the GNN comparison did not establish improved accuracy.</w:t>
      </w:r>
    </w:p>
    <w:p>
      <w:pPr>
        <w:pStyle w:val="Heading2"/>
      </w:pPr>
      <w:r>
        <w:rPr>
          <w:color w:val="000000"/>
        </w:rPr>
        <w:t>11.2 Limitations</w:t>
      </w:r>
    </w:p>
    <w:p>
      <w:pPr>
        <w:pStyle w:val="ListBullet"/>
      </w:pPr>
      <w:r>
        <w:rPr>
          <w:color w:val="000000"/>
        </w:rPr>
        <w:t>The academic banking workload ran on one local Windows machine with a dedicated SQLite database, not on AWS.</w:t>
      </w:r>
    </w:p>
    <w:p>
      <w:pPr>
        <w:pStyle w:val="ListBullet"/>
      </w:pPr>
      <w:r>
        <w:rPr>
          <w:color w:val="000000"/>
        </w:rPr>
        <w:t>The controlled fault study contained only three repetitions of one intentionally introduced application-delay mechanism.</w:t>
      </w:r>
    </w:p>
    <w:p>
      <w:pPr>
        <w:pStyle w:val="ListBullet"/>
      </w:pPr>
      <w:r>
        <w:rPr>
          <w:color w:val="000000"/>
        </w:rPr>
        <w:t>PostgreSQL locking, packet loss, memory saturation, and live AWS banking faults were not independently demonstrated.</w:t>
      </w:r>
    </w:p>
    <w:p>
      <w:pPr>
        <w:pStyle w:val="ListBullet"/>
      </w:pPr>
      <w:r>
        <w:rPr>
          <w:color w:val="000000"/>
        </w:rPr>
        <w:t>Graph-based prediction did not outperform the feature-only baseline; graph evidence was not used as the final root-service ranking authority.</w:t>
      </w:r>
    </w:p>
    <w:p>
      <w:pPr>
        <w:pStyle w:val="ListBullet"/>
      </w:pPr>
      <w:r>
        <w:rPr>
          <w:color w:val="000000"/>
        </w:rPr>
        <w:t>The observed 0/54 normal false alarms is a small same-machine result, not a reliability guarantee.</w:t>
      </w:r>
    </w:p>
    <w:p>
      <w:pPr>
        <w:pStyle w:val="ListBullet"/>
      </w:pPr>
      <w:r>
        <w:rPr>
          <w:color w:val="000000"/>
        </w:rPr>
        <w:t>Benchmark sources have different schemas and labels; their results cannot be merged into one banking-wide accuracy figure.</w:t>
      </w:r>
    </w:p>
    <w:p>
      <w:pPr>
        <w:pStyle w:val="ListBullet"/>
      </w:pPr>
      <w:r>
        <w:rPr>
          <w:color w:val="000000"/>
        </w:rPr>
        <w:t>Fault-label agreement and subsequent latency improvement do not constitute formal proof of physical causality.</w:t>
      </w:r>
    </w:p>
    <w:p>
      <w:pPr>
        <w:pStyle w:val="Heading2"/>
      </w:pPr>
      <w:r>
        <w:rPr>
          <w:color w:val="000000"/>
        </w:rPr>
        <w:t>11.3 Risk Assessment and Mitigation</w:t>
      </w:r>
    </w:p>
    <w:tbl>
      <w:tblPr>
        <w:tblStyle w:val="TableGrid"/>
        <w:tblW w:type="auto" w:w="0"/>
        <w:jc w:val="center"/>
        <w:tblLayout w:type="fixed"/>
        <w:tblLook w:firstColumn="1" w:firstRow="1" w:lastColumn="0" w:lastRow="0" w:noHBand="0" w:noVBand="1" w:val="04A0"/>
      </w:tblPr>
      <w:tblGrid>
        <w:gridCol w:w="2002"/>
        <w:gridCol w:w="4018"/>
        <w:gridCol w:w="3485"/>
      </w:tblGrid>
      <w:tr>
        <w:trPr>
          <w:tblHeader w:val="true"/>
          <w:cantSplit/>
          <w:tblHeader/>
        </w:trPr>
        <w:tc>
          <w:tcPr>
            <w:tcW w:type="dxa" w:w="2002"/>
            <w:shd w:fill="EDEDED"/>
            <w:tcMar>
              <w:top w:w="70" w:type="dxa"/>
              <w:bottom w:w="70" w:type="dxa"/>
              <w:left w:w="70" w:type="dxa"/>
              <w:right w:w="70" w:type="dxa"/>
            </w:tcMar>
            <w:vAlign w:val="top"/>
          </w:tcPr>
          <w:p>
            <w:pPr>
              <w:pStyle w:val="TableText"/>
              <w:keepNext/>
            </w:pPr>
            <w:r>
              <w:rPr>
                <w:b/>
                <w:color w:val="000000"/>
                <w:sz w:val="20"/>
              </w:rPr>
              <w:t>Risk</w:t>
            </w:r>
          </w:p>
        </w:tc>
        <w:tc>
          <w:tcPr>
            <w:tcW w:type="dxa" w:w="4018"/>
            <w:shd w:fill="EDEDED"/>
            <w:tcMar>
              <w:top w:w="70" w:type="dxa"/>
              <w:bottom w:w="70" w:type="dxa"/>
              <w:left w:w="70" w:type="dxa"/>
              <w:right w:w="70" w:type="dxa"/>
            </w:tcMar>
            <w:vAlign w:val="top"/>
          </w:tcPr>
          <w:p>
            <w:pPr>
              <w:pStyle w:val="TableText"/>
              <w:keepNext/>
            </w:pPr>
            <w:r>
              <w:rPr>
                <w:b/>
                <w:color w:val="000000"/>
                <w:sz w:val="20"/>
              </w:rPr>
              <w:t>Control in implemented study</w:t>
            </w:r>
          </w:p>
        </w:tc>
        <w:tc>
          <w:tcPr>
            <w:tcW w:type="dxa" w:w="3485"/>
            <w:shd w:fill="EDEDED"/>
            <w:tcMar>
              <w:top w:w="70" w:type="dxa"/>
              <w:bottom w:w="70" w:type="dxa"/>
              <w:left w:w="70" w:type="dxa"/>
              <w:right w:w="70" w:type="dxa"/>
            </w:tcMar>
            <w:vAlign w:val="top"/>
          </w:tcPr>
          <w:p>
            <w:pPr>
              <w:pStyle w:val="TableText"/>
              <w:keepNext/>
            </w:pPr>
            <w:r>
              <w:rPr>
                <w:b/>
                <w:color w:val="000000"/>
                <w:sz w:val="20"/>
              </w:rPr>
              <w:t>Remaining exposure</w:t>
            </w:r>
          </w:p>
        </w:tc>
      </w:tr>
      <w:tr>
        <w:trPr>
          <w:cantSplit/>
        </w:trPr>
        <w:tc>
          <w:tcPr>
            <w:tcW w:type="dxa" w:w="2002"/>
            <w:vAlign w:val="top"/>
            <w:tcMar>
              <w:top w:w="70" w:type="dxa"/>
              <w:bottom w:w="70" w:type="dxa"/>
              <w:left w:w="70" w:type="dxa"/>
              <w:right w:w="70" w:type="dxa"/>
            </w:tcMar>
          </w:tcPr>
          <w:p>
            <w:pPr>
              <w:pStyle w:val="TableText"/>
              <w:keepLines/>
            </w:pPr>
            <w:r>
              <w:rPr>
                <w:color w:val="000000"/>
                <w:sz w:val="20"/>
              </w:rPr>
              <w:t>Accidental operational disruption</w:t>
            </w:r>
          </w:p>
        </w:tc>
        <w:tc>
          <w:tcPr>
            <w:tcW w:type="dxa" w:w="4018"/>
            <w:vAlign w:val="top"/>
            <w:tcMar>
              <w:top w:w="70" w:type="dxa"/>
              <w:bottom w:w="70" w:type="dxa"/>
              <w:left w:w="70" w:type="dxa"/>
              <w:right w:w="70" w:type="dxa"/>
            </w:tcMar>
          </w:tcPr>
          <w:p>
            <w:pPr>
              <w:pStyle w:val="TableText"/>
              <w:keepLines/>
            </w:pPr>
            <w:r>
              <w:rPr>
                <w:color w:val="000000"/>
                <w:sz w:val="20"/>
              </w:rPr>
              <w:t>Dedicated localhost services; bounded explicit intervention</w:t>
            </w:r>
          </w:p>
        </w:tc>
        <w:tc>
          <w:tcPr>
            <w:tcW w:type="dxa" w:w="3485"/>
            <w:vAlign w:val="top"/>
            <w:tcMar>
              <w:top w:w="70" w:type="dxa"/>
              <w:bottom w:w="70" w:type="dxa"/>
              <w:left w:w="70" w:type="dxa"/>
              <w:right w:w="70" w:type="dxa"/>
            </w:tcMar>
          </w:tcPr>
          <w:p>
            <w:pPr>
              <w:pStyle w:val="TableText"/>
              <w:keepLines/>
            </w:pPr>
            <w:r>
              <w:rPr>
                <w:color w:val="000000"/>
                <w:sz w:val="20"/>
              </w:rPr>
              <w:t>Other untested fault types</w:t>
            </w:r>
          </w:p>
        </w:tc>
      </w:tr>
      <w:tr>
        <w:trPr>
          <w:cantSplit/>
        </w:trPr>
        <w:tc>
          <w:tcPr>
            <w:tcW w:type="dxa" w:w="2002"/>
            <w:vAlign w:val="top"/>
            <w:shd w:fill="FAFAFA"/>
            <w:tcMar>
              <w:top w:w="70" w:type="dxa"/>
              <w:bottom w:w="70" w:type="dxa"/>
              <w:left w:w="70" w:type="dxa"/>
              <w:right w:w="70" w:type="dxa"/>
            </w:tcMar>
          </w:tcPr>
          <w:p>
            <w:pPr>
              <w:pStyle w:val="TableText"/>
              <w:keepLines/>
            </w:pPr>
            <w:r>
              <w:rPr>
                <w:color w:val="000000"/>
                <w:sz w:val="20"/>
              </w:rPr>
              <w:t>Incorrect diagnosis</w:t>
            </w:r>
          </w:p>
        </w:tc>
        <w:tc>
          <w:tcPr>
            <w:tcW w:type="dxa" w:w="4018"/>
            <w:vAlign w:val="top"/>
            <w:shd w:fill="FAFAFA"/>
            <w:tcMar>
              <w:top w:w="70" w:type="dxa"/>
              <w:bottom w:w="70" w:type="dxa"/>
              <w:left w:w="70" w:type="dxa"/>
              <w:right w:w="70" w:type="dxa"/>
            </w:tcMar>
          </w:tcPr>
          <w:p>
            <w:pPr>
              <w:pStyle w:val="TableText"/>
              <w:keepLines/>
            </w:pPr>
            <w:r>
              <w:rPr>
                <w:color w:val="000000"/>
                <w:sz w:val="20"/>
              </w:rPr>
              <w:t>Evidence hypotheses and independent verification</w:t>
            </w:r>
          </w:p>
        </w:tc>
        <w:tc>
          <w:tcPr>
            <w:tcW w:type="dxa" w:w="3485"/>
            <w:vAlign w:val="top"/>
            <w:shd w:fill="FAFAFA"/>
            <w:tcMar>
              <w:top w:w="70" w:type="dxa"/>
              <w:bottom w:w="70" w:type="dxa"/>
              <w:left w:w="70" w:type="dxa"/>
              <w:right w:w="70" w:type="dxa"/>
            </w:tcMar>
          </w:tcPr>
          <w:p>
            <w:pPr>
              <w:pStyle w:val="TableText"/>
              <w:keepLines/>
            </w:pPr>
            <w:r>
              <w:rPr>
                <w:color w:val="000000"/>
                <w:sz w:val="20"/>
              </w:rPr>
              <w:t>Limited mechanism coverage</w:t>
            </w:r>
          </w:p>
        </w:tc>
      </w:tr>
      <w:tr>
        <w:trPr>
          <w:cantSplit/>
        </w:trPr>
        <w:tc>
          <w:tcPr>
            <w:tcW w:type="dxa" w:w="2002"/>
            <w:vAlign w:val="top"/>
            <w:tcMar>
              <w:top w:w="70" w:type="dxa"/>
              <w:bottom w:w="70" w:type="dxa"/>
              <w:left w:w="70" w:type="dxa"/>
              <w:right w:w="70" w:type="dxa"/>
            </w:tcMar>
          </w:tcPr>
          <w:p>
            <w:pPr>
              <w:pStyle w:val="TableText"/>
              <w:keepLines/>
            </w:pPr>
            <w:r>
              <w:rPr>
                <w:color w:val="000000"/>
                <w:sz w:val="20"/>
              </w:rPr>
              <w:t>Sensitive data disclosure</w:t>
            </w:r>
          </w:p>
        </w:tc>
        <w:tc>
          <w:tcPr>
            <w:tcW w:type="dxa" w:w="4018"/>
            <w:vAlign w:val="top"/>
            <w:tcMar>
              <w:top w:w="70" w:type="dxa"/>
              <w:bottom w:w="70" w:type="dxa"/>
              <w:left w:w="70" w:type="dxa"/>
              <w:right w:w="70" w:type="dxa"/>
            </w:tcMar>
          </w:tcPr>
          <w:p>
            <w:pPr>
              <w:pStyle w:val="TableText"/>
              <w:keepLines/>
            </w:pPr>
            <w:r>
              <w:rPr>
                <w:color w:val="000000"/>
                <w:sz w:val="20"/>
              </w:rPr>
              <w:t>Fictitious accounts; runtime files/credentials excluded</w:t>
            </w:r>
          </w:p>
        </w:tc>
        <w:tc>
          <w:tcPr>
            <w:tcW w:type="dxa" w:w="3485"/>
            <w:vAlign w:val="top"/>
            <w:tcMar>
              <w:top w:w="70" w:type="dxa"/>
              <w:bottom w:w="70" w:type="dxa"/>
              <w:left w:w="70" w:type="dxa"/>
              <w:right w:w="70" w:type="dxa"/>
            </w:tcMar>
          </w:tcPr>
          <w:p>
            <w:pPr>
              <w:pStyle w:val="TableText"/>
              <w:keepLines/>
            </w:pPr>
            <w:r>
              <w:rPr>
                <w:color w:val="000000"/>
                <w:sz w:val="20"/>
              </w:rPr>
              <w:t>Not certified for real banking data</w:t>
            </w:r>
          </w:p>
        </w:tc>
      </w:tr>
      <w:tr>
        <w:trPr>
          <w:cantSplit/>
        </w:trPr>
        <w:tc>
          <w:tcPr>
            <w:tcW w:type="dxa" w:w="2002"/>
            <w:vAlign w:val="top"/>
            <w:shd w:fill="FAFAFA"/>
            <w:tcMar>
              <w:top w:w="70" w:type="dxa"/>
              <w:bottom w:w="70" w:type="dxa"/>
              <w:left w:w="70" w:type="dxa"/>
              <w:right w:w="70" w:type="dxa"/>
            </w:tcMar>
          </w:tcPr>
          <w:p>
            <w:pPr>
              <w:pStyle w:val="TableText"/>
              <w:keepLines/>
            </w:pPr>
            <w:r>
              <w:rPr>
                <w:color w:val="000000"/>
                <w:sz w:val="20"/>
              </w:rPr>
              <w:t>Cloud permission or cost</w:t>
            </w:r>
          </w:p>
        </w:tc>
        <w:tc>
          <w:tcPr>
            <w:tcW w:type="dxa" w:w="4018"/>
            <w:vAlign w:val="top"/>
            <w:shd w:fill="FAFAFA"/>
            <w:tcMar>
              <w:top w:w="70" w:type="dxa"/>
              <w:bottom w:w="70" w:type="dxa"/>
              <w:left w:w="70" w:type="dxa"/>
              <w:right w:w="70" w:type="dxa"/>
            </w:tcMar>
          </w:tcPr>
          <w:p>
            <w:pPr>
              <w:pStyle w:val="TableText"/>
              <w:keepLines/>
            </w:pPr>
            <w:r>
              <w:rPr>
                <w:color w:val="000000"/>
                <w:sz w:val="20"/>
              </w:rPr>
              <w:t>Read-only discovery; no new cloud resource created</w:t>
            </w:r>
          </w:p>
        </w:tc>
        <w:tc>
          <w:tcPr>
            <w:tcW w:type="dxa" w:w="3485"/>
            <w:vAlign w:val="top"/>
            <w:shd w:fill="FAFAFA"/>
            <w:tcMar>
              <w:top w:w="70" w:type="dxa"/>
              <w:bottom w:w="70" w:type="dxa"/>
              <w:left w:w="70" w:type="dxa"/>
              <w:right w:w="70" w:type="dxa"/>
            </w:tcMar>
          </w:tcPr>
          <w:p>
            <w:pPr>
              <w:pStyle w:val="TableText"/>
              <w:keepLines/>
            </w:pPr>
            <w:r>
              <w:rPr>
                <w:color w:val="000000"/>
                <w:sz w:val="20"/>
              </w:rPr>
              <w:t>Cloud metric freshness varies by permission</w:t>
            </w:r>
          </w:p>
        </w:tc>
      </w:tr>
      <w:tr>
        <w:trPr>
          <w:cantSplit/>
        </w:trPr>
        <w:tc>
          <w:tcPr>
            <w:tcW w:type="dxa" w:w="2002"/>
            <w:vAlign w:val="top"/>
            <w:tcMar>
              <w:top w:w="70" w:type="dxa"/>
              <w:bottom w:w="70" w:type="dxa"/>
              <w:left w:w="70" w:type="dxa"/>
              <w:right w:w="70" w:type="dxa"/>
            </w:tcMar>
          </w:tcPr>
          <w:p>
            <w:pPr>
              <w:pStyle w:val="TableText"/>
              <w:keepLines/>
            </w:pPr>
            <w:r>
              <w:rPr>
                <w:color w:val="000000"/>
                <w:sz w:val="20"/>
              </w:rPr>
              <w:t>Reproducibility</w:t>
            </w:r>
          </w:p>
        </w:tc>
        <w:tc>
          <w:tcPr>
            <w:tcW w:type="dxa" w:w="4018"/>
            <w:vAlign w:val="top"/>
            <w:tcMar>
              <w:top w:w="70" w:type="dxa"/>
              <w:bottom w:w="70" w:type="dxa"/>
              <w:left w:w="70" w:type="dxa"/>
              <w:right w:w="70" w:type="dxa"/>
            </w:tcMar>
          </w:tcPr>
          <w:p>
            <w:pPr>
              <w:pStyle w:val="TableText"/>
              <w:keepLines/>
            </w:pPr>
            <w:r>
              <w:rPr>
                <w:color w:val="000000"/>
                <w:sz w:val="20"/>
              </w:rPr>
              <w:t>Frozen report selection and Git version reference</w:t>
            </w:r>
          </w:p>
        </w:tc>
        <w:tc>
          <w:tcPr>
            <w:tcW w:type="dxa" w:w="3485"/>
            <w:vAlign w:val="top"/>
            <w:tcMar>
              <w:top w:w="70" w:type="dxa"/>
              <w:bottom w:w="70" w:type="dxa"/>
              <w:left w:w="70" w:type="dxa"/>
              <w:right w:w="70" w:type="dxa"/>
            </w:tcMar>
          </w:tcPr>
          <w:p>
            <w:pPr>
              <w:pStyle w:val="TableText"/>
              <w:keepLines/>
            </w:pPr>
            <w:r>
              <w:rPr>
                <w:color w:val="000000"/>
                <w:sz w:val="20"/>
              </w:rPr>
              <w:t>Machine-specific latencies and narrow sample</w:t>
            </w:r>
          </w:p>
        </w:tc>
      </w:tr>
    </w:tbl>
    <w:p>
      <w:pPr>
        <w:spacing w:after="0"/>
      </w:pPr>
    </w:p>
    <w:p>
      <w:pPr>
        <w:pStyle w:val="Heading1"/>
      </w:pPr>
      <w:r>
        <w:rPr>
          <w:color w:val="000000"/>
        </w:rPr>
        <w:t>12. Team Contribution and GitHub Management</w:t>
      </w:r>
    </w:p>
    <w:p>
      <w:r>
        <w:rPr>
          <w:color w:val="000000"/>
        </w:rPr>
        <w:t>The project submission is attributed to Haris K (24BIT0468), Keshav Gokaram (24BIT0454), and Harish Kumar (24BIT0472), Third Year B.Tech Information Technology, VIT Vellore. This report presents the shared project deliverable. The repository record is used to establish implemented features and dated revisions; it is not treated as a reliable measure of individual contribution percentages.</w:t>
      </w:r>
    </w:p>
    <w:p>
      <w:pPr>
        <w:pStyle w:val="Heading2"/>
      </w:pPr>
      <w:r>
        <w:rPr>
          <w:color w:val="000000"/>
        </w:rPr>
        <w:t>12.1 GitHub Management</w:t>
      </w:r>
    </w:p>
    <w:p>
      <w:r>
        <w:rPr>
          <w:color w:val="000000"/>
        </w:rPr>
        <w:t>Source code, benchmark adapters, model definitions, scripts, and immutable experimental results are maintained in the project repository under the MIT license. Historical research artifacts remain available, while credentials, local operational databases, and raw monitored telemetry are excluded. The final review build was published on the main branch as commit 839b525 on 16 October 2026.</w:t>
      </w:r>
    </w:p>
    <w:p>
      <w:pPr>
        <w:pStyle w:val="Heading2"/>
      </w:pPr>
      <w:r>
        <w:rPr>
          <w:color w:val="000000"/>
        </w:rPr>
        <w:t>12.2 Contribution Evidence</w:t>
      </w:r>
    </w:p>
    <w:p>
      <w:r>
        <w:rPr>
          <w:color w:val="000000"/>
        </w:rPr>
        <w:t>The collective deliverable includes literature analysis, banking application implementation, observability integration, statistical and graph model experiments, dashboard development, reproducible testing, and submission documentation. Individual task assignment and review-paper allocation were not encoded in the verified repository metadata; no unsupported allocation is asserted.</w:t>
      </w:r>
    </w:p>
    <w:p>
      <w:pPr>
        <w:pStyle w:val="Heading1"/>
      </w:pPr>
      <w:r>
        <w:rPr>
          <w:color w:val="000000"/>
        </w:rPr>
        <w:t>13. Conclusion and Future Enhancements</w:t>
      </w:r>
    </w:p>
    <w:p>
      <w:pPr>
        <w:pStyle w:val="Heading2"/>
      </w:pPr>
      <w:r>
        <w:rPr>
          <w:color w:val="000000"/>
        </w:rPr>
        <w:t>13.1 Conclusion</w:t>
      </w:r>
    </w:p>
    <w:p>
      <w:r>
        <w:rPr>
          <w:color w:val="000000"/>
        </w:rPr>
        <w:t>The completed academic system connects actual test banking transactions with measured performance telemetry and a sequential root-cause investigation interface. In the frozen three-case application-delay study, the system detected the slowdown, localized the Ledger Service, identified a matching processing-delay hypothesis, and measured return toward the frozen reference. The compatible banking GNN did not establish an advantage over the feature-only predictor. The AWS extension additionally published ten genuine existing banking requests and retrieved their measurements through CloudWatch, with a dedicated dashboard panel and explicit local-workload provenance. CloudWatch storage and display are verified; cloud hosting, generalized cloud anomaly accuracy and causal recovery remain unestablished.</w:t>
      </w:r>
    </w:p>
    <w:p>
      <w:pPr>
        <w:pStyle w:val="Heading2"/>
      </w:pPr>
      <w:r>
        <w:rPr>
          <w:color w:val="000000"/>
        </w:rPr>
        <w:t>13.2 Future Enhancements</w:t>
      </w:r>
    </w:p>
    <w:p>
      <w:r>
        <w:rPr>
          <w:color w:val="000000"/>
        </w:rPr>
        <w:t>Potential subsequent work includes independently instrumented PostgreSQL wait and lock experiments, larger fault-type coverage, held-out cross-machine banking workloads, improved detector calibration, and verified cloud deployment of the banking services. The implemented CloudWatch integration requires longer independently labelled normal and abnormal banking windows before cloud anomaly performance, mechanism identification, or follow-up recovery can be evaluated.</w:t>
      </w:r>
    </w:p>
    <w:p>
      <w:pPr>
        <w:pStyle w:val="Heading1"/>
      </w:pPr>
      <w:r>
        <w:rPr>
          <w:color w:val="000000"/>
        </w:rPr>
        <w:t>References</w:t>
      </w:r>
    </w:p>
    <w:p>
      <w:pPr>
        <w:keepNext/>
      </w:pPr>
      <w:r>
        <w:rPr>
          <w:color w:val="000000"/>
        </w:rPr>
        <w:t>Research publications (APA-style references):</w:t>
      </w:r>
    </w:p>
    <w:p>
      <w:pPr>
        <w:spacing w:after="140" w:line="288" w:lineRule="auto"/>
        <w:ind w:left="403" w:hanging="403"/>
      </w:pPr>
      <w:r>
        <w:rPr>
          <w:color w:val="000000"/>
        </w:rPr>
        <w:t>Wu, L., Tordsson, J., Elmroth, E., &amp; Kao, O. (2020). MicroRCA: Root cause localization of performance issues in microservices. In NOMS 2020 - IEEE/IFIP Network Operations and Management Symposium (pp. 1–9). https://doi.org/10.1109/NOMS47738.2020.9110353</w:t>
      </w:r>
    </w:p>
    <w:p>
      <w:pPr>
        <w:spacing w:after="140" w:line="288" w:lineRule="auto"/>
        <w:ind w:left="403" w:hanging="403"/>
      </w:pPr>
      <w:r>
        <w:rPr>
          <w:color w:val="000000"/>
        </w:rPr>
        <w:t>Yu, G., Chen, P., Chen, H., Guan, Z., Huang, Z., Jing, L., Weng, T., Sun, X., &amp; Li, X. (2021). MicroRank: End-to-end latency issue localization with extended spectrum analysis in microservice environments. In Proceedings of the Web Conference 2021 (pp. 3087–3098). https://doi.org/10.1145/3442381.3449905</w:t>
      </w:r>
    </w:p>
    <w:p>
      <w:pPr>
        <w:spacing w:after="140" w:line="288" w:lineRule="auto"/>
        <w:ind w:left="403" w:hanging="403"/>
      </w:pPr>
      <w:r>
        <w:rPr>
          <w:color w:val="000000"/>
        </w:rPr>
        <w:t>Deng, A., &amp; Hooi, B. (2021). Graph neural network-based anomaly detection in multivariate time series. Proceedings of the AAAI Conference on Artificial Intelligence, 35(5), 4027–4035. https://doi.org/10.1609/aaai.v35i5.16523</w:t>
      </w:r>
    </w:p>
    <w:p>
      <w:pPr>
        <w:spacing w:after="140" w:line="288" w:lineRule="auto"/>
        <w:ind w:left="403" w:hanging="403"/>
      </w:pPr>
      <w:r>
        <w:rPr>
          <w:color w:val="000000"/>
        </w:rPr>
        <w:t>Liu, D., He, C., Peng, X., Lin, F., Zhang, C., Gong, S., Li, Z., Ou, J., &amp; Wu, Z. (2021). MicroHECL: High-efficient root cause localization in large-scale microservice systems. In 2021 IEEE/ACM International Conference on Software Engineering: Software Engineering in Practice (pp. 338–347). https://doi.org/10.1109/ICSE-SEIP52600.2021.00043</w:t>
      </w:r>
    </w:p>
    <w:p>
      <w:pPr>
        <w:spacing w:after="140" w:line="288" w:lineRule="auto"/>
        <w:ind w:left="403" w:hanging="403"/>
      </w:pPr>
      <w:r>
        <w:rPr>
          <w:color w:val="000000"/>
        </w:rPr>
        <w:t>Ying, Z., Bourgeois, D., You, J., Zitnik, M., &amp; Leskovec, J. (2019). GNNExplainer: Generating explanations for graph neural networks. In Advances in Neural Information Processing Systems, 32. https://proceedings.neurips.cc/paper_files/paper/2019/hash/d80b7040b773199015de6d3b4293c8ff-Abstract.html</w:t>
      </w:r>
    </w:p>
    <w:p>
      <w:pPr>
        <w:spacing w:after="140" w:line="288" w:lineRule="auto"/>
        <w:ind w:left="403" w:hanging="403"/>
      </w:pPr>
      <w:r>
        <w:rPr>
          <w:color w:val="000000"/>
        </w:rPr>
        <w:t>Guan, S., Zhao, B., Dong, Z., Gao, M., &amp; He, Z. (2022). GTAD: Graph and temporal neural network for multivariate time series anomaly detection. Entropy, 24(6), 759. https://doi.org/10.3390/e24060759</w:t>
      </w:r>
    </w:p>
    <w:p>
      <w:pPr>
        <w:spacing w:after="140" w:line="288" w:lineRule="auto"/>
        <w:ind w:left="403" w:hanging="403"/>
      </w:pPr>
      <w:r>
        <w:rPr>
          <w:color w:val="000000"/>
        </w:rPr>
        <w:t>Lee, C., Yang, T., Chen, Z., Su, Y., &amp; Lyu, M. R. (2023). Eadro: An end-to-end troubleshooting framework for microservices on multi-source data. In Proceedings of ICSE 2023 (pp. 1750–1762). https://doi.org/10.1109/ICSE48619.2023.00150</w:t>
      </w:r>
    </w:p>
    <w:p>
      <w:pPr>
        <w:spacing w:after="140" w:line="288" w:lineRule="auto"/>
        <w:ind w:left="403" w:hanging="403"/>
      </w:pPr>
      <w:r>
        <w:rPr>
          <w:color w:val="000000"/>
        </w:rPr>
        <w:t>Pham, L., Ha, H., &amp; Zhang, H. (2024). BARO: Robust root cause analysis for microservices via multivariate Bayesian online change point detection. Proceedings of the ACM on Software Engineering, 1(FSE), 2214–2237. https://doi.org/10.1145/3660805</w:t>
      </w:r>
    </w:p>
    <w:p>
      <w:pPr>
        <w:spacing w:after="140" w:line="288" w:lineRule="auto"/>
        <w:ind w:left="403" w:hanging="403"/>
      </w:pPr>
      <w:r>
        <w:rPr>
          <w:color w:val="000000"/>
        </w:rPr>
        <w:t>Pham, L., Ha, H., &amp; Zhang, H. (2024). Root cause analysis for microservice system based on causal inference: How far are we? In Proceedings of the 39th IEEE/ACM International Conference on Automated Software Engineering (pp. 706–715). https://doi.org/10.1145/3691620.3695065</w:t>
      </w:r>
    </w:p>
    <w:p>
      <w:pPr>
        <w:spacing w:after="140" w:line="288" w:lineRule="auto"/>
        <w:ind w:left="403" w:hanging="403"/>
      </w:pPr>
      <w:r>
        <w:rPr>
          <w:color w:val="000000"/>
        </w:rPr>
        <w:t>Lin, C.-M., Chang, C., Wang, W.-Y., Wang, K.-D., &amp; Peng, W.-C. (2024). Root cause analysis in microservice using neural Granger causal discovery. Proceedings of the AAAI Conference on Artificial Intelligence, 38(1), 206–213. https://doi.org/10.1609/aaai.v38i1.27772</w:t>
      </w:r>
    </w:p>
    <w:p>
      <w:pPr>
        <w:spacing w:after="140" w:line="288" w:lineRule="auto"/>
        <w:ind w:left="403" w:hanging="403"/>
      </w:pPr>
      <w:r>
        <w:rPr>
          <w:color w:val="000000"/>
        </w:rPr>
        <w:t>Zhao, Z., Zhang, T., Shen, Z., Dong, H., Ma, X., Liu, X., &amp; Yang, Y. (2024). CHASE: A causal heterogeneous graph based framework for root cause analysis in multimodal microservice systems [Preprint]. arXiv. https://arxiv.org/abs/2406.19711</w:t>
      </w:r>
    </w:p>
    <w:p>
      <w:pPr>
        <w:spacing w:after="140" w:line="288" w:lineRule="auto"/>
        <w:ind w:left="403" w:hanging="403"/>
      </w:pPr>
      <w:r>
        <w:rPr>
          <w:color w:val="000000"/>
        </w:rPr>
        <w:t>Pham, L., Zhang, H., Ha, H., Salim, F., &amp; Zhang, X. (2025). RCAEval: A benchmark for root cause analysis of microservice systems with telemetry data. In Companion Proceedings of the ACM Web Conference 2025 (pp. 777–780). https://doi.org/10.1145/3701716.3715290</w:t>
      </w:r>
    </w:p>
    <w:p>
      <w:pPr>
        <w:spacing w:after="140" w:line="288" w:lineRule="auto"/>
        <w:ind w:left="403" w:hanging="403"/>
      </w:pPr>
      <w:r>
        <w:rPr>
          <w:color w:val="000000"/>
        </w:rPr>
        <w:t>Pham, L., Ha, H., Zhang, X., &amp; Zhang, H. (2026). TORAI: Multi-source root cause analysis for blind spots in microservice service call graph. Proceedings of the ACM on Software Engineering, 3(FSE), 2928–2951. https://doi.org/10.1145/3808137</w:t>
      </w:r>
    </w:p>
    <w:p>
      <w:pPr>
        <w:spacing w:after="140" w:line="288" w:lineRule="auto"/>
        <w:ind w:left="403" w:hanging="403"/>
      </w:pPr>
      <w:r>
        <w:rPr>
          <w:color w:val="000000"/>
        </w:rPr>
        <w:t>Pham, L., Nicolet, V., Dodds, J., Guan, H., &amp; Kroening, D. (2026). EventADL: Open-box anomaly detection and localization framework for events in cloud-based service systems. Proceedings of the ACM on Software Engineering, 3(FSE), 4070–4093. https://doi.org/10.1145/3808186</w:t>
      </w:r>
    </w:p>
    <w:p>
      <w:pPr>
        <w:spacing w:after="140" w:line="288" w:lineRule="auto"/>
        <w:ind w:left="403" w:hanging="403"/>
      </w:pPr>
      <w:r>
        <w:rPr>
          <w:color w:val="000000"/>
        </w:rPr>
        <w:t>Ding, C., Sun, S., &amp; Zhao, J. (2022). MST-GAT: A multimodal spatial-temporal graph attention network for time series anomaly detection. Information Fusion, 89, 527–536. https://doi.org/10.1016/j.inffus.2022.08.011</w:t>
      </w:r>
    </w:p>
    <w:p>
      <w:pPr>
        <w:pStyle w:val="Heading2"/>
      </w:pPr>
      <w:r>
        <w:rPr>
          <w:color w:val="000000"/>
        </w:rPr>
        <w:t>Datasets, Software, and Project Sources</w:t>
      </w:r>
    </w:p>
    <w:p>
      <w:pPr>
        <w:spacing w:after="120" w:line="288" w:lineRule="auto"/>
        <w:ind w:left="403" w:hanging="403"/>
      </w:pPr>
      <w:r>
        <w:rPr>
          <w:color w:val="000000"/>
        </w:rPr>
        <w:t>Alibaba Group. (2021). Cluster trace data: Microservices 2021 [Data set]. https://github.com/alibaba/clusterdata/tree/master/cluster-trace-microservices-v2021</w:t>
      </w:r>
    </w:p>
    <w:p>
      <w:pPr>
        <w:spacing w:after="120" w:line="288" w:lineRule="auto"/>
        <w:ind w:left="403" w:hanging="403"/>
      </w:pPr>
      <w:r>
        <w:rPr>
          <w:color w:val="000000"/>
        </w:rPr>
        <w:t>Microsoft. (n.d.). Cloud monitoring dataset [Data set]. https://github.com/microsoft/cloud-monitoring-dataset</w:t>
      </w:r>
    </w:p>
    <w:p>
      <w:pPr>
        <w:spacing w:after="120" w:line="288" w:lineRule="auto"/>
        <w:ind w:left="403" w:hanging="403"/>
      </w:pPr>
      <w:r>
        <w:rPr>
          <w:color w:val="000000"/>
        </w:rPr>
        <w:t>Pham, L. (2025). RCAEval: A benchmark for root cause analysis of microservice systems [Software and data]. https://github.com/phamquiluan/RCAEval</w:t>
      </w:r>
    </w:p>
    <w:p>
      <w:pPr>
        <w:spacing w:after="120" w:line="288" w:lineRule="auto"/>
        <w:ind w:left="403" w:hanging="403"/>
      </w:pPr>
      <w:r>
        <w:rPr>
          <w:color w:val="000000"/>
        </w:rPr>
        <w:t>Google Cloud. (n.d.). Bank of Anthos [Reference application]. https://github.com/GoogleCloudPlatform/bank-of-anthos</w:t>
      </w:r>
    </w:p>
    <w:p>
      <w:pPr>
        <w:spacing w:after="120" w:line="288" w:lineRule="auto"/>
        <w:ind w:left="403" w:hanging="403"/>
      </w:pPr>
      <w:r>
        <w:rPr>
          <w:color w:val="000000"/>
        </w:rPr>
        <w:t>Amazon Web Services. (n.d.). Amazon CloudWatch documentation. https://docs.aws.amazon.com/AmazonCloudWatch/</w:t>
      </w:r>
    </w:p>
    <w:p>
      <w:pPr>
        <w:spacing w:after="120" w:line="288" w:lineRule="auto"/>
        <w:ind w:left="403" w:hanging="403"/>
      </w:pPr>
      <w:r>
        <w:rPr>
          <w:color w:val="000000"/>
        </w:rPr>
        <w:t>Haris757518. (2026). Explainable AI-based cloud performance analytics for digital banking using graph neural networks [Project repository]. https://github.com/Haris757518/ExplainableAI_Cloud_Banking_Cloud_Project_2026</w:t>
      </w:r>
    </w:p>
    <w:p>
      <w:pPr>
        <w:pStyle w:val="Heading1"/>
      </w:pPr>
      <w:r>
        <w:rPr>
          <w:color w:val="000000"/>
        </w:rPr>
        <w:t>Appendix A. Reproducibility and Recorded Artifacts</w:t>
      </w:r>
    </w:p>
    <w:p>
      <w:r>
        <w:rPr>
          <w:color w:val="000000"/>
        </w:rPr>
        <w:t>The following commands reproduce the local banking application and run the documented tests on a suitable Windows computer with Python and Node.js dependencies installed. The explicit delay command operates on the isolated test service only.</w:t>
      </w:r>
    </w:p>
    <w:p>
      <w:r>
        <w:rPr>
          <w:color w:val="000000"/>
        </w:rPr>
        <w:t>1. Start: .\scripts\start_banking.ps1</w:t>
      </w:r>
    </w:p>
    <w:p>
      <w:r>
        <w:rPr>
          <w:color w:val="000000"/>
        </w:rPr>
        <w:t>2. Normal workload: .\.venv\Scripts\python.exe scripts/banking_workload.py --normal --per-operation 90</w:t>
      </w:r>
    </w:p>
    <w:p>
      <w:r>
        <w:rPr>
          <w:color w:val="000000"/>
        </w:rPr>
        <w:t>3. Bounded local condition: .\.venv\Scripts\python.exe scripts/banking_workload.py --application-delay --confirm-local-test --duration 12 --delay-ms 150</w:t>
      </w:r>
    </w:p>
    <w:p>
      <w:r>
        <w:rPr>
          <w:color w:val="000000"/>
        </w:rPr>
        <w:t>4. Backend tests: .\.venv\Scripts\python.exe -m pytest -q</w:t>
      </w:r>
    </w:p>
    <w:p>
      <w:r>
        <w:rPr>
          <w:color w:val="000000"/>
        </w:rPr>
        <w:t>5. Frontend build: npm --prefix frontend run build</w:t>
      </w:r>
    </w:p>
    <w:p>
      <w:r>
        <w:rPr>
          <w:color w:val="000000"/>
        </w:rPr>
        <w:t>6. Browser regression: npm --prefix frontend run test:e2e</w:t>
      </w:r>
    </w:p>
    <w:p>
      <w:r>
        <w:t>7. AWS preview: .\.venv\Scripts\python.exe scripts/aws_banking_telemetry.py --dry-run --limit 10</w:t>
      </w:r>
    </w:p>
    <w:p>
      <w:r>
        <w:t>8. Explicit AWS publication: .\.venv\Scripts\python.exe scripts/aws_banking_telemetry.py --publish --confirm-publish --limit 10</w:t>
      </w:r>
    </w:p>
    <w:p>
      <w:r>
        <w:t>9. AWS retrieval: .\.venv\Scripts\python.exe scripts/aws_banking_telemetry.py --read --lookback-minutes 1440</w:t>
      </w:r>
    </w:p>
    <w:p>
      <w:r>
        <w:t>The publication command advances to the next unpublished measured requests; it must not be used to repeat the already completed ten-request verification. Detailed AWS checks and troubleshooting are in docs/AWS_BANKING_INTEGRATION.md.</w:t>
      </w:r>
    </w:p>
    <w:p>
      <w:r>
        <w:rPr>
          <w:color w:val="000000"/>
        </w:rPr>
        <w:t>Frozen banking report: results/banking/measured_20261016/report.json; selected by results/banking/FINAL.json. Research artifacts: results/research_v3/ and results/research_v4/. Authoritative project handover: docs/FINAL_HANDOVER.md.</w:t>
      </w:r>
    </w:p>
    <w:p>
      <w:pPr>
        <w:pStyle w:val="Heading1"/>
        <w:pageBreakBefore/>
      </w:pPr>
      <w:r>
        <w:rPr>
          <w:color w:val="000000"/>
        </w:rPr>
        <w:t>Appendix B. Screenshot Evidence Register</w:t>
      </w:r>
    </w:p>
    <w:p>
      <w:r>
        <w:rPr>
          <w:color w:val="000000"/>
        </w:rPr>
        <w:t>Figures 5–8 are saved captures from frontend/test-results in the supplied project; their file-save times are 16 October 2026 at approximately 19:33–19:45 local time. Figure 9 was captured from the updated application after live AWS verification on 16 October 2026 at approximately 21:50 IST. Its collection timestamp and original measurement timestamp are separately displayed. The review server uses an isolated copy of the banking runtime while its publication preview reads the original telemetry database in read-only mode. Screenshots retain actual values and source labels. Crops remove surrounding interface area only.</w:t>
      </w:r>
    </w:p>
    <w:tbl>
      <w:tblPr>
        <w:tblStyle w:val="TableGrid"/>
        <w:tblW w:type="auto" w:w="0"/>
        <w:jc w:val="center"/>
        <w:tblLayout w:type="fixed"/>
        <w:tblLook w:firstColumn="1" w:firstRow="1" w:lastColumn="0" w:lastRow="0" w:noHBand="0" w:noVBand="1" w:val="04A0"/>
      </w:tblPr>
      <w:tblGrid>
        <w:gridCol w:w="1584"/>
        <w:gridCol w:w="7920"/>
      </w:tblGrid>
      <w:tr>
        <w:trPr>
          <w:tblHeader w:val="true"/>
          <w:cantSplit/>
          <w:tblHeader/>
        </w:trPr>
        <w:tc>
          <w:tcPr>
            <w:tcW w:type="dxa" w:w="1584"/>
            <w:shd w:fill="EDEDED"/>
            <w:tcMar>
              <w:top w:w="70" w:type="dxa"/>
              <w:bottom w:w="70" w:type="dxa"/>
              <w:left w:w="70" w:type="dxa"/>
              <w:right w:w="70" w:type="dxa"/>
            </w:tcMar>
            <w:vAlign w:val="top"/>
          </w:tcPr>
          <w:p>
            <w:pPr>
              <w:pStyle w:val="TableText"/>
              <w:keepNext/>
            </w:pPr>
            <w:r>
              <w:rPr>
                <w:b/>
                <w:color w:val="000000"/>
                <w:sz w:val="21"/>
              </w:rPr>
              <w:t>Figure</w:t>
            </w:r>
          </w:p>
        </w:tc>
        <w:tc>
          <w:tcPr>
            <w:tcW w:type="dxa" w:w="7920"/>
            <w:shd w:fill="EDEDED"/>
            <w:tcMar>
              <w:top w:w="70" w:type="dxa"/>
              <w:bottom w:w="70" w:type="dxa"/>
              <w:left w:w="70" w:type="dxa"/>
              <w:right w:w="70" w:type="dxa"/>
            </w:tcMar>
            <w:vAlign w:val="top"/>
          </w:tcPr>
          <w:p>
            <w:pPr>
              <w:pStyle w:val="TableText"/>
              <w:keepNext/>
            </w:pPr>
            <w:r>
              <w:rPr>
                <w:b/>
                <w:color w:val="000000"/>
                <w:sz w:val="21"/>
              </w:rPr>
              <w:t>Final capture content</w:t>
            </w:r>
          </w:p>
        </w:tc>
      </w:tr>
      <w:tr>
        <w:trPr>
          <w:cantSplit/>
        </w:trPr>
        <w:tc>
          <w:tcPr>
            <w:tcW w:type="dxa" w:w="1584"/>
            <w:vAlign w:val="top"/>
            <w:tcMar>
              <w:top w:w="70" w:type="dxa"/>
              <w:bottom w:w="70" w:type="dxa"/>
              <w:left w:w="70" w:type="dxa"/>
              <w:right w:w="70" w:type="dxa"/>
            </w:tcMar>
          </w:tcPr>
          <w:p>
            <w:pPr>
              <w:pStyle w:val="TableText"/>
              <w:keepLines/>
            </w:pPr>
            <w:r>
              <w:rPr>
                <w:color w:val="000000"/>
                <w:sz w:val="21"/>
              </w:rPr>
              <w:t>Figure 5</w:t>
            </w:r>
          </w:p>
        </w:tc>
        <w:tc>
          <w:tcPr>
            <w:tcW w:type="dxa" w:w="7920"/>
            <w:vAlign w:val="top"/>
            <w:tcMar>
              <w:top w:w="70" w:type="dxa"/>
              <w:bottom w:w="70" w:type="dxa"/>
              <w:left w:w="70" w:type="dxa"/>
              <w:right w:w="70" w:type="dxa"/>
            </w:tcMar>
          </w:tcPr>
          <w:p>
            <w:pPr>
              <w:pStyle w:val="TableText"/>
              <w:keepLines/>
            </w:pPr>
            <w:r>
              <w:rPr>
                <w:color w:val="000000"/>
                <w:sz w:val="21"/>
              </w:rPr>
              <w:t>final-banking-overview-1366.png; full recorded dashboard</w:t>
            </w:r>
          </w:p>
        </w:tc>
      </w:tr>
      <w:tr>
        <w:trPr>
          <w:cantSplit/>
        </w:trPr>
        <w:tc>
          <w:tcPr>
            <w:tcW w:type="dxa" w:w="1584"/>
            <w:vAlign w:val="top"/>
            <w:shd w:fill="FAFAFA"/>
            <w:tcMar>
              <w:top w:w="70" w:type="dxa"/>
              <w:bottom w:w="70" w:type="dxa"/>
              <w:left w:w="70" w:type="dxa"/>
              <w:right w:w="70" w:type="dxa"/>
            </w:tcMar>
          </w:tcPr>
          <w:p>
            <w:pPr>
              <w:pStyle w:val="TableText"/>
              <w:keepLines/>
            </w:pPr>
            <w:r>
              <w:rPr>
                <w:color w:val="000000"/>
                <w:sz w:val="21"/>
              </w:rPr>
              <w:t>Figure 6</w:t>
            </w:r>
          </w:p>
        </w:tc>
        <w:tc>
          <w:tcPr>
            <w:tcW w:type="dxa" w:w="7920"/>
            <w:vAlign w:val="top"/>
            <w:shd w:fill="FAFAFA"/>
            <w:tcMar>
              <w:top w:w="70" w:type="dxa"/>
              <w:bottom w:w="70" w:type="dxa"/>
              <w:left w:w="70" w:type="dxa"/>
              <w:right w:w="70" w:type="dxa"/>
            </w:tcMar>
          </w:tcPr>
          <w:p>
            <w:pPr>
              <w:pStyle w:val="TableText"/>
              <w:keepLines/>
            </w:pPr>
            <w:r>
              <w:rPr>
                <w:color w:val="000000"/>
                <w:sz w:val="21"/>
              </w:rPr>
              <w:t>final-banking-overview-1920.png; crop of test transfer controls</w:t>
            </w:r>
          </w:p>
        </w:tc>
      </w:tr>
      <w:tr>
        <w:trPr>
          <w:cantSplit/>
        </w:trPr>
        <w:tc>
          <w:tcPr>
            <w:tcW w:type="dxa" w:w="1584"/>
            <w:vAlign w:val="top"/>
            <w:tcMar>
              <w:top w:w="70" w:type="dxa"/>
              <w:bottom w:w="70" w:type="dxa"/>
              <w:left w:w="70" w:type="dxa"/>
              <w:right w:w="70" w:type="dxa"/>
            </w:tcMar>
          </w:tcPr>
          <w:p>
            <w:pPr>
              <w:pStyle w:val="TableText"/>
              <w:keepLines/>
            </w:pPr>
            <w:r>
              <w:rPr>
                <w:color w:val="000000"/>
                <w:sz w:val="21"/>
              </w:rPr>
              <w:t>Figure 7</w:t>
            </w:r>
          </w:p>
        </w:tc>
        <w:tc>
          <w:tcPr>
            <w:tcW w:type="dxa" w:w="7920"/>
            <w:vAlign w:val="top"/>
            <w:tcMar>
              <w:top w:w="70" w:type="dxa"/>
              <w:bottom w:w="70" w:type="dxa"/>
              <w:left w:w="70" w:type="dxa"/>
              <w:right w:w="70" w:type="dxa"/>
            </w:tcMar>
          </w:tcPr>
          <w:p>
            <w:pPr>
              <w:pStyle w:val="TableText"/>
              <w:keepLines/>
            </w:pPr>
            <w:r>
              <w:rPr>
                <w:color w:val="000000"/>
                <w:sz w:val="21"/>
              </w:rPr>
              <w:t>final-banking-explanation-1920.png; crop of recorded transfer dependency graph</w:t>
            </w:r>
          </w:p>
        </w:tc>
      </w:tr>
      <w:tr>
        <w:trPr>
          <w:cantSplit/>
        </w:trPr>
        <w:tc>
          <w:tcPr>
            <w:tcW w:type="dxa" w:w="1584"/>
            <w:vAlign w:val="top"/>
            <w:shd w:fill="FAFAFA"/>
            <w:tcMar>
              <w:top w:w="70" w:type="dxa"/>
              <w:bottom w:w="70" w:type="dxa"/>
              <w:left w:w="70" w:type="dxa"/>
              <w:right w:w="70" w:type="dxa"/>
            </w:tcMar>
          </w:tcPr>
          <w:p>
            <w:pPr>
              <w:pStyle w:val="TableText"/>
              <w:keepLines/>
            </w:pPr>
            <w:r>
              <w:rPr>
                <w:color w:val="000000"/>
                <w:sz w:val="21"/>
              </w:rPr>
              <w:t>Figure 8</w:t>
            </w:r>
          </w:p>
        </w:tc>
        <w:tc>
          <w:tcPr>
            <w:tcW w:type="dxa" w:w="7920"/>
            <w:vAlign w:val="top"/>
            <w:shd w:fill="FAFAFA"/>
            <w:tcMar>
              <w:top w:w="70" w:type="dxa"/>
              <w:bottom w:w="70" w:type="dxa"/>
              <w:left w:w="70" w:type="dxa"/>
              <w:right w:w="70" w:type="dxa"/>
            </w:tcMar>
          </w:tcPr>
          <w:p>
            <w:pPr>
              <w:pStyle w:val="TableText"/>
              <w:keepLines/>
            </w:pPr>
            <w:r>
              <w:rPr>
                <w:color w:val="000000"/>
                <w:sz w:val="21"/>
              </w:rPr>
              <w:t>banking-investigation-1920.png; crop of independent verification and measured follow-up</w:t>
            </w:r>
          </w:p>
        </w:tc>
      </w:tr>
      <w:tr>
        <w:trPr>
          <w:cantSplit/>
        </w:trPr>
        <w:tc>
          <w:tcPr>
            <w:tcW w:type="dxa" w:w="1584"/>
            <w:vAlign w:val="top"/>
            <w:tcMar>
              <w:top w:w="70" w:type="dxa"/>
              <w:bottom w:w="70" w:type="dxa"/>
              <w:left w:w="70" w:type="dxa"/>
              <w:right w:w="70" w:type="dxa"/>
            </w:tcMar>
          </w:tcPr>
          <w:p>
            <w:pPr>
              <w:pStyle w:val="TableText"/>
              <w:keepLines/>
            </w:pPr>
            <w:r>
              <w:rPr>
                <w:color w:val="000000"/>
                <w:sz w:val="21"/>
              </w:rPr>
              <w:t>Figure 9</w:t>
            </w:r>
          </w:p>
        </w:tc>
        <w:tc>
          <w:tcPr>
            <w:tcW w:type="dxa" w:w="7920"/>
            <w:vAlign w:val="top"/>
            <w:tcMar>
              <w:top w:w="70" w:type="dxa"/>
              <w:bottom w:w="70" w:type="dxa"/>
              <w:left w:w="70" w:type="dxa"/>
              <w:right w:w="70" w:type="dxa"/>
            </w:tcMar>
          </w:tcPr>
          <w:p>
            <w:pPr>
              <w:pStyle w:val="TableText"/>
              <w:keepLines/>
            </w:pPr>
            <w:r>
              <w:rPr>
                <w:color w:val="000000"/>
                <w:sz w:val="21"/>
              </w:rPr>
              <w:t>cloudwatch-banking-live.jpg; new live banking CloudWatch panel capture, cropped to publication and latency evidence</w:t>
            </w:r>
          </w:p>
        </w:tc>
      </w:tr>
    </w:tbl>
    <w:p>
      <w:pPr>
        <w:spacing w:after="0"/>
      </w:pPr>
    </w:p>
    <w:sectPr w:rsidR="00FC693F" w:rsidRPr="0006063C" w:rsidSect="00034616">
      <w:headerReference w:type="default" r:id="rId9"/>
      <w:footerReference w:type="default" r:id="rId10"/>
      <w:pgSz w:w="12240" w:h="15840"/>
      <w:pgMar w:top="1325" w:right="1440" w:bottom="1238" w:left="1440" w:header="504"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646464"/>
        <w:sz w:val="17"/>
      </w:rPr>
      <w:t>BCSE355L  |  CLOUD ARCHITECTURE DESIGN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color w:val="000000"/>
    </w:rPr>
  </w:style>
  <w:style w:type="character" w:customStyle="1" w:styleId="HeaderChar">
    <w:name w:val="Header Char"/>
    <w:basedOn w:val="DefaultParagraphFont"/>
    <w:link w:val="Header"/>
    <w:uiPriority w:val="99"/>
    <w:rsid w:val="00E618BF"/>
    <w:rPr>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rPr>
      <w:color w:val="000000"/>
    </w:rPr>
  </w:style>
  <w:style w:type="character" w:customStyle="1" w:styleId="FooterChar">
    <w:name w:val="Footer Char"/>
    <w:basedOn w:val="DefaultParagraphFont"/>
    <w:link w:val="Footer"/>
    <w:uiPriority w:val="99"/>
    <w:rsid w:val="00E618BF"/>
    <w:rPr>
      <w:color w:val="000000"/>
    </w:rPr>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Times New Roman" w:hAnsi="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rPr>
      <w:color w:val="000000"/>
    </w:rPr>
  </w:style>
  <w:style w:type="table" w:default="1" w:styleId="TableNormal">
    <w:name w:val="Normal Table"/>
    <w:uiPriority w:val="99"/>
    <w:semiHidden/>
    <w:unhideWhenUsed/>
    <w:rPr>
      <w:color w:val="000000"/>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Times New Roman" w:hAnsi="Times New Roman"/>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rPr>
      <w:color w:val="000000"/>
    </w:rPr>
  </w:style>
  <w:style w:type="paragraph" w:styleId="BodyText">
    <w:name w:val="Body Text"/>
    <w:basedOn w:val="Normal"/>
    <w:link w:val="BodyTextChar"/>
    <w:uiPriority w:val="99"/>
    <w:unhideWhenUsed/>
    <w:rsid w:val="00AA1D8D"/>
    <w:pPr>
      <w:spacing w:after="120"/>
    </w:pPr>
    <w:rPr>
      <w:color w:val="000000"/>
    </w:rPr>
  </w:style>
  <w:style w:type="character" w:customStyle="1" w:styleId="BodyTextChar">
    <w:name w:val="Body Text Char"/>
    <w:basedOn w:val="DefaultParagraphFont"/>
    <w:link w:val="BodyText"/>
    <w:uiPriority w:val="99"/>
    <w:rsid w:val="00AA1D8D"/>
    <w:rPr>
      <w:color w:val="000000"/>
    </w:rPr>
  </w:style>
  <w:style w:type="paragraph" w:styleId="BodyText2">
    <w:name w:val="Body Text 2"/>
    <w:basedOn w:val="Normal"/>
    <w:link w:val="BodyText2Char"/>
    <w:uiPriority w:val="99"/>
    <w:unhideWhenUsed/>
    <w:rsid w:val="00AA1D8D"/>
    <w:pPr>
      <w:spacing w:after="120" w:line="480" w:lineRule="auto"/>
    </w:pPr>
    <w:rPr>
      <w:color w:val="000000"/>
    </w:rPr>
  </w:style>
  <w:style w:type="character" w:customStyle="1" w:styleId="BodyText2Char">
    <w:name w:val="Body Text 2 Char"/>
    <w:basedOn w:val="DefaultParagraphFont"/>
    <w:link w:val="BodyText2"/>
    <w:uiPriority w:val="99"/>
    <w:rsid w:val="00AA1D8D"/>
    <w:rPr>
      <w:color w:val="000000"/>
    </w:rPr>
  </w:style>
  <w:style w:type="paragraph" w:styleId="BodyText3">
    <w:name w:val="Body Text 3"/>
    <w:basedOn w:val="Normal"/>
    <w:link w:val="BodyText3Char"/>
    <w:uiPriority w:val="99"/>
    <w:unhideWhenUsed/>
    <w:rsid w:val="00AA1D8D"/>
    <w:pPr>
      <w:spacing w:after="120"/>
    </w:pPr>
    <w:rPr>
      <w:color w:val="000000"/>
      <w:sz w:val="16"/>
      <w:szCs w:val="16"/>
    </w:rPr>
  </w:style>
  <w:style w:type="character" w:customStyle="1" w:styleId="BodyText3Char">
    <w:name w:val="Body Text 3 Char"/>
    <w:basedOn w:val="DefaultParagraphFont"/>
    <w:link w:val="BodyText3"/>
    <w:uiPriority w:val="99"/>
    <w:rsid w:val="00AA1D8D"/>
    <w:rPr>
      <w:color w:val="000000"/>
      <w:sz w:val="16"/>
      <w:szCs w:val="16"/>
    </w:rPr>
  </w:style>
  <w:style w:type="paragraph" w:styleId="List">
    <w:name w:val="List"/>
    <w:basedOn w:val="Normal"/>
    <w:uiPriority w:val="99"/>
    <w:unhideWhenUsed/>
    <w:rsid w:val="00AA1D8D"/>
    <w:pPr>
      <w:ind w:left="360" w:hanging="360"/>
      <w:contextualSpacing/>
    </w:pPr>
    <w:rPr>
      <w:color w:val="000000"/>
    </w:rPr>
  </w:style>
  <w:style w:type="paragraph" w:styleId="List2">
    <w:name w:val="List 2"/>
    <w:basedOn w:val="Normal"/>
    <w:uiPriority w:val="99"/>
    <w:unhideWhenUsed/>
    <w:rsid w:val="00326F90"/>
    <w:pPr>
      <w:ind w:left="720" w:hanging="360"/>
      <w:contextualSpacing/>
    </w:pPr>
    <w:rPr>
      <w:color w:val="000000"/>
    </w:rPr>
  </w:style>
  <w:style w:type="paragraph" w:styleId="List3">
    <w:name w:val="List 3"/>
    <w:basedOn w:val="Normal"/>
    <w:uiPriority w:val="99"/>
    <w:unhideWhenUsed/>
    <w:rsid w:val="00326F90"/>
    <w:pPr>
      <w:ind w:left="1080" w:hanging="360"/>
      <w:contextualSpacing/>
    </w:pPr>
    <w:rPr>
      <w:color w:val="000000"/>
    </w:rPr>
  </w:style>
  <w:style w:type="paragraph" w:styleId="ListBullet">
    <w:name w:val="List Bullet"/>
    <w:basedOn w:val="Normal"/>
    <w:uiPriority w:val="99"/>
    <w:unhideWhenUsed/>
    <w:rsid w:val="00326F90"/>
    <w:pPr>
      <w:numPr>
        <w:numId w:val="1"/>
      </w:numPr>
      <w:contextualSpacing/>
    </w:pPr>
    <w:rPr>
      <w:color w:val="000000"/>
    </w:rPr>
  </w:style>
  <w:style w:type="paragraph" w:styleId="ListBullet2">
    <w:name w:val="List Bullet 2"/>
    <w:basedOn w:val="Normal"/>
    <w:uiPriority w:val="99"/>
    <w:unhideWhenUsed/>
    <w:rsid w:val="00326F90"/>
    <w:pPr>
      <w:numPr>
        <w:numId w:val="2"/>
      </w:numPr>
      <w:contextualSpacing/>
    </w:pPr>
    <w:rPr>
      <w:color w:val="000000"/>
    </w:rPr>
  </w:style>
  <w:style w:type="paragraph" w:styleId="ListBullet3">
    <w:name w:val="List Bullet 3"/>
    <w:basedOn w:val="Normal"/>
    <w:uiPriority w:val="99"/>
    <w:unhideWhenUsed/>
    <w:rsid w:val="00326F90"/>
    <w:pPr>
      <w:numPr>
        <w:numId w:val="3"/>
      </w:numPr>
      <w:contextualSpacing/>
    </w:pPr>
    <w:rPr>
      <w:color w:val="000000"/>
    </w:rPr>
  </w:style>
  <w:style w:type="paragraph" w:styleId="ListNumber">
    <w:name w:val="List Number"/>
    <w:basedOn w:val="Normal"/>
    <w:uiPriority w:val="99"/>
    <w:unhideWhenUsed/>
    <w:rsid w:val="00326F90"/>
    <w:pPr>
      <w:numPr>
        <w:numId w:val="5"/>
      </w:numPr>
      <w:contextualSpacing/>
    </w:pPr>
    <w:rPr>
      <w:color w:val="000000"/>
    </w:rPr>
  </w:style>
  <w:style w:type="paragraph" w:styleId="ListNumber2">
    <w:name w:val="List Number 2"/>
    <w:basedOn w:val="Normal"/>
    <w:uiPriority w:val="99"/>
    <w:unhideWhenUsed/>
    <w:rsid w:val="0029639D"/>
    <w:pPr>
      <w:numPr>
        <w:numId w:val="6"/>
      </w:numPr>
      <w:contextualSpacing/>
    </w:pPr>
    <w:rPr>
      <w:color w:val="000000"/>
    </w:rPr>
  </w:style>
  <w:style w:type="paragraph" w:styleId="ListNumber3">
    <w:name w:val="List Number 3"/>
    <w:basedOn w:val="Normal"/>
    <w:uiPriority w:val="99"/>
    <w:unhideWhenUsed/>
    <w:rsid w:val="0029639D"/>
    <w:pPr>
      <w:numPr>
        <w:numId w:val="7"/>
      </w:numPr>
      <w:contextualSpacing/>
    </w:pPr>
    <w:rPr>
      <w:color w:val="000000"/>
    </w:rPr>
  </w:style>
  <w:style w:type="paragraph" w:styleId="ListContinue">
    <w:name w:val="List Continue"/>
    <w:basedOn w:val="Normal"/>
    <w:uiPriority w:val="99"/>
    <w:unhideWhenUsed/>
    <w:rsid w:val="0029639D"/>
    <w:pPr>
      <w:spacing w:after="120"/>
      <w:ind w:left="360"/>
      <w:contextualSpacing/>
    </w:pPr>
    <w:rPr>
      <w:color w:val="000000"/>
    </w:rPr>
  </w:style>
  <w:style w:type="paragraph" w:styleId="ListContinue2">
    <w:name w:val="List Continue 2"/>
    <w:basedOn w:val="Normal"/>
    <w:uiPriority w:val="99"/>
    <w:unhideWhenUsed/>
    <w:rsid w:val="0029639D"/>
    <w:pPr>
      <w:spacing w:after="120"/>
      <w:ind w:left="720"/>
      <w:contextualSpacing/>
    </w:pPr>
    <w:rPr>
      <w:color w:val="000000"/>
    </w:rPr>
  </w:style>
  <w:style w:type="paragraph" w:styleId="ListContinue3">
    <w:name w:val="List Continue 3"/>
    <w:basedOn w:val="Normal"/>
    <w:uiPriority w:val="99"/>
    <w:unhideWhenUsed/>
    <w:rsid w:val="0029639D"/>
    <w:pPr>
      <w:spacing w:after="120"/>
      <w:ind w:left="1080"/>
      <w:contextualSpacing/>
    </w:pPr>
    <w:rPr>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color w:val="000000"/>
      <w:sz w:val="20"/>
      <w:szCs w:val="20"/>
    </w:rPr>
  </w:style>
  <w:style w:type="character" w:customStyle="1" w:styleId="MacroTextChar">
    <w:name w:val="Macro Text Char"/>
    <w:basedOn w:val="DefaultParagraphFont"/>
    <w:link w:val="MacroText"/>
    <w:uiPriority w:val="99"/>
    <w:rsid w:val="0029639D"/>
    <w:rPr>
      <w:rFonts w:ascii="Courier" w:hAnsi="Courier"/>
      <w:color w:val="000000"/>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69" w:lineRule="auto" w:after="140"/>
    </w:pPr>
    <w:rPr>
      <w:rFonts w:ascii="Times New Roman" w:hAnsi="Times New Roman"/>
      <w:b/>
      <w:bCs/>
      <w:i w:val="0"/>
      <w:color w:val="000000"/>
      <w:sz w:val="20"/>
      <w:szCs w:val="18"/>
    </w:rPr>
  </w:style>
  <w:style w:type="character" w:styleId="Strong">
    <w:name w:val="Strong"/>
    <w:basedOn w:val="DefaultParagraphFont"/>
    <w:uiPriority w:val="22"/>
    <w:qFormat/>
    <w:rsid w:val="00FC693F"/>
    <w:rPr>
      <w:b/>
      <w:bCs/>
      <w:color w:val="000000"/>
    </w:rPr>
  </w:style>
  <w:style w:type="character" w:styleId="Emphasis">
    <w:name w:val="Emphasis"/>
    <w:basedOn w:val="DefaultParagraphFont"/>
    <w:uiPriority w:val="20"/>
    <w:qFormat/>
    <w:rsid w:val="00FC693F"/>
    <w:rPr>
      <w:i/>
      <w:iCs/>
      <w:color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color w:val="000000"/>
      <w:spacing w:val="5"/>
    </w:rPr>
  </w:style>
  <w:style w:type="paragraph" w:styleId="TOCHeading">
    <w:name w:val="TOC Heading"/>
    <w:basedOn w:val="Heading1"/>
    <w:next w:val="Normal"/>
    <w:uiPriority w:val="39"/>
    <w:semiHidden/>
    <w:unhideWhenUsed/>
    <w:qFormat/>
    <w:rsid w:val="00FC693F"/>
    <w:pPr>
      <w:outlineLvl w:val="9"/>
    </w:pPr>
    <w:rPr>
      <w:color w:val="000000"/>
    </w:rPr>
  </w:style>
  <w:style w:type="table" w:styleId="TableGrid">
    <w:name w:val="Table Grid"/>
    <w:basedOn w:val="TableNormal"/>
    <w:uiPriority w:val="59"/>
    <w:rsid w:val="00FC693F"/>
    <w:pPr>
      <w:spacing w:after="0" w:line="240" w:lineRule="auto"/>
    </w:pPr>
    <w:rPr>
      <w:color w:val="00000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color w:val="000000"/>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color w:val="000000"/>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color w:val="000000"/>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color w:val="000000"/>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color w:val="000000"/>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color w:val="000000"/>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color w:val="000000"/>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color w:val="000000"/>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color w:val="000000"/>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color w:val="000000"/>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color w:val="000000"/>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color w:val="000000"/>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color w:val="000000"/>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color w:val="000000"/>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pPr>
      <w:spacing w:after="20" w:line="269" w:lineRule="auto"/>
    </w:pPr>
    <w:rPr>
      <w:rFonts w:ascii="Times New Roman" w:hAnsi="Times New Roman"/>
      <w:color w:val="000000"/>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jp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Explainable AI-Based Cloud Performance Analytics for Digital Banking using Graph Neural Networks</dc:title>
  <dc:subject>BCSE355L Cloud Architecture Design - Final Project Report</dc:subject>
  <dc:creator>Haris K; Keshav Gokaram; Harish Kumar</dc:creator>
  <cp:keywords>Digital banking; anomaly detection; root cause; GNN; cloud</cp:keywords>
  <dc:description>generated by python-docx</dc:description>
  <cp:lastModifiedBy/>
  <cp:revision>1</cp:revision>
  <dcterms:created xsi:type="dcterms:W3CDTF">2013-12-23T23:15:00Z</dcterms:created>
  <dcterms:modified xsi:type="dcterms:W3CDTF">2013-12-23T23:15:00Z</dcterms:modified>
  <cp:category/>
</cp:coreProperties>
</file>