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24"/>
          <w:szCs w:val="24"/>
          <w:color w:val="auto"/>
        </w:rPr>
        <w:t>July 19, 2023</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4343400</wp:posOffset>
            </wp:positionH>
            <wp:positionV relativeFrom="paragraph">
              <wp:posOffset>-160655</wp:posOffset>
            </wp:positionV>
            <wp:extent cx="1905000" cy="3429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1905000" cy="342900"/>
                    </a:xfrm>
                    <a:prstGeom prst="rect">
                      <a:avLst/>
                    </a:prstGeom>
                    <a:noFill/>
                  </pic:spPr>
                </pic:pic>
              </a:graphicData>
            </a:graphic>
          </wp:anchor>
        </w:drawing>
      </w:r>
    </w:p>
    <w:p>
      <w:pPr>
        <w:spacing w:after="0" w:line="200" w:lineRule="exact"/>
        <w:rPr>
          <w:sz w:val="24"/>
          <w:szCs w:val="24"/>
          <w:color w:val="auto"/>
        </w:rPr>
      </w:pPr>
    </w:p>
    <w:p>
      <w:pPr>
        <w:spacing w:after="0" w:line="314" w:lineRule="exact"/>
        <w:rPr>
          <w:sz w:val="24"/>
          <w:szCs w:val="24"/>
          <w:color w:val="auto"/>
        </w:rPr>
      </w:pPr>
    </w:p>
    <w:p>
      <w:pPr>
        <w:ind w:right="500"/>
        <w:spacing w:after="0" w:line="298" w:lineRule="auto"/>
        <w:rPr>
          <w:sz w:val="20"/>
          <w:szCs w:val="20"/>
          <w:color w:val="auto"/>
        </w:rPr>
      </w:pPr>
      <w:r>
        <w:rPr>
          <w:rFonts w:ascii="Arial" w:cs="Arial" w:eastAsia="Arial" w:hAnsi="Arial"/>
          <w:sz w:val="48"/>
          <w:szCs w:val="48"/>
          <w:b w:val="1"/>
          <w:bCs w:val="1"/>
          <w:color w:val="auto"/>
        </w:rPr>
        <w:t>Equifax Delivers Solid Second Quarter in Challenging Mortgage Market</w:t>
      </w:r>
    </w:p>
    <w:p>
      <w:pPr>
        <w:spacing w:after="0" w:line="101" w:lineRule="exact"/>
        <w:rPr>
          <w:sz w:val="24"/>
          <w:szCs w:val="24"/>
          <w:color w:val="auto"/>
        </w:rPr>
      </w:pPr>
    </w:p>
    <w:p>
      <w:pPr>
        <w:ind w:right="100"/>
        <w:spacing w:after="0" w:line="215" w:lineRule="auto"/>
        <w:rPr>
          <w:rFonts w:ascii="Arial" w:cs="Arial" w:eastAsia="Arial" w:hAnsi="Arial"/>
          <w:sz w:val="24"/>
          <w:szCs w:val="24"/>
          <w:color w:val="auto"/>
        </w:rPr>
      </w:pPr>
      <w:r>
        <w:rPr>
          <w:rFonts w:ascii="Arial" w:cs="Arial" w:eastAsia="Arial" w:hAnsi="Arial"/>
          <w:sz w:val="24"/>
          <w:szCs w:val="24"/>
          <w:color w:val="auto"/>
        </w:rPr>
        <w:t>ATLANTA, July 19, 2023 /PRNewswire/ --</w:t>
      </w:r>
      <w:r>
        <w:rPr>
          <w:rFonts w:ascii="Arial" w:cs="Arial" w:eastAsia="Arial" w:hAnsi="Arial"/>
          <w:sz w:val="24"/>
          <w:szCs w:val="24"/>
          <w:color w:val="0000EE"/>
        </w:rPr>
        <w:t xml:space="preserve"> </w:t>
      </w:r>
      <w:hyperlink r:id="rId13">
        <w:r>
          <w:rPr>
            <w:rFonts w:ascii="Arial" w:cs="Arial" w:eastAsia="Arial" w:hAnsi="Arial"/>
            <w:sz w:val="24"/>
            <w:szCs w:val="24"/>
            <w:u w:val="single" w:color="auto"/>
            <w:color w:val="0000EE"/>
          </w:rPr>
          <w:t>Equifax</w:t>
        </w:r>
      </w:hyperlink>
      <w:r>
        <w:rPr>
          <w:rFonts w:ascii="Arial" w:cs="Arial" w:eastAsia="Arial" w:hAnsi="Arial"/>
          <w:sz w:val="39"/>
          <w:szCs w:val="39"/>
          <w:u w:val="single" w:color="auto"/>
          <w:color w:val="0000EE"/>
          <w:vertAlign w:val="superscript"/>
        </w:rPr>
        <w:t>®</w:t>
      </w:r>
      <w:r>
        <w:rPr>
          <w:rFonts w:ascii="Arial" w:cs="Arial" w:eastAsia="Arial" w:hAnsi="Arial"/>
          <w:sz w:val="24"/>
          <w:szCs w:val="24"/>
          <w:color w:val="auto"/>
        </w:rPr>
        <w:t xml:space="preserve"> (NYSE: EFX) today announced financial results for the quarter ended June 30, 2023.</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144145</wp:posOffset>
            </wp:positionV>
            <wp:extent cx="3810000" cy="7143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extLst>
                    </a:blip>
                    <a:srcRect/>
                    <a:stretch>
                      <a:fillRect/>
                    </a:stretch>
                  </pic:blipFill>
                  <pic:spPr bwMode="auto">
                    <a:xfrm>
                      <a:off x="0" y="0"/>
                      <a:ext cx="3810000" cy="7143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9" w:lineRule="exact"/>
        <w:rPr>
          <w:sz w:val="24"/>
          <w:szCs w:val="24"/>
          <w:color w:val="auto"/>
        </w:rPr>
      </w:pPr>
    </w:p>
    <w:p>
      <w:pPr>
        <w:ind w:left="600" w:right="20"/>
        <w:spacing w:after="0" w:line="260" w:lineRule="auto"/>
        <w:rPr>
          <w:sz w:val="20"/>
          <w:szCs w:val="20"/>
          <w:color w:val="auto"/>
        </w:rPr>
      </w:pPr>
      <w:r>
        <w:rPr>
          <w:rFonts w:ascii="Arial" w:cs="Arial" w:eastAsia="Arial" w:hAnsi="Arial"/>
          <w:sz w:val="24"/>
          <w:szCs w:val="24"/>
          <w:color w:val="auto"/>
        </w:rPr>
        <w:t>Second quarter 2023 revenue of $1.318 billion was flat and up 1% in constant currency against a mortgage market estimated to be down 37%.</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209550</wp:posOffset>
            </wp:positionH>
            <wp:positionV relativeFrom="paragraph">
              <wp:posOffset>-307975</wp:posOffset>
            </wp:positionV>
            <wp:extent cx="66675" cy="666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spacing w:after="0" w:line="247" w:lineRule="auto"/>
        <w:rPr>
          <w:sz w:val="20"/>
          <w:szCs w:val="20"/>
          <w:color w:val="auto"/>
        </w:rPr>
      </w:pPr>
      <w:r>
        <w:rPr>
          <w:rFonts w:ascii="Arial" w:cs="Arial" w:eastAsia="Arial" w:hAnsi="Arial"/>
          <w:sz w:val="24"/>
          <w:szCs w:val="24"/>
          <w:color w:val="auto"/>
        </w:rPr>
        <w:t>Very good execution of our 2023 Cloud spending reduction plan. Implemented additional actions to increase spending reduction in 2023 to $210 million and in 2024 to $275 million.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209550</wp:posOffset>
            </wp:positionH>
            <wp:positionV relativeFrom="paragraph">
              <wp:posOffset>-488315</wp:posOffset>
            </wp:positionV>
            <wp:extent cx="66675" cy="666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right="580"/>
        <w:spacing w:after="0" w:line="247" w:lineRule="auto"/>
        <w:rPr>
          <w:sz w:val="20"/>
          <w:szCs w:val="20"/>
          <w:color w:val="auto"/>
        </w:rPr>
      </w:pPr>
      <w:r>
        <w:rPr>
          <w:rFonts w:ascii="Arial" w:cs="Arial" w:eastAsia="Arial" w:hAnsi="Arial"/>
          <w:sz w:val="24"/>
          <w:szCs w:val="24"/>
          <w:color w:val="auto"/>
        </w:rPr>
        <w:t>Strong new product innovation leveraging Equifax Cloud with record New Product Vitality Index of 14%.</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209550</wp:posOffset>
            </wp:positionH>
            <wp:positionV relativeFrom="paragraph">
              <wp:posOffset>-307975</wp:posOffset>
            </wp:positionV>
            <wp:extent cx="66675" cy="666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right="280"/>
        <w:spacing w:after="0" w:line="247" w:lineRule="auto"/>
        <w:rPr>
          <w:sz w:val="20"/>
          <w:szCs w:val="20"/>
          <w:color w:val="auto"/>
        </w:rPr>
      </w:pPr>
      <w:r>
        <w:rPr>
          <w:rFonts w:ascii="Arial" w:cs="Arial" w:eastAsia="Arial" w:hAnsi="Arial"/>
          <w:sz w:val="24"/>
          <w:szCs w:val="24"/>
          <w:color w:val="auto"/>
        </w:rPr>
        <w:t>Workforce Solutions revenue down 4% from challenging mortgage and hiring market partially offset by continued strong revenue growth in Government.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209550</wp:posOffset>
            </wp:positionH>
            <wp:positionV relativeFrom="paragraph">
              <wp:posOffset>-307975</wp:posOffset>
            </wp:positionV>
            <wp:extent cx="66675" cy="666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spacing w:after="0"/>
        <w:rPr>
          <w:sz w:val="20"/>
          <w:szCs w:val="20"/>
          <w:color w:val="auto"/>
        </w:rPr>
      </w:pPr>
      <w:r>
        <w:rPr>
          <w:rFonts w:ascii="Arial" w:cs="Arial" w:eastAsia="Arial" w:hAnsi="Arial"/>
          <w:sz w:val="24"/>
          <w:szCs w:val="24"/>
          <w:color w:val="auto"/>
        </w:rPr>
        <w:t>USIS revenue up 6%, with B2B non-mortgage revenue growth of 7% and strong 9%</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209550</wp:posOffset>
            </wp:positionH>
            <wp:positionV relativeFrom="paragraph">
              <wp:posOffset>-122555</wp:posOffset>
            </wp:positionV>
            <wp:extent cx="66675" cy="666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spacing w:after="0"/>
        <w:rPr>
          <w:sz w:val="20"/>
          <w:szCs w:val="20"/>
          <w:color w:val="auto"/>
        </w:rPr>
      </w:pPr>
      <w:r>
        <w:rPr>
          <w:rFonts w:ascii="Arial" w:cs="Arial" w:eastAsia="Arial" w:hAnsi="Arial"/>
          <w:sz w:val="24"/>
          <w:szCs w:val="24"/>
          <w:color w:val="auto"/>
        </w:rPr>
        <w:t>Online B2B non-mortgage revenue growth.</w:t>
      </w:r>
    </w:p>
    <w:p>
      <w:pPr>
        <w:spacing w:after="0" w:line="9" w:lineRule="exact"/>
        <w:rPr>
          <w:sz w:val="24"/>
          <w:szCs w:val="24"/>
          <w:color w:val="auto"/>
        </w:rPr>
      </w:pPr>
    </w:p>
    <w:p>
      <w:pPr>
        <w:ind w:left="600"/>
        <w:spacing w:after="0"/>
        <w:rPr>
          <w:sz w:val="20"/>
          <w:szCs w:val="20"/>
          <w:color w:val="auto"/>
        </w:rPr>
      </w:pPr>
      <w:r>
        <w:rPr>
          <w:rFonts w:ascii="Arial" w:cs="Arial" w:eastAsia="Arial" w:hAnsi="Arial"/>
          <w:sz w:val="24"/>
          <w:szCs w:val="24"/>
          <w:color w:val="auto"/>
        </w:rPr>
        <w:t>International constant currency revenue growth of 7%.</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209550</wp:posOffset>
            </wp:positionH>
            <wp:positionV relativeFrom="paragraph">
              <wp:posOffset>-122555</wp:posOffset>
            </wp:positionV>
            <wp:extent cx="66675" cy="666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right="300"/>
        <w:spacing w:after="0" w:line="247" w:lineRule="auto"/>
        <w:rPr>
          <w:sz w:val="20"/>
          <w:szCs w:val="20"/>
          <w:color w:val="auto"/>
        </w:rPr>
      </w:pPr>
      <w:r>
        <w:rPr>
          <w:rFonts w:ascii="Arial" w:cs="Arial" w:eastAsia="Arial" w:hAnsi="Arial"/>
          <w:sz w:val="24"/>
          <w:szCs w:val="24"/>
          <w:color w:val="auto"/>
        </w:rPr>
        <w:t>Received shareholder approval for the merger of Boa Vista Serviços, the second largest credit bureau in Brazil, which will expand Equifax capabilities in the large and fast-growing Brazilian market.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209550</wp:posOffset>
            </wp:positionH>
            <wp:positionV relativeFrom="paragraph">
              <wp:posOffset>-488315</wp:posOffset>
            </wp:positionV>
            <wp:extent cx="66675" cy="666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right="60"/>
        <w:spacing w:after="0" w:line="252" w:lineRule="auto"/>
        <w:rPr>
          <w:sz w:val="20"/>
          <w:szCs w:val="20"/>
          <w:color w:val="auto"/>
        </w:rPr>
      </w:pPr>
      <w:r>
        <w:rPr>
          <w:rFonts w:ascii="Arial" w:cs="Arial" w:eastAsia="Arial" w:hAnsi="Arial"/>
          <w:sz w:val="24"/>
          <w:szCs w:val="24"/>
          <w:color w:val="auto"/>
        </w:rPr>
        <w:t>Revising guidance downward to reflect expected impact of weaker than expected U.S. mortgage originations reducing full year 2023 revenue at the midpoint to $5.300 billion. Adjusted EPS guidance revised downward to $6.98 per share at the midpoint from lower mortgage revenue.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209550</wp:posOffset>
            </wp:positionH>
            <wp:positionV relativeFrom="paragraph">
              <wp:posOffset>-683260</wp:posOffset>
            </wp:positionV>
            <wp:extent cx="66675" cy="666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spacing w:after="0" w:line="171" w:lineRule="exact"/>
        <w:rPr>
          <w:sz w:val="24"/>
          <w:szCs w:val="24"/>
          <w:color w:val="auto"/>
        </w:rPr>
      </w:pPr>
    </w:p>
    <w:p>
      <w:pPr>
        <w:ind w:right="140"/>
        <w:spacing w:after="0" w:line="251" w:lineRule="auto"/>
        <w:rPr>
          <w:sz w:val="20"/>
          <w:szCs w:val="20"/>
          <w:color w:val="auto"/>
        </w:rPr>
      </w:pPr>
      <w:r>
        <w:rPr>
          <w:rFonts w:ascii="Arial" w:cs="Arial" w:eastAsia="Arial" w:hAnsi="Arial"/>
          <w:sz w:val="24"/>
          <w:szCs w:val="24"/>
          <w:color w:val="auto"/>
        </w:rPr>
        <w:t>"Equifax had a solid second quarter against a continuing challenging mortgage market, with very good execution against our 2023 Cloud spending reduction plan. Revenue growth of 1% in constant currency was at about the midpoint of our guidance, with continued strong new product performance with a New Product Vitality Index of 14%, a record for Equifax. However, later in the quarter, we saw U.S. mortgage activity at levels below our expectations and slowing U.S. hiring activity, which impacted revenue particularly in Workforce Solutions. Workforce Solutions continued to substantially outperform the underlying mortgage and talent markets, and delivered very strong revenue growth in Government. USIS delivered a strong quarter, which included strong Online B2B non-mortgage growth of 9%, and International delivered constant currency revenue growth of 7%, which was above our expectations," said Mark W. Begor, CEO of Equifax.</w:t>
      </w:r>
    </w:p>
    <w:p>
      <w:pPr>
        <w:spacing w:after="0" w:line="200" w:lineRule="exact"/>
        <w:rPr>
          <w:sz w:val="24"/>
          <w:szCs w:val="24"/>
          <w:color w:val="auto"/>
        </w:rPr>
      </w:pPr>
    </w:p>
    <w:p>
      <w:pPr>
        <w:spacing w:after="0"/>
        <w:rPr>
          <w:sz w:val="20"/>
          <w:szCs w:val="20"/>
          <w:color w:val="auto"/>
        </w:rPr>
      </w:pPr>
      <w:r>
        <w:rPr>
          <w:rFonts w:ascii="Arial" w:cs="Arial" w:eastAsia="Arial" w:hAnsi="Arial"/>
          <w:sz w:val="24"/>
          <w:szCs w:val="24"/>
          <w:color w:val="auto"/>
        </w:rPr>
        <w:t>"In June, we received shareholder approval for the merger of Boa Vista Serviços, the</w:t>
      </w:r>
    </w:p>
    <w:p>
      <w:pPr>
        <w:sectPr>
          <w:pgSz w:w="12240" w:h="15840" w:orient="portrait"/>
          <w:cols w:equalWidth="0" w:num="1">
            <w:col w:w="9840"/>
          </w:cols>
          <w:pgMar w:left="1200" w:top="1057" w:right="1200" w:bottom="352" w:gutter="0" w:footer="0" w:header="0"/>
        </w:sectPr>
      </w:pPr>
    </w:p>
    <w:bookmarkStart w:id="1" w:name="page2"/>
    <w:bookmarkEnd w:id="1"/>
    <w:p>
      <w:pPr>
        <w:ind w:right="460"/>
        <w:spacing w:after="0" w:line="256" w:lineRule="auto"/>
        <w:rPr>
          <w:sz w:val="20"/>
          <w:szCs w:val="20"/>
          <w:color w:val="auto"/>
        </w:rPr>
      </w:pPr>
      <w:r>
        <w:rPr>
          <w:rFonts w:ascii="Arial" w:cs="Arial" w:eastAsia="Arial" w:hAnsi="Arial"/>
          <w:sz w:val="24"/>
          <w:szCs w:val="24"/>
          <w:color w:val="auto"/>
        </w:rPr>
        <w:t>second largest credit bureau in Brazil, and we expect to close the strategic acquisition in early August. This merger will expand Equifax capabilities in the large and fast- growing Brazilian market and add to our diverse International portfolio, while giving Boa Vista Serviços access to our expansive global capabilities and cloud-native data, products, decisioning and analytical technology for the rapid development of new products and services, and expansion into new industries."</w:t>
      </w:r>
    </w:p>
    <w:p>
      <w:pPr>
        <w:spacing w:after="0" w:line="184" w:lineRule="exact"/>
        <w:rPr>
          <w:sz w:val="20"/>
          <w:szCs w:val="20"/>
          <w:color w:val="auto"/>
        </w:rPr>
      </w:pPr>
    </w:p>
    <w:p>
      <w:pPr>
        <w:spacing w:after="0" w:line="251" w:lineRule="auto"/>
        <w:rPr>
          <w:sz w:val="20"/>
          <w:szCs w:val="20"/>
          <w:color w:val="auto"/>
        </w:rPr>
      </w:pPr>
      <w:r>
        <w:rPr>
          <w:rFonts w:ascii="Arial" w:cs="Arial" w:eastAsia="Arial" w:hAnsi="Arial"/>
          <w:sz w:val="24"/>
          <w:szCs w:val="24"/>
          <w:color w:val="auto"/>
        </w:rPr>
        <w:t>"We expect the weaker than expected U.S. mortgage market that we saw in June to continue, and we now expect full year mortgage originations to decline about 37%, which is down five percentage points from our prior framework. We also expect to see the slowing in U.S. hiring to continue throughout 2023, but expect to offset this impact on non-mortgage revenue with stronger growth in the Workforce Government business, as well as solid performance in USIS and International. As we look to our Full Year 2023 guidance, we are reducing our Revenue guidance to $5.300 billion at the midpoint reflecting the more negative impact of the weaker mortgage market and loss of high margin mortgage revenue. We are taking actions to realize additional Cloud spending reductions of $10 million in the second half. Our full year Adjusted EPS Guidance is now $6.98 at the midpoint, reflecting the impact of the lower mortgage revenue."</w:t>
      </w:r>
    </w:p>
    <w:p>
      <w:pPr>
        <w:spacing w:after="0" w:line="200" w:lineRule="exact"/>
        <w:rPr>
          <w:sz w:val="20"/>
          <w:szCs w:val="20"/>
          <w:color w:val="auto"/>
        </w:rPr>
      </w:pPr>
    </w:p>
    <w:p>
      <w:pPr>
        <w:ind w:right="140"/>
        <w:spacing w:after="0" w:line="258" w:lineRule="auto"/>
        <w:rPr>
          <w:sz w:val="20"/>
          <w:szCs w:val="20"/>
          <w:color w:val="auto"/>
        </w:rPr>
      </w:pPr>
      <w:r>
        <w:rPr>
          <w:rFonts w:ascii="Arial" w:cs="Arial" w:eastAsia="Arial" w:hAnsi="Arial"/>
          <w:sz w:val="24"/>
          <w:szCs w:val="24"/>
          <w:color w:val="auto"/>
        </w:rPr>
        <w:t>"We are confident in the future of the New Equifax as we move toward completion of our EFX Cloud and Data transformation, leverage our new Cloud capabilities to accelerate new product roll-outs that 'Only Equifax' can provide to drive future growth in 2023 and beyond. We are energized about the New Equifax and remain confident in our long-term 8-12% revenue growth framework that will deliver higher margins and free cash flow."</w:t>
      </w:r>
    </w:p>
    <w:p>
      <w:pPr>
        <w:spacing w:after="0" w:line="178" w:lineRule="exact"/>
        <w:rPr>
          <w:sz w:val="20"/>
          <w:szCs w:val="20"/>
          <w:color w:val="auto"/>
        </w:rPr>
      </w:pPr>
    </w:p>
    <w:p>
      <w:pPr>
        <w:spacing w:after="0"/>
        <w:rPr>
          <w:sz w:val="20"/>
          <w:szCs w:val="20"/>
          <w:color w:val="auto"/>
        </w:rPr>
      </w:pPr>
      <w:r>
        <w:rPr>
          <w:rFonts w:ascii="Arial" w:cs="Arial" w:eastAsia="Arial" w:hAnsi="Arial"/>
          <w:sz w:val="24"/>
          <w:szCs w:val="24"/>
          <w:b w:val="1"/>
          <w:bCs w:val="1"/>
          <w:u w:val="single" w:color="auto"/>
          <w:color w:val="auto"/>
        </w:rPr>
        <w:t>Financial Results Summary</w:t>
      </w:r>
    </w:p>
    <w:p>
      <w:pPr>
        <w:spacing w:after="0" w:line="253" w:lineRule="exact"/>
        <w:rPr>
          <w:sz w:val="20"/>
          <w:szCs w:val="20"/>
          <w:color w:val="auto"/>
        </w:rPr>
      </w:pPr>
    </w:p>
    <w:p>
      <w:pPr>
        <w:ind w:right="120"/>
        <w:spacing w:after="0" w:line="268" w:lineRule="auto"/>
        <w:rPr>
          <w:sz w:val="20"/>
          <w:szCs w:val="20"/>
          <w:color w:val="auto"/>
        </w:rPr>
      </w:pPr>
      <w:r>
        <w:rPr>
          <w:rFonts w:ascii="Arial" w:cs="Arial" w:eastAsia="Arial" w:hAnsi="Arial"/>
          <w:sz w:val="24"/>
          <w:szCs w:val="24"/>
          <w:color w:val="auto"/>
        </w:rPr>
        <w:t>The company reported revenue of $1,317.6 million in the second quarter of 2023, flat compared to the second quarter of 2022 on a reported basis and up 1% on a local currency basis.</w:t>
      </w:r>
    </w:p>
    <w:p>
      <w:pPr>
        <w:spacing w:after="0" w:line="170" w:lineRule="exact"/>
        <w:rPr>
          <w:sz w:val="20"/>
          <w:szCs w:val="20"/>
          <w:color w:val="auto"/>
        </w:rPr>
      </w:pPr>
    </w:p>
    <w:p>
      <w:pPr>
        <w:ind w:right="120"/>
        <w:spacing w:after="0" w:line="288" w:lineRule="auto"/>
        <w:rPr>
          <w:sz w:val="20"/>
          <w:szCs w:val="20"/>
          <w:color w:val="auto"/>
        </w:rPr>
      </w:pPr>
      <w:r>
        <w:rPr>
          <w:rFonts w:ascii="Arial" w:cs="Arial" w:eastAsia="Arial" w:hAnsi="Arial"/>
          <w:sz w:val="24"/>
          <w:szCs w:val="24"/>
          <w:color w:val="auto"/>
        </w:rPr>
        <w:t>Net income attributable to Equifax of $138.3 million was down 31% in the second quarter of 2023 compared to $200.6 million in the second quarter of 2022.</w:t>
      </w:r>
    </w:p>
    <w:p>
      <w:pPr>
        <w:spacing w:after="0" w:line="148" w:lineRule="exact"/>
        <w:rPr>
          <w:sz w:val="20"/>
          <w:szCs w:val="20"/>
          <w:color w:val="auto"/>
        </w:rPr>
      </w:pPr>
    </w:p>
    <w:p>
      <w:pPr>
        <w:ind w:right="440"/>
        <w:spacing w:after="0" w:line="288" w:lineRule="auto"/>
        <w:rPr>
          <w:sz w:val="20"/>
          <w:szCs w:val="20"/>
          <w:color w:val="auto"/>
        </w:rPr>
      </w:pPr>
      <w:r>
        <w:rPr>
          <w:rFonts w:ascii="Arial" w:cs="Arial" w:eastAsia="Arial" w:hAnsi="Arial"/>
          <w:sz w:val="24"/>
          <w:szCs w:val="24"/>
          <w:color w:val="auto"/>
        </w:rPr>
        <w:t>Diluted EPS attributable to Equifax was $ 1.12 for the second quarter of 2023, down 31% compared to $1.63 in the second quarter of 2022.</w:t>
      </w:r>
    </w:p>
    <w:p>
      <w:pPr>
        <w:spacing w:after="0" w:line="14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Workforce Solutions second quarter results</w:t>
      </w:r>
    </w:p>
    <w:p>
      <w:pPr>
        <w:spacing w:after="0" w:line="253" w:lineRule="exact"/>
        <w:rPr>
          <w:sz w:val="20"/>
          <w:szCs w:val="20"/>
          <w:color w:val="auto"/>
        </w:rPr>
      </w:pPr>
    </w:p>
    <w:p>
      <w:pPr>
        <w:ind w:left="600"/>
        <w:spacing w:after="0" w:line="253" w:lineRule="auto"/>
        <w:rPr>
          <w:sz w:val="20"/>
          <w:szCs w:val="20"/>
          <w:color w:val="auto"/>
        </w:rPr>
      </w:pPr>
      <w:r>
        <w:rPr>
          <w:rFonts w:ascii="Arial" w:cs="Arial" w:eastAsia="Arial" w:hAnsi="Arial"/>
          <w:sz w:val="24"/>
          <w:szCs w:val="24"/>
          <w:color w:val="auto"/>
        </w:rPr>
        <w:t>Total revenue was $582.8 million in the second quarter of 2023, down 4% compared to the second quarter of 2022. Operating margin for Workforce Solutions was 42.0% in the second quarter of 2023 compared to 46.2% in the second quarter of 2022. Adjusted EBITDA margin for Workforce Solutions was 51.5% in the second quarter of 2023 compared to 53.4% in the second quarter of 2022.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209550</wp:posOffset>
            </wp:positionH>
            <wp:positionV relativeFrom="paragraph">
              <wp:posOffset>-851535</wp:posOffset>
            </wp:positionV>
            <wp:extent cx="66675" cy="666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right="300"/>
        <w:spacing w:after="0" w:line="247" w:lineRule="auto"/>
        <w:rPr>
          <w:sz w:val="20"/>
          <w:szCs w:val="20"/>
          <w:color w:val="auto"/>
        </w:rPr>
      </w:pPr>
      <w:r>
        <w:rPr>
          <w:rFonts w:ascii="Arial" w:cs="Arial" w:eastAsia="Arial" w:hAnsi="Arial"/>
          <w:sz w:val="24"/>
          <w:szCs w:val="24"/>
          <w:color w:val="auto"/>
        </w:rPr>
        <w:t>Verification Services revenue was $474.0 million, down 6% compared to the second quarter of 2022.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209550</wp:posOffset>
            </wp:positionH>
            <wp:positionV relativeFrom="paragraph">
              <wp:posOffset>-307975</wp:posOffset>
            </wp:positionV>
            <wp:extent cx="66675" cy="666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right="780"/>
        <w:spacing w:after="0" w:line="262" w:lineRule="auto"/>
        <w:rPr>
          <w:sz w:val="20"/>
          <w:szCs w:val="20"/>
          <w:color w:val="auto"/>
        </w:rPr>
      </w:pPr>
      <w:r>
        <w:rPr>
          <w:rFonts w:ascii="Arial" w:cs="Arial" w:eastAsia="Arial" w:hAnsi="Arial"/>
          <w:sz w:val="24"/>
          <w:szCs w:val="24"/>
          <w:color w:val="auto"/>
        </w:rPr>
        <w:t>Employer Services revenue was $108.8 million, up 4% compared to the second quarter of 2022.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209550</wp:posOffset>
            </wp:positionH>
            <wp:positionV relativeFrom="paragraph">
              <wp:posOffset>-329565</wp:posOffset>
            </wp:positionV>
            <wp:extent cx="66675" cy="666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spacing w:after="0" w:line="15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USIS second quarter results</w:t>
      </w:r>
    </w:p>
    <w:p>
      <w:pPr>
        <w:sectPr>
          <w:pgSz w:w="12240" w:h="15840" w:orient="portrait"/>
          <w:cols w:equalWidth="0" w:num="1">
            <w:col w:w="9800"/>
          </w:cols>
          <w:pgMar w:left="1200" w:top="1057" w:right="1240" w:bottom="386" w:gutter="0" w:footer="0" w:header="0"/>
        </w:sectPr>
      </w:pPr>
    </w:p>
    <w:bookmarkStart w:id="2" w:name="page3"/>
    <w:bookmarkEnd w:id="2"/>
    <w:p>
      <w:pPr>
        <w:ind w:left="600"/>
        <w:spacing w:after="0" w:line="253" w:lineRule="auto"/>
        <w:rPr>
          <w:sz w:val="20"/>
          <w:szCs w:val="20"/>
          <w:color w:val="auto"/>
        </w:rPr>
      </w:pPr>
      <w:r>
        <w:rPr>
          <w:rFonts w:ascii="Arial" w:cs="Arial" w:eastAsia="Arial" w:hAnsi="Arial"/>
          <w:sz w:val="24"/>
          <w:szCs w:val="24"/>
          <w:color w:val="auto"/>
        </w:rPr>
        <w:t>Total revenue was $ 445.0 million in the second quarter of 2023, up 6% compared to $421.4 million in the second quarter of 2022. Operating margin for USIS was 23.1% in the second quarter of 2023 compared to 26.6% in the second quarter of 2022. Adjusted EBITDA margin for USIS was 36.0% in the second quarter of 2023 compared to 38.2% in the second quarter of 2022.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209550</wp:posOffset>
            </wp:positionH>
            <wp:positionV relativeFrom="paragraph">
              <wp:posOffset>-851535</wp:posOffset>
            </wp:positionV>
            <wp:extent cx="66675" cy="666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right="600"/>
        <w:spacing w:after="0" w:line="247" w:lineRule="auto"/>
        <w:rPr>
          <w:sz w:val="20"/>
          <w:szCs w:val="20"/>
          <w:color w:val="auto"/>
        </w:rPr>
      </w:pPr>
      <w:r>
        <w:rPr>
          <w:rFonts w:ascii="Arial" w:cs="Arial" w:eastAsia="Arial" w:hAnsi="Arial"/>
          <w:sz w:val="24"/>
          <w:szCs w:val="24"/>
          <w:color w:val="auto"/>
        </w:rPr>
        <w:t>Online Information Solutions revenue was $358.6 million, up 9% compared to the second quarter of 2022.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209550</wp:posOffset>
            </wp:positionH>
            <wp:positionV relativeFrom="paragraph">
              <wp:posOffset>-307975</wp:posOffset>
            </wp:positionV>
            <wp:extent cx="66675" cy="666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right="400"/>
        <w:spacing w:after="0" w:line="247" w:lineRule="auto"/>
        <w:rPr>
          <w:sz w:val="20"/>
          <w:szCs w:val="20"/>
          <w:color w:val="auto"/>
        </w:rPr>
      </w:pPr>
      <w:r>
        <w:rPr>
          <w:rFonts w:ascii="Arial" w:cs="Arial" w:eastAsia="Arial" w:hAnsi="Arial"/>
          <w:sz w:val="24"/>
          <w:szCs w:val="24"/>
          <w:color w:val="auto"/>
        </w:rPr>
        <w:t>Mortgage Solutions revenue was $30.3 million, down 18% compared to the second quarter of 2022.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209550</wp:posOffset>
            </wp:positionH>
            <wp:positionV relativeFrom="paragraph">
              <wp:posOffset>-307975</wp:posOffset>
            </wp:positionV>
            <wp:extent cx="66675" cy="666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right="680"/>
        <w:spacing w:after="0" w:line="262" w:lineRule="auto"/>
        <w:rPr>
          <w:sz w:val="20"/>
          <w:szCs w:val="20"/>
          <w:color w:val="auto"/>
        </w:rPr>
      </w:pPr>
      <w:r>
        <w:rPr>
          <w:rFonts w:ascii="Arial" w:cs="Arial" w:eastAsia="Arial" w:hAnsi="Arial"/>
          <w:sz w:val="24"/>
          <w:szCs w:val="24"/>
          <w:color w:val="auto"/>
        </w:rPr>
        <w:t>Financial Marketing Services revenue was $56.1 million, up 1% compared to the second quarter of 2022.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209550</wp:posOffset>
            </wp:positionH>
            <wp:positionV relativeFrom="paragraph">
              <wp:posOffset>-329565</wp:posOffset>
            </wp:positionV>
            <wp:extent cx="66675" cy="666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spacing w:after="0" w:line="15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International second quarter results</w:t>
      </w:r>
    </w:p>
    <w:p>
      <w:pPr>
        <w:spacing w:after="0" w:line="253" w:lineRule="exact"/>
        <w:rPr>
          <w:sz w:val="20"/>
          <w:szCs w:val="20"/>
          <w:color w:val="auto"/>
        </w:rPr>
      </w:pPr>
    </w:p>
    <w:p>
      <w:pPr>
        <w:ind w:left="600" w:right="120"/>
        <w:spacing w:after="0" w:line="252" w:lineRule="auto"/>
        <w:rPr>
          <w:sz w:val="20"/>
          <w:szCs w:val="20"/>
          <w:color w:val="auto"/>
        </w:rPr>
      </w:pPr>
      <w:r>
        <w:rPr>
          <w:rFonts w:ascii="Arial" w:cs="Arial" w:eastAsia="Arial" w:hAnsi="Arial"/>
          <w:sz w:val="24"/>
          <w:szCs w:val="24"/>
          <w:color w:val="auto"/>
        </w:rPr>
        <w:t>Total revenue was $289.8 million in the second quarter of 2023, up 1% and 7% compared to the second quarter of 2022 on a reported and local currency basis, respectively. Operating margin for International was 11.9% in the second quarter of 2023, compared to 11.3% in the second quarter of 2022. Adjusted EBITDA margin for International was 24.2% in the second quarter of 2023, compared to 24.7% in the second quarter of 2022.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209550</wp:posOffset>
            </wp:positionH>
            <wp:positionV relativeFrom="paragraph">
              <wp:posOffset>-1031875</wp:posOffset>
            </wp:positionV>
            <wp:extent cx="66675" cy="666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right="140"/>
        <w:spacing w:after="0" w:line="247" w:lineRule="auto"/>
        <w:rPr>
          <w:sz w:val="20"/>
          <w:szCs w:val="20"/>
          <w:color w:val="auto"/>
        </w:rPr>
      </w:pPr>
      <w:r>
        <w:rPr>
          <w:rFonts w:ascii="Arial" w:cs="Arial" w:eastAsia="Arial" w:hAnsi="Arial"/>
          <w:sz w:val="24"/>
          <w:szCs w:val="24"/>
          <w:color w:val="auto"/>
        </w:rPr>
        <w:t>Asia Pacific revenue was $87.7 million, down 3% and up 4% compared to the second quarter of 2022 on a reported and local currency basis, respectively.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209550</wp:posOffset>
            </wp:positionH>
            <wp:positionV relativeFrom="paragraph">
              <wp:posOffset>-307975</wp:posOffset>
            </wp:positionV>
            <wp:extent cx="66675" cy="666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right="120"/>
        <w:spacing w:after="0" w:line="247" w:lineRule="auto"/>
        <w:rPr>
          <w:sz w:val="20"/>
          <w:szCs w:val="20"/>
          <w:color w:val="auto"/>
        </w:rPr>
      </w:pPr>
      <w:r>
        <w:rPr>
          <w:rFonts w:ascii="Arial" w:cs="Arial" w:eastAsia="Arial" w:hAnsi="Arial"/>
          <w:sz w:val="24"/>
          <w:szCs w:val="24"/>
          <w:color w:val="auto"/>
        </w:rPr>
        <w:t>Europe revenue was $78.7 million, down 1% and 2% compared to the second quarter of 2022 on a reported and local currency basis, respectively.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209550</wp:posOffset>
            </wp:positionH>
            <wp:positionV relativeFrom="paragraph">
              <wp:posOffset>-307975</wp:posOffset>
            </wp:positionV>
            <wp:extent cx="66675" cy="666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right="100"/>
        <w:spacing w:after="0" w:line="247" w:lineRule="auto"/>
        <w:rPr>
          <w:sz w:val="20"/>
          <w:szCs w:val="20"/>
          <w:color w:val="auto"/>
        </w:rPr>
      </w:pPr>
      <w:r>
        <w:rPr>
          <w:rFonts w:ascii="Arial" w:cs="Arial" w:eastAsia="Arial" w:hAnsi="Arial"/>
          <w:sz w:val="24"/>
          <w:szCs w:val="24"/>
          <w:color w:val="auto"/>
        </w:rPr>
        <w:t>Canada revenue was $66.5 million, up 4% and 8% compared to the second quarter of 2022 on a reported and local currency basis, respectively.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209550</wp:posOffset>
            </wp:positionH>
            <wp:positionV relativeFrom="paragraph">
              <wp:posOffset>-307975</wp:posOffset>
            </wp:positionV>
            <wp:extent cx="66675" cy="666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right="420"/>
        <w:spacing w:after="0" w:line="262" w:lineRule="auto"/>
        <w:rPr>
          <w:sz w:val="20"/>
          <w:szCs w:val="20"/>
          <w:color w:val="auto"/>
        </w:rPr>
      </w:pPr>
      <w:r>
        <w:rPr>
          <w:rFonts w:ascii="Arial" w:cs="Arial" w:eastAsia="Arial" w:hAnsi="Arial"/>
          <w:sz w:val="24"/>
          <w:szCs w:val="24"/>
          <w:color w:val="auto"/>
        </w:rPr>
        <w:t>Latin America revenue was $56.9 million, up 9% and 23% compared to the second quarter of 2022 on a reported and local currency basis, respectively.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209550</wp:posOffset>
            </wp:positionH>
            <wp:positionV relativeFrom="paragraph">
              <wp:posOffset>-329565</wp:posOffset>
            </wp:positionV>
            <wp:extent cx="66675" cy="666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spacing w:after="0" w:line="15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Adjusted EPS and Adjusted EBITDA Margin</w:t>
      </w:r>
    </w:p>
    <w:p>
      <w:pPr>
        <w:spacing w:after="0" w:line="253" w:lineRule="exact"/>
        <w:rPr>
          <w:sz w:val="20"/>
          <w:szCs w:val="20"/>
          <w:color w:val="auto"/>
        </w:rPr>
      </w:pPr>
    </w:p>
    <w:p>
      <w:pPr>
        <w:ind w:left="600" w:right="280"/>
        <w:spacing w:after="0" w:line="260" w:lineRule="auto"/>
        <w:rPr>
          <w:sz w:val="20"/>
          <w:szCs w:val="20"/>
          <w:color w:val="auto"/>
        </w:rPr>
      </w:pPr>
      <w:r>
        <w:rPr>
          <w:rFonts w:ascii="Arial" w:cs="Arial" w:eastAsia="Arial" w:hAnsi="Arial"/>
          <w:sz w:val="24"/>
          <w:szCs w:val="24"/>
          <w:color w:val="auto"/>
        </w:rPr>
        <w:t>Adjusted EPS attributable to Equifax was $1.71 in the second quarter of 2023, down 18% compared to the second quarter of 2022.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209550</wp:posOffset>
            </wp:positionH>
            <wp:positionV relativeFrom="paragraph">
              <wp:posOffset>-307975</wp:posOffset>
            </wp:positionV>
            <wp:extent cx="66675" cy="666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right="700"/>
        <w:spacing w:after="0" w:line="247" w:lineRule="auto"/>
        <w:rPr>
          <w:sz w:val="20"/>
          <w:szCs w:val="20"/>
          <w:color w:val="auto"/>
        </w:rPr>
      </w:pPr>
      <w:r>
        <w:rPr>
          <w:rFonts w:ascii="Arial" w:cs="Arial" w:eastAsia="Arial" w:hAnsi="Arial"/>
          <w:sz w:val="24"/>
          <w:szCs w:val="24"/>
          <w:color w:val="auto"/>
        </w:rPr>
        <w:t>Adjusted EBITDA margin was 32.7% in the second quarter of 2023 compared to 35.0% in the second quarter of 2022.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209550</wp:posOffset>
            </wp:positionH>
            <wp:positionV relativeFrom="paragraph">
              <wp:posOffset>-307975</wp:posOffset>
            </wp:positionV>
            <wp:extent cx="66675" cy="6667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right="120"/>
        <w:spacing w:after="0" w:line="262" w:lineRule="auto"/>
        <w:rPr>
          <w:sz w:val="20"/>
          <w:szCs w:val="20"/>
          <w:color w:val="auto"/>
        </w:rPr>
      </w:pPr>
      <w:r>
        <w:rPr>
          <w:rFonts w:ascii="Arial" w:cs="Arial" w:eastAsia="Arial" w:hAnsi="Arial"/>
          <w:sz w:val="24"/>
          <w:szCs w:val="24"/>
          <w:color w:val="auto"/>
        </w:rPr>
        <w:t>These financial measures exclude adjustments as described further in the Non-GAAP Financial Measures section below.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209550</wp:posOffset>
            </wp:positionH>
            <wp:positionV relativeFrom="paragraph">
              <wp:posOffset>-329565</wp:posOffset>
            </wp:positionV>
            <wp:extent cx="66675" cy="6667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spacing w:after="0" w:line="133" w:lineRule="exact"/>
        <w:rPr>
          <w:sz w:val="20"/>
          <w:szCs w:val="20"/>
          <w:color w:val="auto"/>
        </w:rPr>
      </w:pPr>
    </w:p>
    <w:tbl>
      <w:tblPr>
        <w:tblLayout w:type="fixed"/>
        <w:tblInd w:w="60" w:type="dxa"/>
        <w:tblCellMar>
          <w:top w:w="0" w:type="dxa"/>
          <w:left w:w="0" w:type="dxa"/>
          <w:bottom w:w="0" w:type="dxa"/>
          <w:right w:w="0" w:type="dxa"/>
        </w:tblCellMar>
      </w:tblPr>
      <w:tr>
        <w:trPr>
          <w:trHeight w:val="310"/>
        </w:trPr>
        <w:tc>
          <w:tcPr>
            <w:tcW w:w="3840" w:type="dxa"/>
            <w:vAlign w:val="bottom"/>
            <w:gridSpan w:val="4"/>
          </w:tcPr>
          <w:p>
            <w:pPr>
              <w:spacing w:after="0"/>
              <w:rPr>
                <w:sz w:val="20"/>
                <w:szCs w:val="20"/>
                <w:color w:val="auto"/>
              </w:rPr>
            </w:pPr>
            <w:r>
              <w:rPr>
                <w:rFonts w:ascii="Arial" w:cs="Arial" w:eastAsia="Arial" w:hAnsi="Arial"/>
                <w:sz w:val="17"/>
                <w:szCs w:val="17"/>
                <w:b w:val="1"/>
                <w:bCs w:val="1"/>
                <w:color w:val="auto"/>
              </w:rPr>
              <w:t>2023 Third Quarter and Full Year Guidance</w:t>
            </w:r>
            <w:r>
              <w:rPr>
                <w:rFonts w:ascii="Arial" w:cs="Arial" w:eastAsia="Arial" w:hAnsi="Arial"/>
                <w:sz w:val="27"/>
                <w:szCs w:val="27"/>
                <w:b w:val="1"/>
                <w:bCs w:val="1"/>
                <w:color w:val="auto"/>
                <w:vertAlign w:val="superscript"/>
              </w:rPr>
              <w:t>(2)</w:t>
            </w:r>
          </w:p>
        </w:tc>
        <w:tc>
          <w:tcPr>
            <w:tcW w:w="34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140" w:type="dxa"/>
            <w:vAlign w:val="bottom"/>
          </w:tcPr>
          <w:p>
            <w:pPr>
              <w:spacing w:after="0"/>
              <w:rPr>
                <w:sz w:val="24"/>
                <w:szCs w:val="24"/>
                <w:color w:val="auto"/>
              </w:rPr>
            </w:pPr>
          </w:p>
        </w:tc>
      </w:tr>
      <w:tr>
        <w:trPr>
          <w:trHeight w:val="227"/>
        </w:trPr>
        <w:tc>
          <w:tcPr>
            <w:tcW w:w="258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1720" w:type="dxa"/>
            <w:vAlign w:val="bottom"/>
            <w:gridSpan w:val="4"/>
          </w:tcPr>
          <w:p>
            <w:pPr>
              <w:ind w:left="40"/>
              <w:spacing w:after="0"/>
              <w:rPr>
                <w:sz w:val="20"/>
                <w:szCs w:val="20"/>
                <w:color w:val="auto"/>
              </w:rPr>
            </w:pPr>
            <w:r>
              <w:rPr>
                <w:rFonts w:ascii="Arial" w:cs="Arial" w:eastAsia="Arial" w:hAnsi="Arial"/>
                <w:sz w:val="17"/>
                <w:szCs w:val="17"/>
                <w:b w:val="1"/>
                <w:bCs w:val="1"/>
                <w:color w:val="auto"/>
              </w:rPr>
              <w:t>Q3 2023</w:t>
            </w:r>
          </w:p>
        </w:tc>
        <w:tc>
          <w:tcPr>
            <w:tcW w:w="36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1500" w:type="dxa"/>
            <w:vAlign w:val="bottom"/>
            <w:gridSpan w:val="4"/>
          </w:tcPr>
          <w:p>
            <w:pPr>
              <w:ind w:left="40"/>
              <w:spacing w:after="0"/>
              <w:rPr>
                <w:sz w:val="20"/>
                <w:szCs w:val="20"/>
                <w:color w:val="auto"/>
              </w:rPr>
            </w:pPr>
            <w:r>
              <w:rPr>
                <w:rFonts w:ascii="Arial" w:cs="Arial" w:eastAsia="Arial" w:hAnsi="Arial"/>
                <w:sz w:val="17"/>
                <w:szCs w:val="17"/>
                <w:b w:val="1"/>
                <w:bCs w:val="1"/>
                <w:color w:val="auto"/>
              </w:rPr>
              <w:t>FY 2023</w:t>
            </w:r>
          </w:p>
        </w:tc>
      </w:tr>
      <w:tr>
        <w:trPr>
          <w:trHeight w:val="184"/>
        </w:trPr>
        <w:tc>
          <w:tcPr>
            <w:tcW w:w="258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660" w:type="dxa"/>
            <w:vAlign w:val="bottom"/>
            <w:tcBorders>
              <w:bottom w:val="single" w:sz="8" w:color="auto"/>
            </w:tcBorders>
          </w:tcPr>
          <w:p>
            <w:pPr>
              <w:jc w:val="center"/>
              <w:spacing w:after="0" w:line="185" w:lineRule="exact"/>
              <w:rPr>
                <w:sz w:val="20"/>
                <w:szCs w:val="20"/>
                <w:color w:val="auto"/>
              </w:rPr>
            </w:pPr>
            <w:r>
              <w:rPr>
                <w:rFonts w:ascii="Arial" w:cs="Arial" w:eastAsia="Arial" w:hAnsi="Arial"/>
                <w:sz w:val="17"/>
                <w:szCs w:val="17"/>
                <w:color w:val="auto"/>
                <w:w w:val="95"/>
              </w:rPr>
              <w:t>Low-End</w:t>
            </w:r>
          </w:p>
        </w:tc>
        <w:tc>
          <w:tcPr>
            <w:tcW w:w="36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680" w:type="dxa"/>
            <w:vAlign w:val="bottom"/>
            <w:tcBorders>
              <w:bottom w:val="single" w:sz="8" w:color="auto"/>
            </w:tcBorders>
          </w:tcPr>
          <w:p>
            <w:pPr>
              <w:jc w:val="center"/>
              <w:spacing w:after="0" w:line="185" w:lineRule="exact"/>
              <w:rPr>
                <w:sz w:val="20"/>
                <w:szCs w:val="20"/>
                <w:color w:val="auto"/>
              </w:rPr>
            </w:pPr>
            <w:r>
              <w:rPr>
                <w:rFonts w:ascii="Arial" w:cs="Arial" w:eastAsia="Arial" w:hAnsi="Arial"/>
                <w:sz w:val="17"/>
                <w:szCs w:val="17"/>
                <w:color w:val="auto"/>
                <w:w w:val="95"/>
              </w:rPr>
              <w:t>High-End</w:t>
            </w:r>
          </w:p>
        </w:tc>
        <w:tc>
          <w:tcPr>
            <w:tcW w:w="34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660" w:type="dxa"/>
            <w:vAlign w:val="bottom"/>
            <w:tcBorders>
              <w:bottom w:val="single" w:sz="8" w:color="auto"/>
            </w:tcBorders>
          </w:tcPr>
          <w:p>
            <w:pPr>
              <w:jc w:val="center"/>
              <w:spacing w:after="0" w:line="185" w:lineRule="exact"/>
              <w:rPr>
                <w:sz w:val="20"/>
                <w:szCs w:val="20"/>
                <w:color w:val="auto"/>
              </w:rPr>
            </w:pPr>
            <w:r>
              <w:rPr>
                <w:rFonts w:ascii="Arial" w:cs="Arial" w:eastAsia="Arial" w:hAnsi="Arial"/>
                <w:sz w:val="17"/>
                <w:szCs w:val="17"/>
                <w:color w:val="auto"/>
                <w:w w:val="95"/>
              </w:rPr>
              <w:t>Low-End</w:t>
            </w:r>
          </w:p>
        </w:tc>
        <w:tc>
          <w:tcPr>
            <w:tcW w:w="34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700" w:type="dxa"/>
            <w:vAlign w:val="bottom"/>
            <w:tcBorders>
              <w:bottom w:val="single" w:sz="8" w:color="auto"/>
            </w:tcBorders>
          </w:tcPr>
          <w:p>
            <w:pPr>
              <w:jc w:val="center"/>
              <w:spacing w:after="0" w:line="185" w:lineRule="exact"/>
              <w:rPr>
                <w:sz w:val="20"/>
                <w:szCs w:val="20"/>
                <w:color w:val="auto"/>
              </w:rPr>
            </w:pPr>
            <w:r>
              <w:rPr>
                <w:rFonts w:ascii="Arial" w:cs="Arial" w:eastAsia="Arial" w:hAnsi="Arial"/>
                <w:sz w:val="17"/>
                <w:szCs w:val="17"/>
                <w:color w:val="auto"/>
                <w:w w:val="95"/>
              </w:rPr>
              <w:t>High-End</w:t>
            </w:r>
          </w:p>
        </w:tc>
        <w:tc>
          <w:tcPr>
            <w:tcW w:w="140" w:type="dxa"/>
            <w:vAlign w:val="bottom"/>
          </w:tcPr>
          <w:p>
            <w:pPr>
              <w:spacing w:after="0"/>
              <w:rPr>
                <w:sz w:val="16"/>
                <w:szCs w:val="16"/>
                <w:color w:val="auto"/>
              </w:rPr>
            </w:pPr>
          </w:p>
        </w:tc>
      </w:tr>
      <w:tr>
        <w:trPr>
          <w:trHeight w:val="242"/>
        </w:trPr>
        <w:tc>
          <w:tcPr>
            <w:tcW w:w="2580" w:type="dxa"/>
            <w:vAlign w:val="bottom"/>
          </w:tcPr>
          <w:p>
            <w:pPr>
              <w:spacing w:after="0"/>
              <w:rPr>
                <w:sz w:val="20"/>
                <w:szCs w:val="20"/>
                <w:color w:val="auto"/>
              </w:rPr>
            </w:pPr>
            <w:r>
              <w:rPr>
                <w:rFonts w:ascii="Arial" w:cs="Arial" w:eastAsia="Arial" w:hAnsi="Arial"/>
                <w:sz w:val="17"/>
                <w:szCs w:val="17"/>
                <w:color w:val="auto"/>
              </w:rPr>
              <w:t>Reported Revenue</w:t>
            </w:r>
          </w:p>
        </w:tc>
        <w:tc>
          <w:tcPr>
            <w:tcW w:w="1260" w:type="dxa"/>
            <w:vAlign w:val="bottom"/>
            <w:gridSpan w:val="3"/>
          </w:tcPr>
          <w:p>
            <w:pPr>
              <w:jc w:val="center"/>
              <w:ind w:right="38"/>
              <w:spacing w:after="0"/>
              <w:rPr>
                <w:sz w:val="20"/>
                <w:szCs w:val="20"/>
                <w:color w:val="auto"/>
              </w:rPr>
            </w:pPr>
            <w:r>
              <w:rPr>
                <w:rFonts w:ascii="Arial" w:cs="Arial" w:eastAsia="Arial" w:hAnsi="Arial"/>
                <w:sz w:val="17"/>
                <w:szCs w:val="17"/>
                <w:color w:val="auto"/>
                <w:w w:val="97"/>
              </w:rPr>
              <w:t>$1.320 billion</w:t>
            </w:r>
          </w:p>
        </w:tc>
        <w:tc>
          <w:tcPr>
            <w:tcW w:w="1360" w:type="dxa"/>
            <w:vAlign w:val="bottom"/>
            <w:gridSpan w:val="3"/>
          </w:tcPr>
          <w:p>
            <w:pPr>
              <w:jc w:val="center"/>
              <w:ind w:right="20"/>
              <w:spacing w:after="0"/>
              <w:rPr>
                <w:sz w:val="20"/>
                <w:szCs w:val="20"/>
                <w:color w:val="auto"/>
              </w:rPr>
            </w:pPr>
            <w:r>
              <w:rPr>
                <w:rFonts w:ascii="Arial" w:cs="Arial" w:eastAsia="Arial" w:hAnsi="Arial"/>
                <w:sz w:val="17"/>
                <w:szCs w:val="17"/>
                <w:color w:val="auto"/>
                <w:w w:val="97"/>
              </w:rPr>
              <w:t>$1.340 billion</w:t>
            </w:r>
          </w:p>
        </w:tc>
        <w:tc>
          <w:tcPr>
            <w:tcW w:w="1360" w:type="dxa"/>
            <w:vAlign w:val="bottom"/>
            <w:gridSpan w:val="3"/>
          </w:tcPr>
          <w:p>
            <w:pPr>
              <w:jc w:val="center"/>
              <w:spacing w:after="0"/>
              <w:rPr>
                <w:sz w:val="20"/>
                <w:szCs w:val="20"/>
                <w:color w:val="auto"/>
              </w:rPr>
            </w:pPr>
            <w:r>
              <w:rPr>
                <w:rFonts w:ascii="Arial" w:cs="Arial" w:eastAsia="Arial" w:hAnsi="Arial"/>
                <w:sz w:val="17"/>
                <w:szCs w:val="17"/>
                <w:color w:val="auto"/>
                <w:w w:val="95"/>
              </w:rPr>
              <w:t>$5.270 billion</w:t>
            </w:r>
          </w:p>
        </w:tc>
        <w:tc>
          <w:tcPr>
            <w:tcW w:w="1160" w:type="dxa"/>
            <w:vAlign w:val="bottom"/>
            <w:gridSpan w:val="3"/>
          </w:tcPr>
          <w:p>
            <w:pPr>
              <w:jc w:val="center"/>
              <w:ind w:left="118"/>
              <w:spacing w:after="0"/>
              <w:rPr>
                <w:sz w:val="20"/>
                <w:szCs w:val="20"/>
                <w:color w:val="auto"/>
              </w:rPr>
            </w:pPr>
            <w:r>
              <w:rPr>
                <w:rFonts w:ascii="Arial" w:cs="Arial" w:eastAsia="Arial" w:hAnsi="Arial"/>
                <w:sz w:val="17"/>
                <w:szCs w:val="17"/>
                <w:color w:val="auto"/>
                <w:w w:val="95"/>
              </w:rPr>
              <w:t>$5.330 billion</w:t>
            </w:r>
          </w:p>
        </w:tc>
      </w:tr>
      <w:tr>
        <w:trPr>
          <w:trHeight w:val="225"/>
        </w:trPr>
        <w:tc>
          <w:tcPr>
            <w:tcW w:w="2580" w:type="dxa"/>
            <w:vAlign w:val="bottom"/>
          </w:tcPr>
          <w:p>
            <w:pPr>
              <w:spacing w:after="0"/>
              <w:rPr>
                <w:sz w:val="20"/>
                <w:szCs w:val="20"/>
                <w:color w:val="auto"/>
              </w:rPr>
            </w:pPr>
            <w:r>
              <w:rPr>
                <w:rFonts w:ascii="Arial" w:cs="Arial" w:eastAsia="Arial" w:hAnsi="Arial"/>
                <w:sz w:val="17"/>
                <w:szCs w:val="17"/>
                <w:color w:val="auto"/>
              </w:rPr>
              <w:t>Reported Revenue Growth</w:t>
            </w:r>
          </w:p>
        </w:tc>
        <w:tc>
          <w:tcPr>
            <w:tcW w:w="900" w:type="dxa"/>
            <w:vAlign w:val="bottom"/>
            <w:gridSpan w:val="2"/>
          </w:tcPr>
          <w:p>
            <w:pPr>
              <w:jc w:val="center"/>
              <w:ind w:left="158"/>
              <w:spacing w:after="0"/>
              <w:rPr>
                <w:sz w:val="20"/>
                <w:szCs w:val="20"/>
                <w:color w:val="auto"/>
              </w:rPr>
            </w:pPr>
            <w:r>
              <w:rPr>
                <w:rFonts w:ascii="Arial" w:cs="Arial" w:eastAsia="Arial" w:hAnsi="Arial"/>
                <w:sz w:val="17"/>
                <w:szCs w:val="17"/>
                <w:color w:val="auto"/>
                <w:w w:val="96"/>
              </w:rPr>
              <w:t>6.1 %</w:t>
            </w:r>
          </w:p>
        </w:tc>
        <w:tc>
          <w:tcPr>
            <w:tcW w:w="360" w:type="dxa"/>
            <w:vAlign w:val="bottom"/>
          </w:tcPr>
          <w:p>
            <w:pPr>
              <w:spacing w:after="0"/>
              <w:rPr>
                <w:sz w:val="19"/>
                <w:szCs w:val="19"/>
                <w:color w:val="auto"/>
              </w:rPr>
            </w:pPr>
          </w:p>
        </w:tc>
        <w:tc>
          <w:tcPr>
            <w:tcW w:w="1020" w:type="dxa"/>
            <w:vAlign w:val="bottom"/>
            <w:gridSpan w:val="2"/>
          </w:tcPr>
          <w:p>
            <w:pPr>
              <w:jc w:val="center"/>
              <w:ind w:left="238"/>
              <w:spacing w:after="0"/>
              <w:rPr>
                <w:sz w:val="20"/>
                <w:szCs w:val="20"/>
                <w:color w:val="auto"/>
              </w:rPr>
            </w:pPr>
            <w:r>
              <w:rPr>
                <w:rFonts w:ascii="Arial" w:cs="Arial" w:eastAsia="Arial" w:hAnsi="Arial"/>
                <w:sz w:val="17"/>
                <w:szCs w:val="17"/>
                <w:color w:val="auto"/>
                <w:w w:val="96"/>
              </w:rPr>
              <w:t>7.7 %</w:t>
            </w:r>
          </w:p>
        </w:tc>
        <w:tc>
          <w:tcPr>
            <w:tcW w:w="340" w:type="dxa"/>
            <w:vAlign w:val="bottom"/>
          </w:tcPr>
          <w:p>
            <w:pPr>
              <w:spacing w:after="0"/>
              <w:rPr>
                <w:sz w:val="19"/>
                <w:szCs w:val="19"/>
                <w:color w:val="auto"/>
              </w:rPr>
            </w:pPr>
          </w:p>
        </w:tc>
        <w:tc>
          <w:tcPr>
            <w:tcW w:w="1020" w:type="dxa"/>
            <w:vAlign w:val="bottom"/>
            <w:gridSpan w:val="2"/>
          </w:tcPr>
          <w:p>
            <w:pPr>
              <w:jc w:val="center"/>
              <w:ind w:left="278"/>
              <w:spacing w:after="0"/>
              <w:rPr>
                <w:sz w:val="20"/>
                <w:szCs w:val="20"/>
                <w:color w:val="auto"/>
              </w:rPr>
            </w:pPr>
            <w:r>
              <w:rPr>
                <w:rFonts w:ascii="Arial" w:cs="Arial" w:eastAsia="Arial" w:hAnsi="Arial"/>
                <w:sz w:val="17"/>
                <w:szCs w:val="17"/>
                <w:color w:val="auto"/>
                <w:w w:val="96"/>
              </w:rPr>
              <w:t>2.9 %</w:t>
            </w:r>
          </w:p>
        </w:tc>
        <w:tc>
          <w:tcPr>
            <w:tcW w:w="340" w:type="dxa"/>
            <w:vAlign w:val="bottom"/>
          </w:tcPr>
          <w:p>
            <w:pPr>
              <w:spacing w:after="0"/>
              <w:rPr>
                <w:sz w:val="19"/>
                <w:szCs w:val="19"/>
                <w:color w:val="auto"/>
              </w:rPr>
            </w:pPr>
          </w:p>
        </w:tc>
        <w:tc>
          <w:tcPr>
            <w:tcW w:w="1040" w:type="dxa"/>
            <w:vAlign w:val="bottom"/>
            <w:gridSpan w:val="2"/>
          </w:tcPr>
          <w:p>
            <w:pPr>
              <w:jc w:val="center"/>
              <w:ind w:left="258"/>
              <w:spacing w:after="0"/>
              <w:rPr>
                <w:sz w:val="20"/>
                <w:szCs w:val="20"/>
                <w:color w:val="auto"/>
              </w:rPr>
            </w:pPr>
            <w:r>
              <w:rPr>
                <w:rFonts w:ascii="Arial" w:cs="Arial" w:eastAsia="Arial" w:hAnsi="Arial"/>
                <w:sz w:val="17"/>
                <w:szCs w:val="17"/>
                <w:color w:val="auto"/>
                <w:w w:val="96"/>
              </w:rPr>
              <w:t>4.1 %</w:t>
            </w:r>
          </w:p>
        </w:tc>
        <w:tc>
          <w:tcPr>
            <w:tcW w:w="140" w:type="dxa"/>
            <w:vAlign w:val="bottom"/>
          </w:tcPr>
          <w:p>
            <w:pPr>
              <w:spacing w:after="0"/>
              <w:rPr>
                <w:sz w:val="19"/>
                <w:szCs w:val="19"/>
                <w:color w:val="auto"/>
              </w:rPr>
            </w:pPr>
          </w:p>
        </w:tc>
      </w:tr>
      <w:tr>
        <w:trPr>
          <w:trHeight w:val="290"/>
        </w:trPr>
        <w:tc>
          <w:tcPr>
            <w:tcW w:w="2580" w:type="dxa"/>
            <w:vAlign w:val="bottom"/>
          </w:tcPr>
          <w:p>
            <w:pPr>
              <w:spacing w:after="0" w:line="290" w:lineRule="exact"/>
              <w:rPr>
                <w:sz w:val="20"/>
                <w:szCs w:val="20"/>
                <w:color w:val="auto"/>
              </w:rPr>
            </w:pPr>
            <w:r>
              <w:rPr>
                <w:rFonts w:ascii="Arial" w:cs="Arial" w:eastAsia="Arial" w:hAnsi="Arial"/>
                <w:sz w:val="17"/>
                <w:szCs w:val="17"/>
                <w:color w:val="auto"/>
              </w:rPr>
              <w:t>Local Currency Growth</w:t>
            </w:r>
            <w:r>
              <w:rPr>
                <w:rFonts w:ascii="Arial" w:cs="Arial" w:eastAsia="Arial" w:hAnsi="Arial"/>
                <w:sz w:val="27"/>
                <w:szCs w:val="27"/>
                <w:color w:val="auto"/>
              </w:rPr>
              <w:t xml:space="preserve"> </w:t>
            </w:r>
            <w:r>
              <w:rPr>
                <w:rFonts w:ascii="Arial" w:cs="Arial" w:eastAsia="Arial" w:hAnsi="Arial"/>
                <w:sz w:val="27"/>
                <w:szCs w:val="27"/>
                <w:color w:val="auto"/>
                <w:vertAlign w:val="superscript"/>
              </w:rPr>
              <w:t>(1)</w:t>
            </w:r>
          </w:p>
        </w:tc>
        <w:tc>
          <w:tcPr>
            <w:tcW w:w="900" w:type="dxa"/>
            <w:vAlign w:val="bottom"/>
            <w:gridSpan w:val="2"/>
          </w:tcPr>
          <w:p>
            <w:pPr>
              <w:jc w:val="center"/>
              <w:ind w:left="158"/>
              <w:spacing w:after="0"/>
              <w:rPr>
                <w:sz w:val="20"/>
                <w:szCs w:val="20"/>
                <w:color w:val="auto"/>
              </w:rPr>
            </w:pPr>
            <w:r>
              <w:rPr>
                <w:rFonts w:ascii="Arial" w:cs="Arial" w:eastAsia="Arial" w:hAnsi="Arial"/>
                <w:sz w:val="17"/>
                <w:szCs w:val="17"/>
                <w:color w:val="auto"/>
                <w:w w:val="96"/>
              </w:rPr>
              <w:t>6.2 %</w:t>
            </w:r>
          </w:p>
        </w:tc>
        <w:tc>
          <w:tcPr>
            <w:tcW w:w="360" w:type="dxa"/>
            <w:vAlign w:val="bottom"/>
          </w:tcPr>
          <w:p>
            <w:pPr>
              <w:spacing w:after="0"/>
              <w:rPr>
                <w:sz w:val="24"/>
                <w:szCs w:val="24"/>
                <w:color w:val="auto"/>
              </w:rPr>
            </w:pPr>
          </w:p>
        </w:tc>
        <w:tc>
          <w:tcPr>
            <w:tcW w:w="1020" w:type="dxa"/>
            <w:vAlign w:val="bottom"/>
            <w:gridSpan w:val="2"/>
          </w:tcPr>
          <w:p>
            <w:pPr>
              <w:jc w:val="center"/>
              <w:ind w:left="238"/>
              <w:spacing w:after="0"/>
              <w:rPr>
                <w:sz w:val="20"/>
                <w:szCs w:val="20"/>
                <w:color w:val="auto"/>
              </w:rPr>
            </w:pPr>
            <w:r>
              <w:rPr>
                <w:rFonts w:ascii="Arial" w:cs="Arial" w:eastAsia="Arial" w:hAnsi="Arial"/>
                <w:sz w:val="17"/>
                <w:szCs w:val="17"/>
                <w:color w:val="auto"/>
                <w:w w:val="96"/>
              </w:rPr>
              <w:t>7.8 %</w:t>
            </w:r>
          </w:p>
        </w:tc>
        <w:tc>
          <w:tcPr>
            <w:tcW w:w="340" w:type="dxa"/>
            <w:vAlign w:val="bottom"/>
          </w:tcPr>
          <w:p>
            <w:pPr>
              <w:spacing w:after="0"/>
              <w:rPr>
                <w:sz w:val="24"/>
                <w:szCs w:val="24"/>
                <w:color w:val="auto"/>
              </w:rPr>
            </w:pPr>
          </w:p>
        </w:tc>
        <w:tc>
          <w:tcPr>
            <w:tcW w:w="1020" w:type="dxa"/>
            <w:vAlign w:val="bottom"/>
            <w:gridSpan w:val="2"/>
          </w:tcPr>
          <w:p>
            <w:pPr>
              <w:jc w:val="center"/>
              <w:ind w:left="278"/>
              <w:spacing w:after="0"/>
              <w:rPr>
                <w:sz w:val="20"/>
                <w:szCs w:val="20"/>
                <w:color w:val="auto"/>
              </w:rPr>
            </w:pPr>
            <w:r>
              <w:rPr>
                <w:rFonts w:ascii="Arial" w:cs="Arial" w:eastAsia="Arial" w:hAnsi="Arial"/>
                <w:sz w:val="17"/>
                <w:szCs w:val="17"/>
                <w:color w:val="auto"/>
                <w:w w:val="96"/>
              </w:rPr>
              <w:t>3.5 %</w:t>
            </w:r>
          </w:p>
        </w:tc>
        <w:tc>
          <w:tcPr>
            <w:tcW w:w="340" w:type="dxa"/>
            <w:vAlign w:val="bottom"/>
          </w:tcPr>
          <w:p>
            <w:pPr>
              <w:spacing w:after="0"/>
              <w:rPr>
                <w:sz w:val="24"/>
                <w:szCs w:val="24"/>
                <w:color w:val="auto"/>
              </w:rPr>
            </w:pPr>
          </w:p>
        </w:tc>
        <w:tc>
          <w:tcPr>
            <w:tcW w:w="1040" w:type="dxa"/>
            <w:vAlign w:val="bottom"/>
            <w:gridSpan w:val="2"/>
          </w:tcPr>
          <w:p>
            <w:pPr>
              <w:jc w:val="center"/>
              <w:ind w:left="258"/>
              <w:spacing w:after="0"/>
              <w:rPr>
                <w:sz w:val="20"/>
                <w:szCs w:val="20"/>
                <w:color w:val="auto"/>
              </w:rPr>
            </w:pPr>
            <w:r>
              <w:rPr>
                <w:rFonts w:ascii="Arial" w:cs="Arial" w:eastAsia="Arial" w:hAnsi="Arial"/>
                <w:sz w:val="17"/>
                <w:szCs w:val="17"/>
                <w:color w:val="auto"/>
                <w:w w:val="96"/>
              </w:rPr>
              <w:t>4.7 %</w:t>
            </w:r>
          </w:p>
        </w:tc>
        <w:tc>
          <w:tcPr>
            <w:tcW w:w="140" w:type="dxa"/>
            <w:vAlign w:val="bottom"/>
          </w:tcPr>
          <w:p>
            <w:pPr>
              <w:spacing w:after="0"/>
              <w:rPr>
                <w:sz w:val="24"/>
                <w:szCs w:val="24"/>
                <w:color w:val="auto"/>
              </w:rPr>
            </w:pPr>
          </w:p>
        </w:tc>
      </w:tr>
      <w:tr>
        <w:trPr>
          <w:trHeight w:val="254"/>
        </w:trPr>
        <w:tc>
          <w:tcPr>
            <w:tcW w:w="2580" w:type="dxa"/>
            <w:vAlign w:val="bottom"/>
          </w:tcPr>
          <w:p>
            <w:pPr>
              <w:spacing w:after="0" w:line="254" w:lineRule="exact"/>
              <w:rPr>
                <w:sz w:val="20"/>
                <w:szCs w:val="20"/>
                <w:color w:val="auto"/>
              </w:rPr>
            </w:pPr>
            <w:r>
              <w:rPr>
                <w:rFonts w:ascii="Arial" w:cs="Arial" w:eastAsia="Arial" w:hAnsi="Arial"/>
                <w:sz w:val="17"/>
                <w:szCs w:val="17"/>
                <w:color w:val="auto"/>
                <w:w w:val="95"/>
              </w:rPr>
              <w:t>Organic Local Currency Growth</w:t>
            </w:r>
            <w:r>
              <w:rPr>
                <w:rFonts w:ascii="Arial" w:cs="Arial" w:eastAsia="Arial" w:hAnsi="Arial"/>
                <w:sz w:val="27"/>
                <w:szCs w:val="27"/>
                <w:color w:val="auto"/>
                <w:w w:val="95"/>
              </w:rPr>
              <w:t xml:space="preserve"> </w:t>
            </w:r>
            <w:r>
              <w:rPr>
                <w:rFonts w:ascii="Arial" w:cs="Arial" w:eastAsia="Arial" w:hAnsi="Arial"/>
                <w:sz w:val="27"/>
                <w:szCs w:val="27"/>
                <w:color w:val="auto"/>
                <w:w w:val="95"/>
                <w:vertAlign w:val="superscript"/>
              </w:rPr>
              <w:t>(1)</w:t>
            </w:r>
          </w:p>
        </w:tc>
        <w:tc>
          <w:tcPr>
            <w:tcW w:w="900" w:type="dxa"/>
            <w:vAlign w:val="bottom"/>
            <w:gridSpan w:val="2"/>
          </w:tcPr>
          <w:p>
            <w:pPr>
              <w:jc w:val="center"/>
              <w:ind w:left="158"/>
              <w:spacing w:after="0"/>
              <w:rPr>
                <w:sz w:val="20"/>
                <w:szCs w:val="20"/>
                <w:color w:val="auto"/>
              </w:rPr>
            </w:pPr>
            <w:r>
              <w:rPr>
                <w:rFonts w:ascii="Arial" w:cs="Arial" w:eastAsia="Arial" w:hAnsi="Arial"/>
                <w:sz w:val="17"/>
                <w:szCs w:val="17"/>
                <w:color w:val="auto"/>
                <w:w w:val="96"/>
              </w:rPr>
              <w:t>5.3 %</w:t>
            </w:r>
          </w:p>
        </w:tc>
        <w:tc>
          <w:tcPr>
            <w:tcW w:w="360" w:type="dxa"/>
            <w:vAlign w:val="bottom"/>
          </w:tcPr>
          <w:p>
            <w:pPr>
              <w:spacing w:after="0"/>
              <w:rPr>
                <w:sz w:val="22"/>
                <w:szCs w:val="22"/>
                <w:color w:val="auto"/>
              </w:rPr>
            </w:pPr>
          </w:p>
        </w:tc>
        <w:tc>
          <w:tcPr>
            <w:tcW w:w="1020" w:type="dxa"/>
            <w:vAlign w:val="bottom"/>
            <w:gridSpan w:val="2"/>
          </w:tcPr>
          <w:p>
            <w:pPr>
              <w:jc w:val="center"/>
              <w:ind w:left="238"/>
              <w:spacing w:after="0"/>
              <w:rPr>
                <w:sz w:val="20"/>
                <w:szCs w:val="20"/>
                <w:color w:val="auto"/>
              </w:rPr>
            </w:pPr>
            <w:r>
              <w:rPr>
                <w:rFonts w:ascii="Arial" w:cs="Arial" w:eastAsia="Arial" w:hAnsi="Arial"/>
                <w:sz w:val="17"/>
                <w:szCs w:val="17"/>
                <w:color w:val="auto"/>
                <w:w w:val="96"/>
              </w:rPr>
              <w:t>6.9 %</w:t>
            </w:r>
          </w:p>
        </w:tc>
        <w:tc>
          <w:tcPr>
            <w:tcW w:w="340" w:type="dxa"/>
            <w:vAlign w:val="bottom"/>
          </w:tcPr>
          <w:p>
            <w:pPr>
              <w:spacing w:after="0"/>
              <w:rPr>
                <w:sz w:val="22"/>
                <w:szCs w:val="22"/>
                <w:color w:val="auto"/>
              </w:rPr>
            </w:pPr>
          </w:p>
        </w:tc>
        <w:tc>
          <w:tcPr>
            <w:tcW w:w="1020" w:type="dxa"/>
            <w:vAlign w:val="bottom"/>
            <w:gridSpan w:val="2"/>
          </w:tcPr>
          <w:p>
            <w:pPr>
              <w:jc w:val="center"/>
              <w:ind w:left="278"/>
              <w:spacing w:after="0"/>
              <w:rPr>
                <w:sz w:val="20"/>
                <w:szCs w:val="20"/>
                <w:color w:val="auto"/>
              </w:rPr>
            </w:pPr>
            <w:r>
              <w:rPr>
                <w:rFonts w:ascii="Arial" w:cs="Arial" w:eastAsia="Arial" w:hAnsi="Arial"/>
                <w:sz w:val="17"/>
                <w:szCs w:val="17"/>
                <w:color w:val="auto"/>
                <w:w w:val="96"/>
              </w:rPr>
              <w:t>2.5 %</w:t>
            </w:r>
          </w:p>
        </w:tc>
        <w:tc>
          <w:tcPr>
            <w:tcW w:w="340" w:type="dxa"/>
            <w:vAlign w:val="bottom"/>
          </w:tcPr>
          <w:p>
            <w:pPr>
              <w:spacing w:after="0"/>
              <w:rPr>
                <w:sz w:val="22"/>
                <w:szCs w:val="22"/>
                <w:color w:val="auto"/>
              </w:rPr>
            </w:pPr>
          </w:p>
        </w:tc>
        <w:tc>
          <w:tcPr>
            <w:tcW w:w="1040" w:type="dxa"/>
            <w:vAlign w:val="bottom"/>
            <w:gridSpan w:val="2"/>
          </w:tcPr>
          <w:p>
            <w:pPr>
              <w:jc w:val="center"/>
              <w:ind w:left="258"/>
              <w:spacing w:after="0"/>
              <w:rPr>
                <w:sz w:val="20"/>
                <w:szCs w:val="20"/>
                <w:color w:val="auto"/>
              </w:rPr>
            </w:pPr>
            <w:r>
              <w:rPr>
                <w:rFonts w:ascii="Arial" w:cs="Arial" w:eastAsia="Arial" w:hAnsi="Arial"/>
                <w:sz w:val="17"/>
                <w:szCs w:val="17"/>
                <w:color w:val="auto"/>
                <w:w w:val="96"/>
              </w:rPr>
              <w:t>3.7 %</w:t>
            </w:r>
          </w:p>
        </w:tc>
        <w:tc>
          <w:tcPr>
            <w:tcW w:w="140" w:type="dxa"/>
            <w:vAlign w:val="bottom"/>
          </w:tcPr>
          <w:p>
            <w:pPr>
              <w:spacing w:after="0"/>
              <w:rPr>
                <w:sz w:val="22"/>
                <w:szCs w:val="22"/>
                <w:color w:val="auto"/>
              </w:rPr>
            </w:pPr>
          </w:p>
        </w:tc>
      </w:tr>
      <w:tr>
        <w:trPr>
          <w:trHeight w:val="195"/>
        </w:trPr>
        <w:tc>
          <w:tcPr>
            <w:tcW w:w="2580" w:type="dxa"/>
            <w:vAlign w:val="bottom"/>
          </w:tcPr>
          <w:p>
            <w:pPr>
              <w:spacing w:after="0"/>
              <w:rPr>
                <w:sz w:val="16"/>
                <w:szCs w:val="16"/>
                <w:color w:val="auto"/>
              </w:rPr>
            </w:pPr>
          </w:p>
        </w:tc>
        <w:tc>
          <w:tcPr>
            <w:tcW w:w="1260" w:type="dxa"/>
            <w:vAlign w:val="bottom"/>
            <w:gridSpan w:val="3"/>
          </w:tcPr>
          <w:p>
            <w:pPr>
              <w:jc w:val="center"/>
              <w:ind w:right="38"/>
              <w:spacing w:after="0"/>
              <w:rPr>
                <w:sz w:val="20"/>
                <w:szCs w:val="20"/>
                <w:color w:val="auto"/>
              </w:rPr>
            </w:pPr>
            <w:r>
              <w:rPr>
                <w:rFonts w:ascii="Arial" w:cs="Arial" w:eastAsia="Arial" w:hAnsi="Arial"/>
                <w:sz w:val="17"/>
                <w:szCs w:val="17"/>
                <w:color w:val="auto"/>
                <w:w w:val="97"/>
              </w:rPr>
              <w:t>$1.72 per</w:t>
            </w:r>
          </w:p>
        </w:tc>
        <w:tc>
          <w:tcPr>
            <w:tcW w:w="340" w:type="dxa"/>
            <w:vAlign w:val="bottom"/>
          </w:tcPr>
          <w:p>
            <w:pPr>
              <w:spacing w:after="0"/>
              <w:rPr>
                <w:sz w:val="16"/>
                <w:szCs w:val="16"/>
                <w:color w:val="auto"/>
              </w:rPr>
            </w:pPr>
          </w:p>
        </w:tc>
        <w:tc>
          <w:tcPr>
            <w:tcW w:w="1020" w:type="dxa"/>
            <w:vAlign w:val="bottom"/>
            <w:gridSpan w:val="2"/>
          </w:tcPr>
          <w:p>
            <w:pPr>
              <w:jc w:val="center"/>
              <w:ind w:right="340"/>
              <w:spacing w:after="0"/>
              <w:rPr>
                <w:sz w:val="20"/>
                <w:szCs w:val="20"/>
                <w:color w:val="auto"/>
              </w:rPr>
            </w:pPr>
            <w:r>
              <w:rPr>
                <w:rFonts w:ascii="Arial" w:cs="Arial" w:eastAsia="Arial" w:hAnsi="Arial"/>
                <w:sz w:val="17"/>
                <w:szCs w:val="17"/>
                <w:color w:val="auto"/>
                <w:w w:val="94"/>
              </w:rPr>
              <w:t>$1.82 per</w:t>
            </w:r>
          </w:p>
        </w:tc>
        <w:tc>
          <w:tcPr>
            <w:tcW w:w="1360" w:type="dxa"/>
            <w:vAlign w:val="bottom"/>
            <w:gridSpan w:val="3"/>
          </w:tcPr>
          <w:p>
            <w:pPr>
              <w:jc w:val="center"/>
              <w:spacing w:after="0"/>
              <w:rPr>
                <w:sz w:val="20"/>
                <w:szCs w:val="20"/>
                <w:color w:val="auto"/>
              </w:rPr>
            </w:pPr>
            <w:r>
              <w:rPr>
                <w:rFonts w:ascii="Arial" w:cs="Arial" w:eastAsia="Arial" w:hAnsi="Arial"/>
                <w:sz w:val="17"/>
                <w:szCs w:val="17"/>
                <w:color w:val="auto"/>
                <w:w w:val="97"/>
              </w:rPr>
              <w:t>$6.85 per</w:t>
            </w:r>
          </w:p>
        </w:tc>
        <w:tc>
          <w:tcPr>
            <w:tcW w:w="340" w:type="dxa"/>
            <w:vAlign w:val="bottom"/>
          </w:tcPr>
          <w:p>
            <w:pPr>
              <w:spacing w:after="0"/>
              <w:rPr>
                <w:sz w:val="16"/>
                <w:szCs w:val="16"/>
                <w:color w:val="auto"/>
              </w:rPr>
            </w:pPr>
          </w:p>
        </w:tc>
        <w:tc>
          <w:tcPr>
            <w:tcW w:w="820" w:type="dxa"/>
            <w:vAlign w:val="bottom"/>
            <w:gridSpan w:val="2"/>
          </w:tcPr>
          <w:p>
            <w:pPr>
              <w:jc w:val="center"/>
              <w:ind w:right="120"/>
              <w:spacing w:after="0"/>
              <w:rPr>
                <w:sz w:val="20"/>
                <w:szCs w:val="20"/>
                <w:color w:val="auto"/>
              </w:rPr>
            </w:pPr>
            <w:r>
              <w:rPr>
                <w:rFonts w:ascii="Arial" w:cs="Arial" w:eastAsia="Arial" w:hAnsi="Arial"/>
                <w:sz w:val="17"/>
                <w:szCs w:val="17"/>
                <w:color w:val="auto"/>
                <w:w w:val="97"/>
              </w:rPr>
              <w:t>$7.10 per</w:t>
            </w:r>
          </w:p>
        </w:tc>
      </w:tr>
      <w:tr>
        <w:trPr>
          <w:trHeight w:val="221"/>
        </w:trPr>
        <w:tc>
          <w:tcPr>
            <w:tcW w:w="2580" w:type="dxa"/>
            <w:vAlign w:val="bottom"/>
          </w:tcPr>
          <w:p>
            <w:pPr>
              <w:spacing w:after="0"/>
              <w:rPr>
                <w:sz w:val="20"/>
                <w:szCs w:val="20"/>
                <w:color w:val="auto"/>
              </w:rPr>
            </w:pPr>
            <w:r>
              <w:rPr>
                <w:rFonts w:ascii="Arial" w:cs="Arial" w:eastAsia="Arial" w:hAnsi="Arial"/>
                <w:sz w:val="17"/>
                <w:szCs w:val="17"/>
                <w:color w:val="auto"/>
              </w:rPr>
              <w:t>Adjusted Earnings Per Share</w:t>
            </w:r>
          </w:p>
        </w:tc>
        <w:tc>
          <w:tcPr>
            <w:tcW w:w="240" w:type="dxa"/>
            <w:vAlign w:val="bottom"/>
          </w:tcPr>
          <w:p>
            <w:pPr>
              <w:spacing w:after="0"/>
              <w:rPr>
                <w:sz w:val="19"/>
                <w:szCs w:val="19"/>
                <w:color w:val="auto"/>
              </w:rPr>
            </w:pPr>
          </w:p>
        </w:tc>
        <w:tc>
          <w:tcPr>
            <w:tcW w:w="1020" w:type="dxa"/>
            <w:vAlign w:val="bottom"/>
            <w:gridSpan w:val="2"/>
          </w:tcPr>
          <w:p>
            <w:pPr>
              <w:jc w:val="center"/>
              <w:ind w:right="278"/>
              <w:spacing w:after="0"/>
              <w:rPr>
                <w:sz w:val="20"/>
                <w:szCs w:val="20"/>
                <w:color w:val="auto"/>
              </w:rPr>
            </w:pPr>
            <w:r>
              <w:rPr>
                <w:rFonts w:ascii="Arial" w:cs="Arial" w:eastAsia="Arial" w:hAnsi="Arial"/>
                <w:sz w:val="17"/>
                <w:szCs w:val="17"/>
                <w:color w:val="auto"/>
                <w:w w:val="98"/>
              </w:rPr>
              <w:t>share</w:t>
            </w:r>
          </w:p>
        </w:tc>
        <w:tc>
          <w:tcPr>
            <w:tcW w:w="340" w:type="dxa"/>
            <w:vAlign w:val="bottom"/>
          </w:tcPr>
          <w:p>
            <w:pPr>
              <w:spacing w:after="0"/>
              <w:rPr>
                <w:sz w:val="19"/>
                <w:szCs w:val="19"/>
                <w:color w:val="auto"/>
              </w:rPr>
            </w:pPr>
          </w:p>
        </w:tc>
        <w:tc>
          <w:tcPr>
            <w:tcW w:w="1020" w:type="dxa"/>
            <w:vAlign w:val="bottom"/>
            <w:gridSpan w:val="2"/>
          </w:tcPr>
          <w:p>
            <w:pPr>
              <w:jc w:val="center"/>
              <w:ind w:right="340"/>
              <w:spacing w:after="0"/>
              <w:rPr>
                <w:sz w:val="20"/>
                <w:szCs w:val="20"/>
                <w:color w:val="auto"/>
              </w:rPr>
            </w:pPr>
            <w:r>
              <w:rPr>
                <w:rFonts w:ascii="Arial" w:cs="Arial" w:eastAsia="Arial" w:hAnsi="Arial"/>
                <w:sz w:val="17"/>
                <w:szCs w:val="17"/>
                <w:color w:val="auto"/>
                <w:w w:val="93"/>
              </w:rPr>
              <w:t>share</w:t>
            </w:r>
          </w:p>
        </w:tc>
        <w:tc>
          <w:tcPr>
            <w:tcW w:w="360" w:type="dxa"/>
            <w:vAlign w:val="bottom"/>
          </w:tcPr>
          <w:p>
            <w:pPr>
              <w:spacing w:after="0"/>
              <w:rPr>
                <w:sz w:val="19"/>
                <w:szCs w:val="19"/>
                <w:color w:val="auto"/>
              </w:rPr>
            </w:pPr>
          </w:p>
        </w:tc>
        <w:tc>
          <w:tcPr>
            <w:tcW w:w="1000" w:type="dxa"/>
            <w:vAlign w:val="bottom"/>
            <w:gridSpan w:val="2"/>
          </w:tcPr>
          <w:p>
            <w:pPr>
              <w:jc w:val="center"/>
              <w:ind w:right="278"/>
              <w:spacing w:after="0"/>
              <w:rPr>
                <w:sz w:val="20"/>
                <w:szCs w:val="20"/>
                <w:color w:val="auto"/>
              </w:rPr>
            </w:pPr>
            <w:r>
              <w:rPr>
                <w:rFonts w:ascii="Arial" w:cs="Arial" w:eastAsia="Arial" w:hAnsi="Arial"/>
                <w:sz w:val="17"/>
                <w:szCs w:val="17"/>
                <w:color w:val="auto"/>
                <w:w w:val="93"/>
              </w:rPr>
              <w:t>share</w:t>
            </w:r>
          </w:p>
        </w:tc>
        <w:tc>
          <w:tcPr>
            <w:tcW w:w="340" w:type="dxa"/>
            <w:vAlign w:val="bottom"/>
          </w:tcPr>
          <w:p>
            <w:pPr>
              <w:spacing w:after="0"/>
              <w:rPr>
                <w:sz w:val="19"/>
                <w:szCs w:val="19"/>
                <w:color w:val="auto"/>
              </w:rPr>
            </w:pPr>
          </w:p>
        </w:tc>
        <w:tc>
          <w:tcPr>
            <w:tcW w:w="820" w:type="dxa"/>
            <w:vAlign w:val="bottom"/>
            <w:gridSpan w:val="2"/>
          </w:tcPr>
          <w:p>
            <w:pPr>
              <w:jc w:val="center"/>
              <w:ind w:right="120"/>
              <w:spacing w:after="0"/>
              <w:rPr>
                <w:sz w:val="20"/>
                <w:szCs w:val="20"/>
                <w:color w:val="auto"/>
              </w:rPr>
            </w:pPr>
            <w:r>
              <w:rPr>
                <w:rFonts w:ascii="Arial" w:cs="Arial" w:eastAsia="Arial" w:hAnsi="Arial"/>
                <w:sz w:val="17"/>
                <w:szCs w:val="17"/>
                <w:color w:val="auto"/>
                <w:w w:val="98"/>
              </w:rPr>
              <w:t>share</w:t>
            </w:r>
          </w:p>
        </w:tc>
      </w:tr>
    </w:tbl>
    <w:p>
      <w:pPr>
        <w:spacing w:after="0" w:line="229" w:lineRule="exact"/>
        <w:rPr>
          <w:sz w:val="20"/>
          <w:szCs w:val="20"/>
          <w:color w:val="auto"/>
        </w:rPr>
      </w:pPr>
    </w:p>
    <w:p>
      <w:pPr>
        <w:ind w:left="340" w:hanging="280"/>
        <w:spacing w:after="0"/>
        <w:tabs>
          <w:tab w:leader="none" w:pos="340" w:val="left"/>
        </w:tabs>
        <w:numPr>
          <w:ilvl w:val="0"/>
          <w:numId w:val="1"/>
        </w:numPr>
        <w:rPr>
          <w:rFonts w:ascii="Arial" w:cs="Arial" w:eastAsia="Arial" w:hAnsi="Arial"/>
          <w:sz w:val="17"/>
          <w:szCs w:val="17"/>
          <w:color w:val="auto"/>
        </w:rPr>
      </w:pPr>
      <w:r>
        <w:rPr>
          <w:rFonts w:ascii="Arial" w:cs="Arial" w:eastAsia="Arial" w:hAnsi="Arial"/>
          <w:sz w:val="17"/>
          <w:szCs w:val="17"/>
          <w:color w:val="auto"/>
        </w:rPr>
        <w:t>Refer to page 8 for definitions.</w:t>
      </w:r>
    </w:p>
    <w:p>
      <w:pPr>
        <w:spacing w:after="0" w:line="29" w:lineRule="exact"/>
        <w:rPr>
          <w:rFonts w:ascii="Arial" w:cs="Arial" w:eastAsia="Arial" w:hAnsi="Arial"/>
          <w:sz w:val="17"/>
          <w:szCs w:val="17"/>
          <w:color w:val="auto"/>
        </w:rPr>
      </w:pPr>
    </w:p>
    <w:p>
      <w:pPr>
        <w:ind w:left="340" w:hanging="280"/>
        <w:spacing w:after="0"/>
        <w:tabs>
          <w:tab w:leader="none" w:pos="340" w:val="left"/>
        </w:tabs>
        <w:numPr>
          <w:ilvl w:val="0"/>
          <w:numId w:val="1"/>
        </w:numPr>
        <w:rPr>
          <w:rFonts w:ascii="Arial" w:cs="Arial" w:eastAsia="Arial" w:hAnsi="Arial"/>
          <w:sz w:val="17"/>
          <w:szCs w:val="17"/>
          <w:color w:val="auto"/>
        </w:rPr>
      </w:pPr>
      <w:r>
        <w:rPr>
          <w:rFonts w:ascii="Arial" w:cs="Arial" w:eastAsia="Arial" w:hAnsi="Arial"/>
          <w:sz w:val="17"/>
          <w:szCs w:val="17"/>
          <w:color w:val="auto"/>
        </w:rPr>
        <w:t>Third quarter and full year guidance excludes Boa Vista Serviços results.</w:t>
      </w:r>
    </w:p>
    <w:p>
      <w:pPr>
        <w:sectPr>
          <w:pgSz w:w="12240" w:h="15840" w:orient="portrait"/>
          <w:cols w:equalWidth="0" w:num="1">
            <w:col w:w="9800"/>
          </w:cols>
          <w:pgMar w:left="1200" w:top="1057" w:right="1240" w:bottom="819" w:gutter="0" w:footer="0" w:header="0"/>
        </w:sectPr>
      </w:pPr>
    </w:p>
    <w:bookmarkStart w:id="3" w:name="page4"/>
    <w:bookmarkEnd w:id="3"/>
    <w:p>
      <w:pPr>
        <w:spacing w:after="0"/>
        <w:rPr>
          <w:sz w:val="20"/>
          <w:szCs w:val="20"/>
          <w:color w:val="auto"/>
        </w:rPr>
      </w:pPr>
      <w:r>
        <w:rPr>
          <w:rFonts w:ascii="Arial" w:cs="Arial" w:eastAsia="Arial" w:hAnsi="Arial"/>
          <w:sz w:val="24"/>
          <w:szCs w:val="24"/>
          <w:b w:val="1"/>
          <w:bCs w:val="1"/>
          <w:u w:val="single" w:color="auto"/>
          <w:color w:val="auto"/>
        </w:rPr>
        <w:t>About Equifax</w:t>
      </w:r>
    </w:p>
    <w:p>
      <w:pPr>
        <w:spacing w:after="0" w:line="253" w:lineRule="exact"/>
        <w:rPr>
          <w:sz w:val="20"/>
          <w:szCs w:val="20"/>
          <w:color w:val="auto"/>
        </w:rPr>
      </w:pPr>
    </w:p>
    <w:p>
      <w:pPr>
        <w:ind w:right="20"/>
        <w:spacing w:after="0" w:line="253" w:lineRule="auto"/>
        <w:rPr>
          <w:rFonts w:ascii="Arial" w:cs="Arial" w:eastAsia="Arial" w:hAnsi="Arial"/>
          <w:sz w:val="24"/>
          <w:szCs w:val="24"/>
          <w:color w:val="auto"/>
        </w:rPr>
      </w:pPr>
      <w:r>
        <w:rPr>
          <w:rFonts w:ascii="Arial" w:cs="Arial" w:eastAsia="Arial" w:hAnsi="Arial"/>
          <w:sz w:val="24"/>
          <w:szCs w:val="24"/>
          <w:color w:val="auto"/>
        </w:rPr>
        <w:t>At Equifax (NYSE: EFX), we believe knowledge drives progress. As a global data, analytics, and technology company, we play an essential role in the global economy by helping financial institutions, companies, employers, and government agencies make critical decisions with greater confidence. Our unique blend of differentiated data, analytics, and cloud technology drives insights to power decisions to move people forward. Headquartered in Atlanta and supported by nearly 14,000 employees worldwide, Equifax operates or has investments in 24 countries in North America, Central and South America, Europe, and the Asia Pacific region. For more information, visit</w:t>
      </w:r>
      <w:r>
        <w:rPr>
          <w:rFonts w:ascii="Arial" w:cs="Arial" w:eastAsia="Arial" w:hAnsi="Arial"/>
          <w:sz w:val="24"/>
          <w:szCs w:val="24"/>
          <w:color w:val="0000EE"/>
        </w:rPr>
        <w:t xml:space="preserve"> </w:t>
      </w:r>
      <w:hyperlink r:id="rId13">
        <w:r>
          <w:rPr>
            <w:rFonts w:ascii="Arial" w:cs="Arial" w:eastAsia="Arial" w:hAnsi="Arial"/>
            <w:sz w:val="24"/>
            <w:szCs w:val="24"/>
            <w:u w:val="single" w:color="auto"/>
            <w:color w:val="0000EE"/>
          </w:rPr>
          <w:t>Equifax.com</w:t>
        </w:r>
      </w:hyperlink>
      <w:r>
        <w:rPr>
          <w:rFonts w:ascii="Arial" w:cs="Arial" w:eastAsia="Arial" w:hAnsi="Arial"/>
          <w:sz w:val="24"/>
          <w:szCs w:val="24"/>
          <w:color w:val="auto"/>
        </w:rPr>
        <w:t>.</w:t>
      </w:r>
    </w:p>
    <w:p>
      <w:pPr>
        <w:spacing w:after="0" w:line="189" w:lineRule="exact"/>
        <w:rPr>
          <w:sz w:val="20"/>
          <w:szCs w:val="20"/>
          <w:color w:val="auto"/>
        </w:rPr>
      </w:pPr>
    </w:p>
    <w:p>
      <w:pPr>
        <w:spacing w:after="0"/>
        <w:rPr>
          <w:sz w:val="20"/>
          <w:szCs w:val="20"/>
          <w:color w:val="auto"/>
        </w:rPr>
      </w:pPr>
      <w:r>
        <w:rPr>
          <w:rFonts w:ascii="Arial" w:cs="Arial" w:eastAsia="Arial" w:hAnsi="Arial"/>
          <w:sz w:val="24"/>
          <w:szCs w:val="24"/>
          <w:b w:val="1"/>
          <w:bCs w:val="1"/>
          <w:u w:val="single" w:color="auto"/>
          <w:color w:val="auto"/>
        </w:rPr>
        <w:t>Earnings Conference Call and Audio Webcas</w:t>
      </w:r>
      <w:r>
        <w:rPr>
          <w:rFonts w:ascii="Arial" w:cs="Arial" w:eastAsia="Arial" w:hAnsi="Arial"/>
          <w:sz w:val="24"/>
          <w:szCs w:val="24"/>
          <w:b w:val="1"/>
          <w:bCs w:val="1"/>
          <w:color w:val="auto"/>
        </w:rPr>
        <w:t>t</w:t>
      </w:r>
    </w:p>
    <w:p>
      <w:pPr>
        <w:spacing w:after="0" w:line="253" w:lineRule="exact"/>
        <w:rPr>
          <w:sz w:val="20"/>
          <w:szCs w:val="20"/>
          <w:color w:val="auto"/>
        </w:rPr>
      </w:pPr>
    </w:p>
    <w:p>
      <w:pPr>
        <w:ind w:right="140"/>
        <w:spacing w:after="0" w:line="258" w:lineRule="auto"/>
        <w:rPr>
          <w:rFonts w:ascii="Arial" w:cs="Arial" w:eastAsia="Arial" w:hAnsi="Arial"/>
          <w:sz w:val="24"/>
          <w:szCs w:val="24"/>
          <w:color w:val="auto"/>
        </w:rPr>
      </w:pPr>
      <w:r>
        <w:rPr>
          <w:rFonts w:ascii="Arial" w:cs="Arial" w:eastAsia="Arial" w:hAnsi="Arial"/>
          <w:sz w:val="24"/>
          <w:szCs w:val="24"/>
          <w:color w:val="auto"/>
        </w:rPr>
        <w:t>In conjunction with this release, Equifax will host a conference call on July 20, 2023 at 8:30 a.m. (ET) via a live audio webcast. To access the webcast and related presentation materials, go to the Investor Relations section of our website at</w:t>
      </w:r>
      <w:r>
        <w:rPr>
          <w:rFonts w:ascii="Arial" w:cs="Arial" w:eastAsia="Arial" w:hAnsi="Arial"/>
          <w:sz w:val="24"/>
          <w:szCs w:val="24"/>
          <w:color w:val="0000EE"/>
        </w:rPr>
        <w:t xml:space="preserve"> </w:t>
      </w:r>
      <w:hyperlink r:id="rId38">
        <w:r>
          <w:rPr>
            <w:rFonts w:ascii="Arial" w:cs="Arial" w:eastAsia="Arial" w:hAnsi="Arial"/>
            <w:sz w:val="24"/>
            <w:szCs w:val="24"/>
            <w:u w:val="single" w:color="auto"/>
            <w:color w:val="0000EE"/>
          </w:rPr>
          <w:t>www.equifax.com</w:t>
        </w:r>
      </w:hyperlink>
      <w:r>
        <w:rPr>
          <w:rFonts w:ascii="Arial" w:cs="Arial" w:eastAsia="Arial" w:hAnsi="Arial"/>
          <w:sz w:val="24"/>
          <w:szCs w:val="24"/>
          <w:color w:val="auto"/>
        </w:rPr>
        <w:t>. The discussion will be available via replay at the same site shortly after the conclusion of the webcast. This press release is also available at that website.</w:t>
      </w:r>
    </w:p>
    <w:p>
      <w:pPr>
        <w:spacing w:after="0" w:line="178" w:lineRule="exact"/>
        <w:rPr>
          <w:sz w:val="20"/>
          <w:szCs w:val="20"/>
          <w:color w:val="auto"/>
        </w:rPr>
      </w:pPr>
    </w:p>
    <w:p>
      <w:pPr>
        <w:spacing w:after="0"/>
        <w:rPr>
          <w:sz w:val="20"/>
          <w:szCs w:val="20"/>
          <w:color w:val="auto"/>
        </w:rPr>
      </w:pPr>
      <w:r>
        <w:rPr>
          <w:rFonts w:ascii="Arial" w:cs="Arial" w:eastAsia="Arial" w:hAnsi="Arial"/>
          <w:sz w:val="24"/>
          <w:szCs w:val="24"/>
          <w:b w:val="1"/>
          <w:bCs w:val="1"/>
          <w:u w:val="single" w:color="auto"/>
          <w:color w:val="auto"/>
        </w:rPr>
        <w:t>Non-GAAP Financial Measures</w:t>
      </w:r>
    </w:p>
    <w:p>
      <w:pPr>
        <w:spacing w:after="0" w:line="253" w:lineRule="exact"/>
        <w:rPr>
          <w:sz w:val="20"/>
          <w:szCs w:val="20"/>
          <w:color w:val="auto"/>
        </w:rPr>
      </w:pPr>
    </w:p>
    <w:p>
      <w:pPr>
        <w:ind w:right="200"/>
        <w:spacing w:after="0" w:line="251" w:lineRule="auto"/>
        <w:rPr>
          <w:sz w:val="20"/>
          <w:szCs w:val="20"/>
          <w:color w:val="auto"/>
        </w:rPr>
      </w:pPr>
      <w:r>
        <w:rPr>
          <w:rFonts w:ascii="Arial" w:cs="Arial" w:eastAsia="Arial" w:hAnsi="Arial"/>
          <w:sz w:val="24"/>
          <w:szCs w:val="24"/>
          <w:color w:val="auto"/>
        </w:rPr>
        <w:t>This earnings release presents adjusted EPS attributable to Equifax which is diluted EPS attributable to Equifax adjusted (to the extent noted above for different periods) for acquisition-related amortization expense, legal expenses related to the 2017 cybersecurity incident, fair value adjustment and gain on sale of equity investments, foreign currency impact of certain intercompany loans, acquisition-related costs other than acquisition amortization, income tax effect of stock awards recognized upon vesting or settlement, realignment of internal resources and other costs and Argentina highly inflationary foreign currency adjustment. All adjustments are net of tax, with a reconciling item with the aggregated tax impact of the adjustments. This earnings release also presents adjusted EBITDA and adjusted EBITDA margin which is defined as consolidated net income attributable to Equifax plus net interest expense, income taxes, depreciation and amortization, and also excludes certain one-time items. These are important financial measures for Equifax but are not financial measures as defined by GAAP.</w:t>
      </w:r>
    </w:p>
    <w:p>
      <w:pPr>
        <w:spacing w:after="0" w:line="193" w:lineRule="exact"/>
        <w:rPr>
          <w:sz w:val="20"/>
          <w:szCs w:val="20"/>
          <w:color w:val="auto"/>
        </w:rPr>
      </w:pPr>
    </w:p>
    <w:p>
      <w:pPr>
        <w:spacing w:after="0" w:line="268" w:lineRule="auto"/>
        <w:rPr>
          <w:sz w:val="20"/>
          <w:szCs w:val="20"/>
          <w:color w:val="auto"/>
        </w:rPr>
      </w:pPr>
      <w:r>
        <w:rPr>
          <w:rFonts w:ascii="Arial" w:cs="Arial" w:eastAsia="Arial" w:hAnsi="Arial"/>
          <w:sz w:val="24"/>
          <w:szCs w:val="24"/>
          <w:color w:val="auto"/>
        </w:rPr>
        <w:t>These non-GAAP financial measures should be reviewed in conjunction with the relevant GAAP financial measures and are not presented as an alternative measure of net income or EPS as determined in accordance with GAAP.</w:t>
      </w:r>
    </w:p>
    <w:p>
      <w:pPr>
        <w:spacing w:after="0" w:line="170" w:lineRule="exact"/>
        <w:rPr>
          <w:sz w:val="20"/>
          <w:szCs w:val="20"/>
          <w:color w:val="auto"/>
        </w:rPr>
      </w:pPr>
    </w:p>
    <w:p>
      <w:pPr>
        <w:ind w:right="40"/>
        <w:spacing w:after="0" w:line="261" w:lineRule="auto"/>
        <w:rPr>
          <w:rFonts w:ascii="Arial" w:cs="Arial" w:eastAsia="Arial" w:hAnsi="Arial"/>
          <w:sz w:val="24"/>
          <w:szCs w:val="24"/>
          <w:color w:val="auto"/>
        </w:rPr>
      </w:pPr>
      <w:r>
        <w:rPr>
          <w:rFonts w:ascii="Arial" w:cs="Arial" w:eastAsia="Arial" w:hAnsi="Arial"/>
          <w:sz w:val="24"/>
          <w:szCs w:val="24"/>
          <w:color w:val="auto"/>
        </w:rPr>
        <w:t>Reconciliations of these non-GAAP financial measures to the most directly comparable GAAP financial measures and related notes are presented in the Q&amp;A. This information can also be found under "Investor Relations/Financial Information/Non-GAAP Financial Measures" on our website at</w:t>
      </w:r>
      <w:r>
        <w:rPr>
          <w:rFonts w:ascii="Arial" w:cs="Arial" w:eastAsia="Arial" w:hAnsi="Arial"/>
          <w:sz w:val="24"/>
          <w:szCs w:val="24"/>
          <w:color w:val="0000EE"/>
        </w:rPr>
        <w:t xml:space="preserve"> </w:t>
      </w:r>
      <w:hyperlink r:id="rId39">
        <w:r>
          <w:rPr>
            <w:rFonts w:ascii="Arial" w:cs="Arial" w:eastAsia="Arial" w:hAnsi="Arial"/>
            <w:sz w:val="24"/>
            <w:szCs w:val="24"/>
            <w:u w:val="single" w:color="auto"/>
            <w:color w:val="0000EE"/>
          </w:rPr>
          <w:t>www.Equifax.com</w:t>
        </w:r>
      </w:hyperlink>
      <w:r>
        <w:rPr>
          <w:rFonts w:ascii="Arial" w:cs="Arial" w:eastAsia="Arial" w:hAnsi="Arial"/>
          <w:sz w:val="24"/>
          <w:szCs w:val="24"/>
          <w:color w:val="auto"/>
        </w:rPr>
        <w:t>.</w:t>
      </w:r>
    </w:p>
    <w:p>
      <w:pPr>
        <w:spacing w:after="0" w:line="176" w:lineRule="exact"/>
        <w:rPr>
          <w:sz w:val="20"/>
          <w:szCs w:val="20"/>
          <w:color w:val="auto"/>
        </w:rPr>
      </w:pPr>
    </w:p>
    <w:p>
      <w:pPr>
        <w:spacing w:after="0"/>
        <w:rPr>
          <w:sz w:val="20"/>
          <w:szCs w:val="20"/>
          <w:color w:val="auto"/>
        </w:rPr>
      </w:pPr>
      <w:r>
        <w:rPr>
          <w:rFonts w:ascii="Arial" w:cs="Arial" w:eastAsia="Arial" w:hAnsi="Arial"/>
          <w:sz w:val="24"/>
          <w:szCs w:val="24"/>
          <w:b w:val="1"/>
          <w:bCs w:val="1"/>
          <w:u w:val="single" w:color="auto"/>
          <w:color w:val="auto"/>
        </w:rPr>
        <w:t>Forward-Looking Statements</w:t>
      </w:r>
    </w:p>
    <w:p>
      <w:pPr>
        <w:spacing w:after="0" w:line="253" w:lineRule="exact"/>
        <w:rPr>
          <w:sz w:val="20"/>
          <w:szCs w:val="20"/>
          <w:color w:val="auto"/>
        </w:rPr>
      </w:pPr>
    </w:p>
    <w:p>
      <w:pPr>
        <w:ind w:right="280"/>
        <w:spacing w:after="0" w:line="276" w:lineRule="auto"/>
        <w:rPr>
          <w:sz w:val="20"/>
          <w:szCs w:val="20"/>
          <w:color w:val="auto"/>
        </w:rPr>
      </w:pPr>
      <w:r>
        <w:rPr>
          <w:rFonts w:ascii="Arial" w:cs="Arial" w:eastAsia="Arial" w:hAnsi="Arial"/>
          <w:sz w:val="23"/>
          <w:szCs w:val="23"/>
          <w:color w:val="auto"/>
        </w:rPr>
        <w:t>This release contains forward-looking statements and forward-looking information. These statements can be identified by expressions of belief, expectation or intention, as well as statements that are not historical fact. These statements are based on certain factors and assumptions including with respect to foreign exchange rates, expected growth, results of</w:t>
      </w:r>
    </w:p>
    <w:p>
      <w:pPr>
        <w:sectPr>
          <w:pgSz w:w="12240" w:h="15840" w:orient="portrait"/>
          <w:cols w:equalWidth="0" w:num="1">
            <w:col w:w="9760"/>
          </w:cols>
          <w:pgMar w:left="1200" w:top="1053" w:right="1280" w:bottom="296" w:gutter="0" w:footer="0" w:header="0"/>
        </w:sectPr>
      </w:pPr>
    </w:p>
    <w:bookmarkStart w:id="4" w:name="page5"/>
    <w:bookmarkEnd w:id="4"/>
    <w:p>
      <w:pPr>
        <w:jc w:val="both"/>
        <w:ind w:right="160"/>
        <w:spacing w:after="0" w:line="261" w:lineRule="auto"/>
        <w:rPr>
          <w:sz w:val="20"/>
          <w:szCs w:val="20"/>
          <w:color w:val="auto"/>
        </w:rPr>
      </w:pPr>
      <w:r>
        <w:rPr>
          <w:rFonts w:ascii="Arial" w:cs="Arial" w:eastAsia="Arial" w:hAnsi="Arial"/>
          <w:sz w:val="24"/>
          <w:szCs w:val="24"/>
          <w:color w:val="auto"/>
        </w:rPr>
        <w:t>operations, performance, business prospects and opportunities, the U.S. mortgage market, economic conditions and effective tax rates. While the Company believes these factors and assumptions to be reasonable based on information currently available, they may prove to be incorrect.</w:t>
      </w:r>
    </w:p>
    <w:p>
      <w:pPr>
        <w:spacing w:after="0" w:line="180" w:lineRule="exact"/>
        <w:rPr>
          <w:sz w:val="20"/>
          <w:szCs w:val="20"/>
          <w:color w:val="auto"/>
        </w:rPr>
      </w:pPr>
    </w:p>
    <w:p>
      <w:pPr>
        <w:spacing w:after="0" w:line="259" w:lineRule="auto"/>
        <w:rPr>
          <w:sz w:val="20"/>
          <w:szCs w:val="20"/>
          <w:color w:val="auto"/>
        </w:rPr>
      </w:pPr>
      <w:r>
        <w:rPr>
          <w:rFonts w:ascii="Arial" w:cs="Arial" w:eastAsia="Arial" w:hAnsi="Arial"/>
          <w:sz w:val="23"/>
          <w:szCs w:val="23"/>
          <w:color w:val="auto"/>
        </w:rPr>
        <w:t>Several factors could cause actual results to differ materially from those expressed or implied in the forward- looking statements, including, but not limited to, actions taken by us, including restructuring or strategic initiatives (including our technology, data and security cloud transformation, capital investments and asset acquisitions or dispositions), as well as developments beyond our control, including, but not limited to, changes in the U.S. mortgage market environment, as well as changes more generally in U.S. and worldwide economic conditions that materially impact consumer spending, such as rising interest rates and inflation, consumer debt and employment and the demand for Equifax's products and services. Further deteriorations in economic conditions or interest rate increases could lead to a further or prolonged decline in demand for our products and services and negatively impact our business. It may also continue to impact financial markets and corporate credit markets which could adversely impact our access to financing or the terms of any financing. Other risk factors include the impact of our technology and security transformation and improvements in our information technology and data security infrastructure; changes in tax regulations; adverse or uncertain economic conditions and changes in credit and financial markets, such as rising interest rates and inflation; potential adverse developments in new and pending legal proceedings or government investigations; risks associated with our ability to comply with business practice commitments and similar obligations under settlement agreements and consent orders entered into in connection with the 2017 cybersecurity incident; economic, political and other risks associated with international sales and operations; risks relating to unauthorized access to data or breaches of confidential information due to criminal conduct, attacks by hackers, employee or insider malfeasance and/or human error; changes in, and the effects of, laws and regulations and government policies governing or affecting our business, including, without limitation, our examination and supervision by the Consumer Financial Protection Bureau, a federal agency that holds primary responsibility for the regulation of consumer protection with respect to financial products and services in the U.S., oversight by the U.K. Financial Conduct Authority and Information Commissioner's Office of our debt collections services and core credit reporting businesses in the U.K., oversight by the Office of Australian Information Commission, the Australian Competition and Consumer Commission and other regulatory entities of our credit reporting business in Australia and the impact of current privacy laws and regulations, including the European General Data Protection Regulation and the California Consumer Privacy Act, or any future privacy laws and regulations; federal or state responses to identity theft concerns; our ability to successfully develop and market new products and services, respond to pricing and other competitive pressures, complete and integrate acquisitions and other investments and achieve targeted cost efficiencies; timing and amount of capital expenditures; changes in capital markets and corresponding effects on the Company's investments and benefit plan obligations; foreign currency exchange rates and earnings repatriation limitations; and the decisions of taxing authorities which could affect our effective tax rates. A summary of additional risks and uncertainties can be found in our Annual Report on Form 10-K for the year ended December 31, 2022 including without limitation under the captions "Item 1. Business -- Governmental Regulation" and "-- Forward -Looking Statements" and "Item 1A. Risk Factors" and in our other filings with the U.S. Securities and Exchange Commission. Forward-looking statements are given only as at the date of this</w:t>
      </w:r>
    </w:p>
    <w:p>
      <w:pPr>
        <w:sectPr>
          <w:pgSz w:w="12240" w:h="15840" w:orient="portrait"/>
          <w:cols w:equalWidth="0" w:num="1">
            <w:col w:w="9820"/>
          </w:cols>
          <w:pgMar w:left="1200" w:top="1057" w:right="1220" w:bottom="565" w:gutter="0" w:footer="0" w:header="0"/>
        </w:sectPr>
      </w:pPr>
    </w:p>
    <w:bookmarkStart w:id="5" w:name="page6"/>
    <w:bookmarkEnd w:id="5"/>
    <w:p>
      <w:pPr>
        <w:jc w:val="both"/>
        <w:ind w:right="100"/>
        <w:spacing w:after="0" w:line="268" w:lineRule="auto"/>
        <w:rPr>
          <w:sz w:val="20"/>
          <w:szCs w:val="20"/>
          <w:color w:val="auto"/>
        </w:rPr>
      </w:pPr>
      <w:r>
        <w:rPr>
          <w:rFonts w:ascii="Arial" w:cs="Arial" w:eastAsia="Arial" w:hAnsi="Arial"/>
          <w:sz w:val="24"/>
          <w:szCs w:val="24"/>
          <w:color w:val="auto"/>
        </w:rPr>
        <w:t>release and the Company disclaims any obligation to update or revise the forward-looking statements, whether as a result of new information, future events or otherwise, except as required by law.</w:t>
      </w:r>
    </w:p>
    <w:p>
      <w:pPr>
        <w:spacing w:after="0" w:line="186" w:lineRule="exact"/>
        <w:rPr>
          <w:sz w:val="20"/>
          <w:szCs w:val="20"/>
          <w:color w:val="auto"/>
        </w:rPr>
      </w:pPr>
    </w:p>
    <w:tbl>
      <w:tblPr>
        <w:tblLayout w:type="fixed"/>
        <w:tblInd w:w="60" w:type="dxa"/>
        <w:tblCellMar>
          <w:top w:w="0" w:type="dxa"/>
          <w:left w:w="0" w:type="dxa"/>
          <w:bottom w:w="0" w:type="dxa"/>
          <w:right w:w="0" w:type="dxa"/>
        </w:tblCellMar>
      </w:tblPr>
      <w:tr>
        <w:trPr>
          <w:trHeight w:val="231"/>
        </w:trPr>
        <w:tc>
          <w:tcPr>
            <w:tcW w:w="1940" w:type="dxa"/>
            <w:vAlign w:val="bottom"/>
          </w:tcPr>
          <w:p>
            <w:pPr>
              <w:spacing w:after="0"/>
              <w:rPr>
                <w:sz w:val="20"/>
                <w:szCs w:val="20"/>
                <w:color w:val="auto"/>
              </w:rPr>
            </w:pPr>
            <w:r>
              <w:rPr>
                <w:rFonts w:ascii="Arial" w:cs="Arial" w:eastAsia="Arial" w:hAnsi="Arial"/>
                <w:sz w:val="17"/>
                <w:szCs w:val="17"/>
                <w:b w:val="1"/>
                <w:bCs w:val="1"/>
                <w:color w:val="auto"/>
              </w:rPr>
              <w:t>Contact:</w:t>
            </w:r>
          </w:p>
        </w:tc>
        <w:tc>
          <w:tcPr>
            <w:tcW w:w="80" w:type="dxa"/>
            <w:vAlign w:val="bottom"/>
          </w:tcPr>
          <w:p>
            <w:pPr>
              <w:spacing w:after="0"/>
              <w:rPr>
                <w:sz w:val="20"/>
                <w:szCs w:val="20"/>
                <w:color w:val="auto"/>
              </w:rPr>
            </w:pPr>
          </w:p>
        </w:tc>
        <w:tc>
          <w:tcPr>
            <w:tcW w:w="2120" w:type="dxa"/>
            <w:vAlign w:val="bottom"/>
          </w:tcPr>
          <w:p>
            <w:pPr>
              <w:spacing w:after="0"/>
              <w:rPr>
                <w:sz w:val="20"/>
                <w:szCs w:val="20"/>
                <w:color w:val="auto"/>
              </w:rPr>
            </w:pPr>
          </w:p>
        </w:tc>
      </w:tr>
      <w:tr>
        <w:trPr>
          <w:trHeight w:val="442"/>
        </w:trPr>
        <w:tc>
          <w:tcPr>
            <w:tcW w:w="1940" w:type="dxa"/>
            <w:vAlign w:val="bottom"/>
          </w:tcPr>
          <w:p>
            <w:pPr>
              <w:spacing w:after="0"/>
              <w:rPr>
                <w:sz w:val="20"/>
                <w:szCs w:val="20"/>
                <w:color w:val="auto"/>
              </w:rPr>
            </w:pPr>
            <w:r>
              <w:rPr>
                <w:rFonts w:ascii="Arial" w:cs="Arial" w:eastAsia="Arial" w:hAnsi="Arial"/>
                <w:sz w:val="17"/>
                <w:szCs w:val="17"/>
                <w:color w:val="auto"/>
              </w:rPr>
              <w:t>Trevor Burns</w:t>
            </w:r>
          </w:p>
        </w:tc>
        <w:tc>
          <w:tcPr>
            <w:tcW w:w="80" w:type="dxa"/>
            <w:vAlign w:val="bottom"/>
          </w:tcPr>
          <w:p>
            <w:pPr>
              <w:spacing w:after="0"/>
              <w:rPr>
                <w:sz w:val="24"/>
                <w:szCs w:val="24"/>
                <w:color w:val="auto"/>
              </w:rPr>
            </w:pPr>
          </w:p>
        </w:tc>
        <w:tc>
          <w:tcPr>
            <w:tcW w:w="2120" w:type="dxa"/>
            <w:vAlign w:val="bottom"/>
          </w:tcPr>
          <w:p>
            <w:pPr>
              <w:spacing w:after="0"/>
              <w:rPr>
                <w:sz w:val="20"/>
                <w:szCs w:val="20"/>
                <w:color w:val="auto"/>
              </w:rPr>
            </w:pPr>
            <w:r>
              <w:rPr>
                <w:rFonts w:ascii="Arial" w:cs="Arial" w:eastAsia="Arial" w:hAnsi="Arial"/>
                <w:sz w:val="17"/>
                <w:szCs w:val="17"/>
                <w:color w:val="auto"/>
              </w:rPr>
              <w:t>Kate Walker</w:t>
            </w:r>
          </w:p>
        </w:tc>
      </w:tr>
      <w:tr>
        <w:trPr>
          <w:trHeight w:val="225"/>
        </w:trPr>
        <w:tc>
          <w:tcPr>
            <w:tcW w:w="1940" w:type="dxa"/>
            <w:vAlign w:val="bottom"/>
          </w:tcPr>
          <w:p>
            <w:pPr>
              <w:spacing w:after="0"/>
              <w:rPr>
                <w:sz w:val="20"/>
                <w:szCs w:val="20"/>
                <w:color w:val="auto"/>
              </w:rPr>
            </w:pPr>
            <w:r>
              <w:rPr>
                <w:rFonts w:ascii="Arial" w:cs="Arial" w:eastAsia="Arial" w:hAnsi="Arial"/>
                <w:sz w:val="17"/>
                <w:szCs w:val="17"/>
                <w:color w:val="auto"/>
              </w:rPr>
              <w:t>Investor Relations</w:t>
            </w:r>
          </w:p>
        </w:tc>
        <w:tc>
          <w:tcPr>
            <w:tcW w:w="80" w:type="dxa"/>
            <w:vAlign w:val="bottom"/>
          </w:tcPr>
          <w:p>
            <w:pPr>
              <w:spacing w:after="0"/>
              <w:rPr>
                <w:sz w:val="19"/>
                <w:szCs w:val="19"/>
                <w:color w:val="auto"/>
              </w:rPr>
            </w:pPr>
          </w:p>
        </w:tc>
        <w:tc>
          <w:tcPr>
            <w:tcW w:w="2120" w:type="dxa"/>
            <w:vAlign w:val="bottom"/>
          </w:tcPr>
          <w:p>
            <w:pPr>
              <w:spacing w:after="0"/>
              <w:rPr>
                <w:sz w:val="20"/>
                <w:szCs w:val="20"/>
                <w:color w:val="auto"/>
              </w:rPr>
            </w:pPr>
            <w:r>
              <w:rPr>
                <w:rFonts w:ascii="Arial" w:cs="Arial" w:eastAsia="Arial" w:hAnsi="Arial"/>
                <w:sz w:val="17"/>
                <w:szCs w:val="17"/>
                <w:color w:val="auto"/>
              </w:rPr>
              <w:t>Media Relations</w:t>
            </w:r>
          </w:p>
        </w:tc>
      </w:tr>
      <w:tr>
        <w:trPr>
          <w:trHeight w:val="188"/>
        </w:trPr>
        <w:tc>
          <w:tcPr>
            <w:tcW w:w="1940" w:type="dxa"/>
            <w:vAlign w:val="bottom"/>
            <w:tcBorders>
              <w:bottom w:val="single" w:sz="8" w:color="auto"/>
            </w:tcBorders>
          </w:tcPr>
          <w:p>
            <w:pPr>
              <w:spacing w:after="0" w:line="188" w:lineRule="exact"/>
              <w:rPr>
                <w:sz w:val="20"/>
                <w:szCs w:val="20"/>
                <w:color w:val="auto"/>
              </w:rPr>
            </w:pPr>
            <w:r>
              <w:rPr>
                <w:rFonts w:ascii="Arial" w:cs="Arial" w:eastAsia="Arial" w:hAnsi="Arial"/>
                <w:sz w:val="17"/>
                <w:szCs w:val="17"/>
                <w:color w:val="auto"/>
                <w:w w:val="96"/>
              </w:rPr>
              <w:t>trevor.burns@equifax.com</w:t>
            </w:r>
          </w:p>
        </w:tc>
        <w:tc>
          <w:tcPr>
            <w:tcW w:w="80" w:type="dxa"/>
            <w:vAlign w:val="bottom"/>
          </w:tcPr>
          <w:p>
            <w:pPr>
              <w:spacing w:after="0"/>
              <w:rPr>
                <w:sz w:val="16"/>
                <w:szCs w:val="16"/>
                <w:color w:val="auto"/>
              </w:rPr>
            </w:pPr>
          </w:p>
        </w:tc>
        <w:tc>
          <w:tcPr>
            <w:tcW w:w="2120" w:type="dxa"/>
            <w:vAlign w:val="bottom"/>
            <w:tcBorders>
              <w:bottom w:val="single" w:sz="8" w:color="auto"/>
            </w:tcBorders>
          </w:tcPr>
          <w:p>
            <w:pPr>
              <w:spacing w:after="0" w:line="188" w:lineRule="exact"/>
              <w:rPr>
                <w:sz w:val="20"/>
                <w:szCs w:val="20"/>
                <w:color w:val="auto"/>
              </w:rPr>
            </w:pPr>
            <w:r>
              <w:rPr>
                <w:rFonts w:ascii="Arial" w:cs="Arial" w:eastAsia="Arial" w:hAnsi="Arial"/>
                <w:sz w:val="17"/>
                <w:szCs w:val="17"/>
                <w:color w:val="auto"/>
                <w:w w:val="95"/>
              </w:rPr>
              <w:t>mediainquiries@equifax.com</w:t>
            </w:r>
          </w:p>
        </w:tc>
      </w:tr>
    </w:tbl>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ind w:left="60"/>
        <w:spacing w:after="0"/>
        <w:rPr>
          <w:sz w:val="20"/>
          <w:szCs w:val="20"/>
          <w:color w:val="auto"/>
        </w:rPr>
      </w:pPr>
      <w:r>
        <w:rPr>
          <w:rFonts w:ascii="Arial" w:cs="Arial" w:eastAsia="Arial" w:hAnsi="Arial"/>
          <w:sz w:val="17"/>
          <w:szCs w:val="17"/>
          <w:color w:val="auto"/>
        </w:rPr>
        <w:t>EQUIFAX</w:t>
      </w:r>
    </w:p>
    <w:p>
      <w:pPr>
        <w:spacing w:after="0" w:line="20" w:lineRule="exact"/>
        <w:rPr>
          <w:sz w:val="20"/>
          <w:szCs w:val="20"/>
          <w:color w:val="auto"/>
        </w:rPr>
      </w:pPr>
    </w:p>
    <w:p>
      <w:pPr>
        <w:ind w:left="60"/>
        <w:spacing w:after="0"/>
        <w:rPr>
          <w:sz w:val="20"/>
          <w:szCs w:val="20"/>
          <w:color w:val="auto"/>
        </w:rPr>
      </w:pPr>
      <w:r>
        <w:rPr>
          <w:rFonts w:ascii="Arial" w:cs="Arial" w:eastAsia="Arial" w:hAnsi="Arial"/>
          <w:sz w:val="17"/>
          <w:szCs w:val="17"/>
          <w:b w:val="1"/>
          <w:bCs w:val="1"/>
          <w:u w:val="single" w:color="auto"/>
          <w:color w:val="auto"/>
        </w:rPr>
        <w:t>CONSOLIDATED STATEMENTS OF INCOME</w:t>
      </w:r>
    </w:p>
    <w:p>
      <w:pPr>
        <w:spacing w:after="0" w:line="233" w:lineRule="exact"/>
        <w:rPr>
          <w:sz w:val="20"/>
          <w:szCs w:val="20"/>
          <w:color w:val="auto"/>
        </w:rPr>
      </w:pPr>
    </w:p>
    <w:tbl>
      <w:tblPr>
        <w:tblLayout w:type="fixed"/>
        <w:tblInd w:w="60" w:type="dxa"/>
        <w:tblCellMar>
          <w:top w:w="0" w:type="dxa"/>
          <w:left w:w="0" w:type="dxa"/>
          <w:bottom w:w="0" w:type="dxa"/>
          <w:right w:w="0" w:type="dxa"/>
        </w:tblCellMar>
      </w:tblPr>
      <w:tr>
        <w:trPr>
          <w:trHeight w:val="225"/>
        </w:trPr>
        <w:tc>
          <w:tcPr>
            <w:tcW w:w="5800" w:type="dxa"/>
            <w:vAlign w:val="bottom"/>
          </w:tcPr>
          <w:p>
            <w:pPr>
              <w:spacing w:after="0"/>
              <w:rPr>
                <w:sz w:val="19"/>
                <w:szCs w:val="19"/>
                <w:color w:val="auto"/>
              </w:rPr>
            </w:pPr>
          </w:p>
        </w:tc>
        <w:tc>
          <w:tcPr>
            <w:tcW w:w="3280" w:type="dxa"/>
            <w:vAlign w:val="bottom"/>
            <w:gridSpan w:val="5"/>
          </w:tcPr>
          <w:p>
            <w:pPr>
              <w:jc w:val="right"/>
              <w:ind w:right="378"/>
              <w:spacing w:after="0"/>
              <w:rPr>
                <w:sz w:val="20"/>
                <w:szCs w:val="20"/>
                <w:color w:val="auto"/>
              </w:rPr>
            </w:pPr>
            <w:r>
              <w:rPr>
                <w:rFonts w:ascii="Arial" w:cs="Arial" w:eastAsia="Arial" w:hAnsi="Arial"/>
                <w:sz w:val="17"/>
                <w:szCs w:val="17"/>
                <w:b w:val="1"/>
                <w:bCs w:val="1"/>
                <w:color w:val="auto"/>
              </w:rPr>
              <w:t>Three Months Ended June 30,</w:t>
            </w:r>
          </w:p>
        </w:tc>
        <w:tc>
          <w:tcPr>
            <w:tcW w:w="0" w:type="dxa"/>
            <w:vAlign w:val="bottom"/>
          </w:tcPr>
          <w:p>
            <w:pPr>
              <w:spacing w:after="0"/>
              <w:rPr>
                <w:sz w:val="1"/>
                <w:szCs w:val="1"/>
                <w:color w:val="auto"/>
              </w:rPr>
            </w:pPr>
          </w:p>
        </w:tc>
      </w:tr>
      <w:tr>
        <w:trPr>
          <w:trHeight w:val="231"/>
        </w:trPr>
        <w:tc>
          <w:tcPr>
            <w:tcW w:w="5800" w:type="dxa"/>
            <w:vAlign w:val="bottom"/>
            <w:vMerge w:val="restart"/>
          </w:tcPr>
          <w:p>
            <w:pPr>
              <w:spacing w:after="0"/>
              <w:rPr>
                <w:sz w:val="20"/>
                <w:szCs w:val="20"/>
                <w:color w:val="auto"/>
              </w:rPr>
            </w:pPr>
            <w:r>
              <w:rPr>
                <w:rFonts w:ascii="Arial" w:cs="Arial" w:eastAsia="Arial" w:hAnsi="Arial"/>
                <w:sz w:val="17"/>
                <w:szCs w:val="17"/>
                <w:i w:val="1"/>
                <w:iCs w:val="1"/>
                <w:color w:val="auto"/>
              </w:rPr>
              <w:t>(In millions, except per share amounts)</w:t>
            </w:r>
          </w:p>
        </w:tc>
        <w:tc>
          <w:tcPr>
            <w:tcW w:w="1000" w:type="dxa"/>
            <w:vAlign w:val="bottom"/>
          </w:tcPr>
          <w:p>
            <w:pPr>
              <w:jc w:val="right"/>
              <w:spacing w:after="0"/>
              <w:rPr>
                <w:sz w:val="20"/>
                <w:szCs w:val="20"/>
                <w:color w:val="auto"/>
              </w:rPr>
            </w:pPr>
            <w:r>
              <w:rPr>
                <w:rFonts w:ascii="Arial" w:cs="Arial" w:eastAsia="Arial" w:hAnsi="Arial"/>
                <w:sz w:val="17"/>
                <w:szCs w:val="17"/>
                <w:b w:val="1"/>
                <w:bCs w:val="1"/>
                <w:color w:val="auto"/>
              </w:rPr>
              <w:t>2023</w:t>
            </w:r>
          </w:p>
        </w:tc>
        <w:tc>
          <w:tcPr>
            <w:tcW w:w="1200" w:type="dxa"/>
            <w:vAlign w:val="bottom"/>
            <w:gridSpan w:val="3"/>
            <w:vMerge w:val="restart"/>
          </w:tcPr>
          <w:p>
            <w:pPr>
              <w:jc w:val="right"/>
              <w:ind w:right="18"/>
              <w:spacing w:after="0"/>
              <w:rPr>
                <w:sz w:val="20"/>
                <w:szCs w:val="20"/>
                <w:color w:val="auto"/>
              </w:rPr>
            </w:pPr>
            <w:r>
              <w:rPr>
                <w:rFonts w:ascii="Arial" w:cs="Arial" w:eastAsia="Arial" w:hAnsi="Arial"/>
                <w:sz w:val="17"/>
                <w:szCs w:val="17"/>
                <w:i w:val="1"/>
                <w:iCs w:val="1"/>
                <w:color w:val="auto"/>
              </w:rPr>
              <w:t>(Unaudited)</w:t>
            </w:r>
          </w:p>
        </w:tc>
        <w:tc>
          <w:tcPr>
            <w:tcW w:w="1100" w:type="dxa"/>
            <w:vAlign w:val="bottom"/>
          </w:tcPr>
          <w:p>
            <w:pPr>
              <w:jc w:val="right"/>
              <w:ind w:right="538"/>
              <w:spacing w:after="0"/>
              <w:rPr>
                <w:sz w:val="20"/>
                <w:szCs w:val="20"/>
                <w:color w:val="auto"/>
              </w:rPr>
            </w:pPr>
            <w:r>
              <w:rPr>
                <w:rFonts w:ascii="Arial" w:cs="Arial" w:eastAsia="Arial" w:hAnsi="Arial"/>
                <w:sz w:val="17"/>
                <w:szCs w:val="17"/>
                <w:b w:val="1"/>
                <w:bCs w:val="1"/>
                <w:color w:val="auto"/>
              </w:rPr>
              <w:t>2022</w:t>
            </w:r>
          </w:p>
        </w:tc>
        <w:tc>
          <w:tcPr>
            <w:tcW w:w="0" w:type="dxa"/>
            <w:vAlign w:val="bottom"/>
          </w:tcPr>
          <w:p>
            <w:pPr>
              <w:spacing w:after="0"/>
              <w:rPr>
                <w:sz w:val="1"/>
                <w:szCs w:val="1"/>
                <w:color w:val="auto"/>
              </w:rPr>
            </w:pPr>
          </w:p>
        </w:tc>
      </w:tr>
      <w:tr>
        <w:trPr>
          <w:trHeight w:val="217"/>
        </w:trPr>
        <w:tc>
          <w:tcPr>
            <w:tcW w:w="5800" w:type="dxa"/>
            <w:vAlign w:val="bottom"/>
            <w:vMerge w:val="continue"/>
          </w:tcPr>
          <w:p>
            <w:pPr>
              <w:spacing w:after="0"/>
              <w:rPr>
                <w:sz w:val="18"/>
                <w:szCs w:val="18"/>
                <w:color w:val="auto"/>
              </w:rPr>
            </w:pPr>
          </w:p>
        </w:tc>
        <w:tc>
          <w:tcPr>
            <w:tcW w:w="1000" w:type="dxa"/>
            <w:vAlign w:val="bottom"/>
          </w:tcPr>
          <w:p>
            <w:pPr>
              <w:spacing w:after="0"/>
              <w:rPr>
                <w:sz w:val="18"/>
                <w:szCs w:val="18"/>
                <w:color w:val="auto"/>
              </w:rPr>
            </w:pPr>
          </w:p>
        </w:tc>
        <w:tc>
          <w:tcPr>
            <w:tcW w:w="1200" w:type="dxa"/>
            <w:vAlign w:val="bottom"/>
            <w:gridSpan w:val="3"/>
            <w:vMerge w:val="continue"/>
          </w:tcPr>
          <w:p>
            <w:pPr>
              <w:spacing w:after="0"/>
              <w:rPr>
                <w:sz w:val="18"/>
                <w:szCs w:val="18"/>
                <w:color w:val="auto"/>
              </w:rPr>
            </w:pPr>
          </w:p>
        </w:tc>
        <w:tc>
          <w:tcPr>
            <w:tcW w:w="11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29"/>
        </w:trPr>
        <w:tc>
          <w:tcPr>
            <w:tcW w:w="5800" w:type="dxa"/>
            <w:vAlign w:val="bottom"/>
          </w:tcPr>
          <w:p>
            <w:pPr>
              <w:spacing w:after="0"/>
              <w:rPr>
                <w:sz w:val="20"/>
                <w:szCs w:val="20"/>
                <w:color w:val="auto"/>
              </w:rPr>
            </w:pPr>
            <w:r>
              <w:rPr>
                <w:rFonts w:ascii="Arial" w:cs="Arial" w:eastAsia="Arial" w:hAnsi="Arial"/>
                <w:sz w:val="17"/>
                <w:szCs w:val="17"/>
                <w:color w:val="auto"/>
              </w:rPr>
              <w:t>Operating revenue</w:t>
            </w:r>
          </w:p>
        </w:tc>
        <w:tc>
          <w:tcPr>
            <w:tcW w:w="1000" w:type="dxa"/>
            <w:vAlign w:val="bottom"/>
          </w:tcPr>
          <w:p>
            <w:pPr>
              <w:jc w:val="right"/>
              <w:ind w:right="738"/>
              <w:spacing w:after="0"/>
              <w:rPr>
                <w:sz w:val="20"/>
                <w:szCs w:val="20"/>
                <w:color w:val="auto"/>
              </w:rPr>
            </w:pPr>
            <w:r>
              <w:rPr>
                <w:rFonts w:ascii="Arial" w:cs="Arial" w:eastAsia="Arial" w:hAnsi="Arial"/>
                <w:sz w:val="17"/>
                <w:szCs w:val="17"/>
                <w:b w:val="1"/>
                <w:bCs w:val="1"/>
                <w:color w:val="auto"/>
              </w:rPr>
              <w:t>$</w:t>
            </w:r>
          </w:p>
        </w:tc>
        <w:tc>
          <w:tcPr>
            <w:tcW w:w="620" w:type="dxa"/>
            <w:vAlign w:val="bottom"/>
          </w:tcPr>
          <w:p>
            <w:pPr>
              <w:jc w:val="right"/>
              <w:spacing w:after="0"/>
              <w:rPr>
                <w:sz w:val="20"/>
                <w:szCs w:val="20"/>
                <w:color w:val="auto"/>
              </w:rPr>
            </w:pPr>
            <w:r>
              <w:rPr>
                <w:rFonts w:ascii="Arial" w:cs="Arial" w:eastAsia="Arial" w:hAnsi="Arial"/>
                <w:sz w:val="17"/>
                <w:szCs w:val="17"/>
                <w:b w:val="1"/>
                <w:bCs w:val="1"/>
                <w:color w:val="auto"/>
                <w:w w:val="95"/>
              </w:rPr>
              <w:t>1,317.6</w:t>
            </w:r>
          </w:p>
        </w:tc>
        <w:tc>
          <w:tcPr>
            <w:tcW w:w="580" w:type="dxa"/>
            <w:vAlign w:val="bottom"/>
            <w:gridSpan w:val="2"/>
          </w:tcPr>
          <w:p>
            <w:pPr>
              <w:jc w:val="right"/>
              <w:ind w:right="258"/>
              <w:spacing w:after="0"/>
              <w:rPr>
                <w:sz w:val="20"/>
                <w:szCs w:val="20"/>
                <w:color w:val="auto"/>
              </w:rPr>
            </w:pPr>
            <w:r>
              <w:rPr>
                <w:rFonts w:ascii="Arial" w:cs="Arial" w:eastAsia="Arial" w:hAnsi="Arial"/>
                <w:sz w:val="17"/>
                <w:szCs w:val="17"/>
                <w:color w:val="auto"/>
              </w:rPr>
              <w:t>$</w:t>
            </w:r>
          </w:p>
        </w:tc>
        <w:tc>
          <w:tcPr>
            <w:tcW w:w="1100" w:type="dxa"/>
            <w:vAlign w:val="bottom"/>
          </w:tcPr>
          <w:p>
            <w:pPr>
              <w:jc w:val="right"/>
              <w:spacing w:after="0"/>
              <w:rPr>
                <w:sz w:val="20"/>
                <w:szCs w:val="20"/>
                <w:color w:val="auto"/>
              </w:rPr>
            </w:pPr>
            <w:r>
              <w:rPr>
                <w:rFonts w:ascii="Arial" w:cs="Arial" w:eastAsia="Arial" w:hAnsi="Arial"/>
                <w:sz w:val="17"/>
                <w:szCs w:val="17"/>
                <w:color w:val="auto"/>
              </w:rPr>
              <w:t>1,316.7</w:t>
            </w:r>
          </w:p>
        </w:tc>
        <w:tc>
          <w:tcPr>
            <w:tcW w:w="0" w:type="dxa"/>
            <w:vAlign w:val="bottom"/>
          </w:tcPr>
          <w:p>
            <w:pPr>
              <w:spacing w:after="0"/>
              <w:rPr>
                <w:sz w:val="1"/>
                <w:szCs w:val="1"/>
                <w:color w:val="auto"/>
              </w:rPr>
            </w:pPr>
          </w:p>
        </w:tc>
      </w:tr>
      <w:tr>
        <w:trPr>
          <w:trHeight w:val="221"/>
        </w:trPr>
        <w:tc>
          <w:tcPr>
            <w:tcW w:w="5800" w:type="dxa"/>
            <w:vAlign w:val="bottom"/>
          </w:tcPr>
          <w:p>
            <w:pPr>
              <w:spacing w:after="0"/>
              <w:rPr>
                <w:sz w:val="20"/>
                <w:szCs w:val="20"/>
                <w:color w:val="auto"/>
              </w:rPr>
            </w:pPr>
            <w:r>
              <w:rPr>
                <w:rFonts w:ascii="Arial" w:cs="Arial" w:eastAsia="Arial" w:hAnsi="Arial"/>
                <w:sz w:val="17"/>
                <w:szCs w:val="17"/>
                <w:color w:val="auto"/>
              </w:rPr>
              <w:t>Operating expenses:</w:t>
            </w:r>
          </w:p>
        </w:tc>
        <w:tc>
          <w:tcPr>
            <w:tcW w:w="100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7"/>
        </w:trPr>
        <w:tc>
          <w:tcPr>
            <w:tcW w:w="5800" w:type="dxa"/>
            <w:vAlign w:val="bottom"/>
          </w:tcPr>
          <w:p>
            <w:pPr>
              <w:ind w:left="100"/>
              <w:spacing w:after="0"/>
              <w:rPr>
                <w:sz w:val="20"/>
                <w:szCs w:val="20"/>
                <w:color w:val="auto"/>
              </w:rPr>
            </w:pPr>
            <w:r>
              <w:rPr>
                <w:rFonts w:ascii="Arial" w:cs="Arial" w:eastAsia="Arial" w:hAnsi="Arial"/>
                <w:sz w:val="17"/>
                <w:szCs w:val="17"/>
                <w:color w:val="auto"/>
              </w:rPr>
              <w:t>Cost of services (exclusive of depreciation and amortization below)</w:t>
            </w:r>
          </w:p>
        </w:tc>
        <w:tc>
          <w:tcPr>
            <w:tcW w:w="1000" w:type="dxa"/>
            <w:vAlign w:val="bottom"/>
          </w:tcPr>
          <w:p>
            <w:pPr>
              <w:spacing w:after="0"/>
              <w:rPr>
                <w:sz w:val="19"/>
                <w:szCs w:val="19"/>
                <w:color w:val="auto"/>
              </w:rPr>
            </w:pPr>
          </w:p>
        </w:tc>
        <w:tc>
          <w:tcPr>
            <w:tcW w:w="620" w:type="dxa"/>
            <w:vAlign w:val="bottom"/>
          </w:tcPr>
          <w:p>
            <w:pPr>
              <w:jc w:val="right"/>
              <w:spacing w:after="0"/>
              <w:rPr>
                <w:sz w:val="20"/>
                <w:szCs w:val="20"/>
                <w:color w:val="auto"/>
              </w:rPr>
            </w:pPr>
            <w:r>
              <w:rPr>
                <w:rFonts w:ascii="Arial" w:cs="Arial" w:eastAsia="Arial" w:hAnsi="Arial"/>
                <w:sz w:val="17"/>
                <w:szCs w:val="17"/>
                <w:b w:val="1"/>
                <w:bCs w:val="1"/>
                <w:color w:val="auto"/>
              </w:rPr>
              <w:t>588.0</w:t>
            </w:r>
          </w:p>
        </w:tc>
        <w:tc>
          <w:tcPr>
            <w:tcW w:w="6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100" w:type="dxa"/>
            <w:vAlign w:val="bottom"/>
          </w:tcPr>
          <w:p>
            <w:pPr>
              <w:jc w:val="right"/>
              <w:spacing w:after="0"/>
              <w:rPr>
                <w:sz w:val="20"/>
                <w:szCs w:val="20"/>
                <w:color w:val="auto"/>
              </w:rPr>
            </w:pPr>
            <w:r>
              <w:rPr>
                <w:rFonts w:ascii="Arial" w:cs="Arial" w:eastAsia="Arial" w:hAnsi="Arial"/>
                <w:sz w:val="17"/>
                <w:szCs w:val="17"/>
                <w:color w:val="auto"/>
              </w:rPr>
              <w:t>542.1</w:t>
            </w:r>
          </w:p>
        </w:tc>
        <w:tc>
          <w:tcPr>
            <w:tcW w:w="0" w:type="dxa"/>
            <w:vAlign w:val="bottom"/>
          </w:tcPr>
          <w:p>
            <w:pPr>
              <w:spacing w:after="0"/>
              <w:rPr>
                <w:sz w:val="1"/>
                <w:szCs w:val="1"/>
                <w:color w:val="auto"/>
              </w:rPr>
            </w:pPr>
          </w:p>
        </w:tc>
      </w:tr>
      <w:tr>
        <w:trPr>
          <w:trHeight w:val="225"/>
        </w:trPr>
        <w:tc>
          <w:tcPr>
            <w:tcW w:w="5800" w:type="dxa"/>
            <w:vAlign w:val="bottom"/>
          </w:tcPr>
          <w:p>
            <w:pPr>
              <w:ind w:left="100"/>
              <w:spacing w:after="0"/>
              <w:rPr>
                <w:sz w:val="20"/>
                <w:szCs w:val="20"/>
                <w:color w:val="auto"/>
              </w:rPr>
            </w:pPr>
            <w:r>
              <w:rPr>
                <w:rFonts w:ascii="Arial" w:cs="Arial" w:eastAsia="Arial" w:hAnsi="Arial"/>
                <w:sz w:val="17"/>
                <w:szCs w:val="17"/>
                <w:color w:val="auto"/>
              </w:rPr>
              <w:t>Selling, general and administrative expenses</w:t>
            </w:r>
          </w:p>
        </w:tc>
        <w:tc>
          <w:tcPr>
            <w:tcW w:w="1000" w:type="dxa"/>
            <w:vAlign w:val="bottom"/>
          </w:tcPr>
          <w:p>
            <w:pPr>
              <w:spacing w:after="0"/>
              <w:rPr>
                <w:sz w:val="19"/>
                <w:szCs w:val="19"/>
                <w:color w:val="auto"/>
              </w:rPr>
            </w:pPr>
          </w:p>
        </w:tc>
        <w:tc>
          <w:tcPr>
            <w:tcW w:w="620" w:type="dxa"/>
            <w:vAlign w:val="bottom"/>
          </w:tcPr>
          <w:p>
            <w:pPr>
              <w:jc w:val="right"/>
              <w:spacing w:after="0"/>
              <w:rPr>
                <w:sz w:val="20"/>
                <w:szCs w:val="20"/>
                <w:color w:val="auto"/>
              </w:rPr>
            </w:pPr>
            <w:r>
              <w:rPr>
                <w:rFonts w:ascii="Arial" w:cs="Arial" w:eastAsia="Arial" w:hAnsi="Arial"/>
                <w:sz w:val="17"/>
                <w:szCs w:val="17"/>
                <w:b w:val="1"/>
                <w:bCs w:val="1"/>
                <w:color w:val="auto"/>
              </w:rPr>
              <w:t>343.1</w:t>
            </w:r>
          </w:p>
        </w:tc>
        <w:tc>
          <w:tcPr>
            <w:tcW w:w="6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100" w:type="dxa"/>
            <w:vAlign w:val="bottom"/>
          </w:tcPr>
          <w:p>
            <w:pPr>
              <w:jc w:val="right"/>
              <w:spacing w:after="0"/>
              <w:rPr>
                <w:sz w:val="20"/>
                <w:szCs w:val="20"/>
                <w:color w:val="auto"/>
              </w:rPr>
            </w:pPr>
            <w:r>
              <w:rPr>
                <w:rFonts w:ascii="Arial" w:cs="Arial" w:eastAsia="Arial" w:hAnsi="Arial"/>
                <w:sz w:val="17"/>
                <w:szCs w:val="17"/>
                <w:color w:val="auto"/>
              </w:rPr>
              <w:t>330.2</w:t>
            </w:r>
          </w:p>
        </w:tc>
        <w:tc>
          <w:tcPr>
            <w:tcW w:w="0" w:type="dxa"/>
            <w:vAlign w:val="bottom"/>
          </w:tcPr>
          <w:p>
            <w:pPr>
              <w:spacing w:after="0"/>
              <w:rPr>
                <w:sz w:val="1"/>
                <w:szCs w:val="1"/>
                <w:color w:val="auto"/>
              </w:rPr>
            </w:pPr>
          </w:p>
        </w:tc>
      </w:tr>
      <w:tr>
        <w:trPr>
          <w:trHeight w:val="225"/>
        </w:trPr>
        <w:tc>
          <w:tcPr>
            <w:tcW w:w="5800" w:type="dxa"/>
            <w:vAlign w:val="bottom"/>
          </w:tcPr>
          <w:p>
            <w:pPr>
              <w:ind w:left="100"/>
              <w:spacing w:after="0"/>
              <w:rPr>
                <w:sz w:val="20"/>
                <w:szCs w:val="20"/>
                <w:color w:val="auto"/>
              </w:rPr>
            </w:pPr>
            <w:r>
              <w:rPr>
                <w:rFonts w:ascii="Arial" w:cs="Arial" w:eastAsia="Arial" w:hAnsi="Arial"/>
                <w:sz w:val="17"/>
                <w:szCs w:val="17"/>
                <w:color w:val="auto"/>
              </w:rPr>
              <w:t>Depreciation and amortization</w:t>
            </w:r>
          </w:p>
        </w:tc>
        <w:tc>
          <w:tcPr>
            <w:tcW w:w="1000" w:type="dxa"/>
            <w:vAlign w:val="bottom"/>
          </w:tcPr>
          <w:p>
            <w:pPr>
              <w:spacing w:after="0"/>
              <w:rPr>
                <w:sz w:val="19"/>
                <w:szCs w:val="19"/>
                <w:color w:val="auto"/>
              </w:rPr>
            </w:pPr>
          </w:p>
        </w:tc>
        <w:tc>
          <w:tcPr>
            <w:tcW w:w="620" w:type="dxa"/>
            <w:vAlign w:val="bottom"/>
          </w:tcPr>
          <w:p>
            <w:pPr>
              <w:jc w:val="right"/>
              <w:spacing w:after="0"/>
              <w:rPr>
                <w:sz w:val="20"/>
                <w:szCs w:val="20"/>
                <w:color w:val="auto"/>
              </w:rPr>
            </w:pPr>
            <w:r>
              <w:rPr>
                <w:rFonts w:ascii="Arial" w:cs="Arial" w:eastAsia="Arial" w:hAnsi="Arial"/>
                <w:sz w:val="17"/>
                <w:szCs w:val="17"/>
                <w:b w:val="1"/>
                <w:bCs w:val="1"/>
                <w:color w:val="auto"/>
              </w:rPr>
              <w:t>149.6</w:t>
            </w:r>
          </w:p>
        </w:tc>
        <w:tc>
          <w:tcPr>
            <w:tcW w:w="6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100" w:type="dxa"/>
            <w:vAlign w:val="bottom"/>
          </w:tcPr>
          <w:p>
            <w:pPr>
              <w:jc w:val="right"/>
              <w:spacing w:after="0"/>
              <w:rPr>
                <w:sz w:val="20"/>
                <w:szCs w:val="20"/>
                <w:color w:val="auto"/>
              </w:rPr>
            </w:pPr>
            <w:r>
              <w:rPr>
                <w:rFonts w:ascii="Arial" w:cs="Arial" w:eastAsia="Arial" w:hAnsi="Arial"/>
                <w:sz w:val="17"/>
                <w:szCs w:val="17"/>
                <w:color w:val="auto"/>
              </w:rPr>
              <w:t>139.8</w:t>
            </w:r>
          </w:p>
        </w:tc>
        <w:tc>
          <w:tcPr>
            <w:tcW w:w="0" w:type="dxa"/>
            <w:vAlign w:val="bottom"/>
          </w:tcPr>
          <w:p>
            <w:pPr>
              <w:spacing w:after="0"/>
              <w:rPr>
                <w:sz w:val="1"/>
                <w:szCs w:val="1"/>
                <w:color w:val="auto"/>
              </w:rPr>
            </w:pPr>
          </w:p>
        </w:tc>
      </w:tr>
      <w:tr>
        <w:trPr>
          <w:trHeight w:val="225"/>
        </w:trPr>
        <w:tc>
          <w:tcPr>
            <w:tcW w:w="5800" w:type="dxa"/>
            <w:vAlign w:val="bottom"/>
          </w:tcPr>
          <w:p>
            <w:pPr>
              <w:ind w:left="180"/>
              <w:spacing w:after="0"/>
              <w:rPr>
                <w:sz w:val="20"/>
                <w:szCs w:val="20"/>
                <w:color w:val="auto"/>
              </w:rPr>
            </w:pPr>
            <w:r>
              <w:rPr>
                <w:rFonts w:ascii="Arial" w:cs="Arial" w:eastAsia="Arial" w:hAnsi="Arial"/>
                <w:sz w:val="17"/>
                <w:szCs w:val="17"/>
                <w:color w:val="auto"/>
              </w:rPr>
              <w:t>Total operating expenses</w:t>
            </w:r>
          </w:p>
        </w:tc>
        <w:tc>
          <w:tcPr>
            <w:tcW w:w="1000" w:type="dxa"/>
            <w:vAlign w:val="bottom"/>
          </w:tcPr>
          <w:p>
            <w:pPr>
              <w:spacing w:after="0"/>
              <w:rPr>
                <w:sz w:val="19"/>
                <w:szCs w:val="19"/>
                <w:color w:val="auto"/>
              </w:rPr>
            </w:pPr>
          </w:p>
        </w:tc>
        <w:tc>
          <w:tcPr>
            <w:tcW w:w="620" w:type="dxa"/>
            <w:vAlign w:val="bottom"/>
          </w:tcPr>
          <w:p>
            <w:pPr>
              <w:jc w:val="right"/>
              <w:spacing w:after="0"/>
              <w:rPr>
                <w:sz w:val="20"/>
                <w:szCs w:val="20"/>
                <w:color w:val="auto"/>
              </w:rPr>
            </w:pPr>
            <w:r>
              <w:rPr>
                <w:rFonts w:ascii="Arial" w:cs="Arial" w:eastAsia="Arial" w:hAnsi="Arial"/>
                <w:sz w:val="17"/>
                <w:szCs w:val="17"/>
                <w:b w:val="1"/>
                <w:bCs w:val="1"/>
                <w:color w:val="auto"/>
                <w:w w:val="95"/>
              </w:rPr>
              <w:t>1,080.7</w:t>
            </w:r>
          </w:p>
        </w:tc>
        <w:tc>
          <w:tcPr>
            <w:tcW w:w="6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100" w:type="dxa"/>
            <w:vAlign w:val="bottom"/>
          </w:tcPr>
          <w:p>
            <w:pPr>
              <w:jc w:val="right"/>
              <w:spacing w:after="0"/>
              <w:rPr>
                <w:sz w:val="20"/>
                <w:szCs w:val="20"/>
                <w:color w:val="auto"/>
              </w:rPr>
            </w:pPr>
            <w:r>
              <w:rPr>
                <w:rFonts w:ascii="Arial" w:cs="Arial" w:eastAsia="Arial" w:hAnsi="Arial"/>
                <w:sz w:val="17"/>
                <w:szCs w:val="17"/>
                <w:color w:val="auto"/>
              </w:rPr>
              <w:t>1,012.1</w:t>
            </w:r>
          </w:p>
        </w:tc>
        <w:tc>
          <w:tcPr>
            <w:tcW w:w="0" w:type="dxa"/>
            <w:vAlign w:val="bottom"/>
          </w:tcPr>
          <w:p>
            <w:pPr>
              <w:spacing w:after="0"/>
              <w:rPr>
                <w:sz w:val="1"/>
                <w:szCs w:val="1"/>
                <w:color w:val="auto"/>
              </w:rPr>
            </w:pPr>
          </w:p>
        </w:tc>
      </w:tr>
      <w:tr>
        <w:trPr>
          <w:trHeight w:val="225"/>
        </w:trPr>
        <w:tc>
          <w:tcPr>
            <w:tcW w:w="5800" w:type="dxa"/>
            <w:vAlign w:val="bottom"/>
          </w:tcPr>
          <w:p>
            <w:pPr>
              <w:spacing w:after="0"/>
              <w:rPr>
                <w:sz w:val="20"/>
                <w:szCs w:val="20"/>
                <w:color w:val="auto"/>
              </w:rPr>
            </w:pPr>
            <w:r>
              <w:rPr>
                <w:rFonts w:ascii="Arial" w:cs="Arial" w:eastAsia="Arial" w:hAnsi="Arial"/>
                <w:sz w:val="17"/>
                <w:szCs w:val="17"/>
                <w:color w:val="auto"/>
              </w:rPr>
              <w:t>Operating income</w:t>
            </w:r>
          </w:p>
        </w:tc>
        <w:tc>
          <w:tcPr>
            <w:tcW w:w="1000" w:type="dxa"/>
            <w:vAlign w:val="bottom"/>
          </w:tcPr>
          <w:p>
            <w:pPr>
              <w:spacing w:after="0"/>
              <w:rPr>
                <w:sz w:val="19"/>
                <w:szCs w:val="19"/>
                <w:color w:val="auto"/>
              </w:rPr>
            </w:pPr>
          </w:p>
        </w:tc>
        <w:tc>
          <w:tcPr>
            <w:tcW w:w="620" w:type="dxa"/>
            <w:vAlign w:val="bottom"/>
          </w:tcPr>
          <w:p>
            <w:pPr>
              <w:jc w:val="right"/>
              <w:spacing w:after="0"/>
              <w:rPr>
                <w:sz w:val="20"/>
                <w:szCs w:val="20"/>
                <w:color w:val="auto"/>
              </w:rPr>
            </w:pPr>
            <w:r>
              <w:rPr>
                <w:rFonts w:ascii="Arial" w:cs="Arial" w:eastAsia="Arial" w:hAnsi="Arial"/>
                <w:sz w:val="17"/>
                <w:szCs w:val="17"/>
                <w:b w:val="1"/>
                <w:bCs w:val="1"/>
                <w:color w:val="auto"/>
              </w:rPr>
              <w:t>236.9</w:t>
            </w:r>
          </w:p>
        </w:tc>
        <w:tc>
          <w:tcPr>
            <w:tcW w:w="6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100" w:type="dxa"/>
            <w:vAlign w:val="bottom"/>
          </w:tcPr>
          <w:p>
            <w:pPr>
              <w:jc w:val="right"/>
              <w:spacing w:after="0"/>
              <w:rPr>
                <w:sz w:val="20"/>
                <w:szCs w:val="20"/>
                <w:color w:val="auto"/>
              </w:rPr>
            </w:pPr>
            <w:r>
              <w:rPr>
                <w:rFonts w:ascii="Arial" w:cs="Arial" w:eastAsia="Arial" w:hAnsi="Arial"/>
                <w:sz w:val="17"/>
                <w:szCs w:val="17"/>
                <w:color w:val="auto"/>
              </w:rPr>
              <w:t>304.6</w:t>
            </w:r>
          </w:p>
        </w:tc>
        <w:tc>
          <w:tcPr>
            <w:tcW w:w="0" w:type="dxa"/>
            <w:vAlign w:val="bottom"/>
          </w:tcPr>
          <w:p>
            <w:pPr>
              <w:spacing w:after="0"/>
              <w:rPr>
                <w:sz w:val="1"/>
                <w:szCs w:val="1"/>
                <w:color w:val="auto"/>
              </w:rPr>
            </w:pPr>
          </w:p>
        </w:tc>
      </w:tr>
      <w:tr>
        <w:trPr>
          <w:trHeight w:val="225"/>
        </w:trPr>
        <w:tc>
          <w:tcPr>
            <w:tcW w:w="5800" w:type="dxa"/>
            <w:vAlign w:val="bottom"/>
          </w:tcPr>
          <w:p>
            <w:pPr>
              <w:ind w:left="100"/>
              <w:spacing w:after="0"/>
              <w:rPr>
                <w:sz w:val="20"/>
                <w:szCs w:val="20"/>
                <w:color w:val="auto"/>
              </w:rPr>
            </w:pPr>
            <w:r>
              <w:rPr>
                <w:rFonts w:ascii="Arial" w:cs="Arial" w:eastAsia="Arial" w:hAnsi="Arial"/>
                <w:sz w:val="17"/>
                <w:szCs w:val="17"/>
                <w:color w:val="auto"/>
              </w:rPr>
              <w:t>Interest expense</w:t>
            </w:r>
          </w:p>
        </w:tc>
        <w:tc>
          <w:tcPr>
            <w:tcW w:w="1000" w:type="dxa"/>
            <w:vAlign w:val="bottom"/>
          </w:tcPr>
          <w:p>
            <w:pPr>
              <w:spacing w:after="0"/>
              <w:rPr>
                <w:sz w:val="19"/>
                <w:szCs w:val="19"/>
                <w:color w:val="auto"/>
              </w:rPr>
            </w:pPr>
          </w:p>
        </w:tc>
        <w:tc>
          <w:tcPr>
            <w:tcW w:w="620" w:type="dxa"/>
            <w:vAlign w:val="bottom"/>
          </w:tcPr>
          <w:p>
            <w:pPr>
              <w:jc w:val="right"/>
              <w:spacing w:after="0"/>
              <w:rPr>
                <w:sz w:val="20"/>
                <w:szCs w:val="20"/>
                <w:color w:val="auto"/>
              </w:rPr>
            </w:pPr>
            <w:r>
              <w:rPr>
                <w:rFonts w:ascii="Arial" w:cs="Arial" w:eastAsia="Arial" w:hAnsi="Arial"/>
                <w:sz w:val="17"/>
                <w:szCs w:val="17"/>
                <w:b w:val="1"/>
                <w:bCs w:val="1"/>
                <w:color w:val="auto"/>
              </w:rPr>
              <w:t>(60.7)</w:t>
            </w:r>
          </w:p>
        </w:tc>
        <w:tc>
          <w:tcPr>
            <w:tcW w:w="6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100" w:type="dxa"/>
            <w:vAlign w:val="bottom"/>
          </w:tcPr>
          <w:p>
            <w:pPr>
              <w:jc w:val="right"/>
              <w:spacing w:after="0"/>
              <w:rPr>
                <w:sz w:val="20"/>
                <w:szCs w:val="20"/>
                <w:color w:val="auto"/>
              </w:rPr>
            </w:pPr>
            <w:r>
              <w:rPr>
                <w:rFonts w:ascii="Arial" w:cs="Arial" w:eastAsia="Arial" w:hAnsi="Arial"/>
                <w:sz w:val="17"/>
                <w:szCs w:val="17"/>
                <w:color w:val="auto"/>
              </w:rPr>
              <w:t>(41.6)</w:t>
            </w:r>
          </w:p>
        </w:tc>
        <w:tc>
          <w:tcPr>
            <w:tcW w:w="0" w:type="dxa"/>
            <w:vAlign w:val="bottom"/>
          </w:tcPr>
          <w:p>
            <w:pPr>
              <w:spacing w:after="0"/>
              <w:rPr>
                <w:sz w:val="1"/>
                <w:szCs w:val="1"/>
                <w:color w:val="auto"/>
              </w:rPr>
            </w:pPr>
          </w:p>
        </w:tc>
      </w:tr>
      <w:tr>
        <w:trPr>
          <w:trHeight w:val="225"/>
        </w:trPr>
        <w:tc>
          <w:tcPr>
            <w:tcW w:w="5800" w:type="dxa"/>
            <w:vAlign w:val="bottom"/>
          </w:tcPr>
          <w:p>
            <w:pPr>
              <w:ind w:left="100"/>
              <w:spacing w:after="0"/>
              <w:rPr>
                <w:sz w:val="20"/>
                <w:szCs w:val="20"/>
                <w:color w:val="auto"/>
              </w:rPr>
            </w:pPr>
            <w:r>
              <w:rPr>
                <w:rFonts w:ascii="Arial" w:cs="Arial" w:eastAsia="Arial" w:hAnsi="Arial"/>
                <w:sz w:val="17"/>
                <w:szCs w:val="17"/>
                <w:color w:val="auto"/>
              </w:rPr>
              <w:t>Other income, net</w:t>
            </w:r>
          </w:p>
        </w:tc>
        <w:tc>
          <w:tcPr>
            <w:tcW w:w="1000" w:type="dxa"/>
            <w:vAlign w:val="bottom"/>
          </w:tcPr>
          <w:p>
            <w:pPr>
              <w:spacing w:after="0"/>
              <w:rPr>
                <w:sz w:val="19"/>
                <w:szCs w:val="19"/>
                <w:color w:val="auto"/>
              </w:rPr>
            </w:pPr>
          </w:p>
        </w:tc>
        <w:tc>
          <w:tcPr>
            <w:tcW w:w="620" w:type="dxa"/>
            <w:vAlign w:val="bottom"/>
          </w:tcPr>
          <w:p>
            <w:pPr>
              <w:jc w:val="right"/>
              <w:spacing w:after="0"/>
              <w:rPr>
                <w:sz w:val="20"/>
                <w:szCs w:val="20"/>
                <w:color w:val="auto"/>
              </w:rPr>
            </w:pPr>
            <w:r>
              <w:rPr>
                <w:rFonts w:ascii="Arial" w:cs="Arial" w:eastAsia="Arial" w:hAnsi="Arial"/>
                <w:sz w:val="17"/>
                <w:szCs w:val="17"/>
                <w:b w:val="1"/>
                <w:bCs w:val="1"/>
                <w:color w:val="auto"/>
              </w:rPr>
              <w:t>15.9</w:t>
            </w:r>
          </w:p>
        </w:tc>
        <w:tc>
          <w:tcPr>
            <w:tcW w:w="6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100" w:type="dxa"/>
            <w:vAlign w:val="bottom"/>
          </w:tcPr>
          <w:p>
            <w:pPr>
              <w:jc w:val="right"/>
              <w:spacing w:after="0"/>
              <w:rPr>
                <w:sz w:val="20"/>
                <w:szCs w:val="20"/>
                <w:color w:val="auto"/>
              </w:rPr>
            </w:pPr>
            <w:r>
              <w:rPr>
                <w:rFonts w:ascii="Arial" w:cs="Arial" w:eastAsia="Arial" w:hAnsi="Arial"/>
                <w:sz w:val="17"/>
                <w:szCs w:val="17"/>
                <w:color w:val="auto"/>
              </w:rPr>
              <w:t>1.8</w:t>
            </w:r>
          </w:p>
        </w:tc>
        <w:tc>
          <w:tcPr>
            <w:tcW w:w="0" w:type="dxa"/>
            <w:vAlign w:val="bottom"/>
          </w:tcPr>
          <w:p>
            <w:pPr>
              <w:spacing w:after="0"/>
              <w:rPr>
                <w:sz w:val="1"/>
                <w:szCs w:val="1"/>
                <w:color w:val="auto"/>
              </w:rPr>
            </w:pPr>
          </w:p>
        </w:tc>
      </w:tr>
      <w:tr>
        <w:trPr>
          <w:trHeight w:val="225"/>
        </w:trPr>
        <w:tc>
          <w:tcPr>
            <w:tcW w:w="5800" w:type="dxa"/>
            <w:vAlign w:val="bottom"/>
          </w:tcPr>
          <w:p>
            <w:pPr>
              <w:spacing w:after="0"/>
              <w:rPr>
                <w:sz w:val="20"/>
                <w:szCs w:val="20"/>
                <w:color w:val="auto"/>
              </w:rPr>
            </w:pPr>
            <w:r>
              <w:rPr>
                <w:rFonts w:ascii="Arial" w:cs="Arial" w:eastAsia="Arial" w:hAnsi="Arial"/>
                <w:sz w:val="17"/>
                <w:szCs w:val="17"/>
                <w:color w:val="auto"/>
              </w:rPr>
              <w:t>Consolidated income before income taxes</w:t>
            </w:r>
          </w:p>
        </w:tc>
        <w:tc>
          <w:tcPr>
            <w:tcW w:w="1000" w:type="dxa"/>
            <w:vAlign w:val="bottom"/>
          </w:tcPr>
          <w:p>
            <w:pPr>
              <w:spacing w:after="0"/>
              <w:rPr>
                <w:sz w:val="19"/>
                <w:szCs w:val="19"/>
                <w:color w:val="auto"/>
              </w:rPr>
            </w:pPr>
          </w:p>
        </w:tc>
        <w:tc>
          <w:tcPr>
            <w:tcW w:w="620" w:type="dxa"/>
            <w:vAlign w:val="bottom"/>
          </w:tcPr>
          <w:p>
            <w:pPr>
              <w:jc w:val="right"/>
              <w:spacing w:after="0"/>
              <w:rPr>
                <w:sz w:val="20"/>
                <w:szCs w:val="20"/>
                <w:color w:val="auto"/>
              </w:rPr>
            </w:pPr>
            <w:r>
              <w:rPr>
                <w:rFonts w:ascii="Arial" w:cs="Arial" w:eastAsia="Arial" w:hAnsi="Arial"/>
                <w:sz w:val="17"/>
                <w:szCs w:val="17"/>
                <w:b w:val="1"/>
                <w:bCs w:val="1"/>
                <w:color w:val="auto"/>
              </w:rPr>
              <w:t>192.1</w:t>
            </w:r>
          </w:p>
        </w:tc>
        <w:tc>
          <w:tcPr>
            <w:tcW w:w="6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100" w:type="dxa"/>
            <w:vAlign w:val="bottom"/>
          </w:tcPr>
          <w:p>
            <w:pPr>
              <w:jc w:val="right"/>
              <w:spacing w:after="0"/>
              <w:rPr>
                <w:sz w:val="20"/>
                <w:szCs w:val="20"/>
                <w:color w:val="auto"/>
              </w:rPr>
            </w:pPr>
            <w:r>
              <w:rPr>
                <w:rFonts w:ascii="Arial" w:cs="Arial" w:eastAsia="Arial" w:hAnsi="Arial"/>
                <w:sz w:val="17"/>
                <w:szCs w:val="17"/>
                <w:color w:val="auto"/>
              </w:rPr>
              <w:t>264.8</w:t>
            </w:r>
          </w:p>
        </w:tc>
        <w:tc>
          <w:tcPr>
            <w:tcW w:w="0" w:type="dxa"/>
            <w:vAlign w:val="bottom"/>
          </w:tcPr>
          <w:p>
            <w:pPr>
              <w:spacing w:after="0"/>
              <w:rPr>
                <w:sz w:val="1"/>
                <w:szCs w:val="1"/>
                <w:color w:val="auto"/>
              </w:rPr>
            </w:pPr>
          </w:p>
        </w:tc>
      </w:tr>
      <w:tr>
        <w:trPr>
          <w:trHeight w:val="225"/>
        </w:trPr>
        <w:tc>
          <w:tcPr>
            <w:tcW w:w="5800" w:type="dxa"/>
            <w:vAlign w:val="bottom"/>
          </w:tcPr>
          <w:p>
            <w:pPr>
              <w:ind w:left="100"/>
              <w:spacing w:after="0"/>
              <w:rPr>
                <w:sz w:val="20"/>
                <w:szCs w:val="20"/>
                <w:color w:val="auto"/>
              </w:rPr>
            </w:pPr>
            <w:r>
              <w:rPr>
                <w:rFonts w:ascii="Arial" w:cs="Arial" w:eastAsia="Arial" w:hAnsi="Arial"/>
                <w:sz w:val="17"/>
                <w:szCs w:val="17"/>
                <w:color w:val="auto"/>
              </w:rPr>
              <w:t>Provision for income taxes</w:t>
            </w:r>
          </w:p>
        </w:tc>
        <w:tc>
          <w:tcPr>
            <w:tcW w:w="1000" w:type="dxa"/>
            <w:vAlign w:val="bottom"/>
          </w:tcPr>
          <w:p>
            <w:pPr>
              <w:spacing w:after="0"/>
              <w:rPr>
                <w:sz w:val="19"/>
                <w:szCs w:val="19"/>
                <w:color w:val="auto"/>
              </w:rPr>
            </w:pPr>
          </w:p>
        </w:tc>
        <w:tc>
          <w:tcPr>
            <w:tcW w:w="620" w:type="dxa"/>
            <w:vAlign w:val="bottom"/>
          </w:tcPr>
          <w:p>
            <w:pPr>
              <w:jc w:val="right"/>
              <w:spacing w:after="0"/>
              <w:rPr>
                <w:sz w:val="20"/>
                <w:szCs w:val="20"/>
                <w:color w:val="auto"/>
              </w:rPr>
            </w:pPr>
            <w:r>
              <w:rPr>
                <w:rFonts w:ascii="Arial" w:cs="Arial" w:eastAsia="Arial" w:hAnsi="Arial"/>
                <w:sz w:val="17"/>
                <w:szCs w:val="17"/>
                <w:b w:val="1"/>
                <w:bCs w:val="1"/>
                <w:color w:val="auto"/>
              </w:rPr>
              <w:t>(52.7)</w:t>
            </w:r>
          </w:p>
        </w:tc>
        <w:tc>
          <w:tcPr>
            <w:tcW w:w="6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100" w:type="dxa"/>
            <w:vAlign w:val="bottom"/>
          </w:tcPr>
          <w:p>
            <w:pPr>
              <w:jc w:val="right"/>
              <w:spacing w:after="0"/>
              <w:rPr>
                <w:sz w:val="20"/>
                <w:szCs w:val="20"/>
                <w:color w:val="auto"/>
              </w:rPr>
            </w:pPr>
            <w:r>
              <w:rPr>
                <w:rFonts w:ascii="Arial" w:cs="Arial" w:eastAsia="Arial" w:hAnsi="Arial"/>
                <w:sz w:val="17"/>
                <w:szCs w:val="17"/>
                <w:color w:val="auto"/>
              </w:rPr>
              <w:t>(63.4)</w:t>
            </w:r>
          </w:p>
        </w:tc>
        <w:tc>
          <w:tcPr>
            <w:tcW w:w="0" w:type="dxa"/>
            <w:vAlign w:val="bottom"/>
          </w:tcPr>
          <w:p>
            <w:pPr>
              <w:spacing w:after="0"/>
              <w:rPr>
                <w:sz w:val="1"/>
                <w:szCs w:val="1"/>
                <w:color w:val="auto"/>
              </w:rPr>
            </w:pPr>
          </w:p>
        </w:tc>
      </w:tr>
      <w:tr>
        <w:trPr>
          <w:trHeight w:val="227"/>
        </w:trPr>
        <w:tc>
          <w:tcPr>
            <w:tcW w:w="5800" w:type="dxa"/>
            <w:vAlign w:val="bottom"/>
          </w:tcPr>
          <w:p>
            <w:pPr>
              <w:spacing w:after="0"/>
              <w:rPr>
                <w:sz w:val="20"/>
                <w:szCs w:val="20"/>
                <w:color w:val="auto"/>
              </w:rPr>
            </w:pPr>
            <w:r>
              <w:rPr>
                <w:rFonts w:ascii="Arial" w:cs="Arial" w:eastAsia="Arial" w:hAnsi="Arial"/>
                <w:sz w:val="17"/>
                <w:szCs w:val="17"/>
                <w:color w:val="auto"/>
              </w:rPr>
              <w:t>Consolidated net income</w:t>
            </w:r>
          </w:p>
        </w:tc>
        <w:tc>
          <w:tcPr>
            <w:tcW w:w="1000" w:type="dxa"/>
            <w:vAlign w:val="bottom"/>
          </w:tcPr>
          <w:p>
            <w:pPr>
              <w:spacing w:after="0"/>
              <w:rPr>
                <w:sz w:val="19"/>
                <w:szCs w:val="19"/>
                <w:color w:val="auto"/>
              </w:rPr>
            </w:pPr>
          </w:p>
        </w:tc>
        <w:tc>
          <w:tcPr>
            <w:tcW w:w="620" w:type="dxa"/>
            <w:vAlign w:val="bottom"/>
          </w:tcPr>
          <w:p>
            <w:pPr>
              <w:jc w:val="right"/>
              <w:spacing w:after="0"/>
              <w:rPr>
                <w:sz w:val="20"/>
                <w:szCs w:val="20"/>
                <w:color w:val="auto"/>
              </w:rPr>
            </w:pPr>
            <w:r>
              <w:rPr>
                <w:rFonts w:ascii="Arial" w:cs="Arial" w:eastAsia="Arial" w:hAnsi="Arial"/>
                <w:sz w:val="17"/>
                <w:szCs w:val="17"/>
                <w:b w:val="1"/>
                <w:bCs w:val="1"/>
                <w:color w:val="auto"/>
              </w:rPr>
              <w:t>139.4</w:t>
            </w:r>
          </w:p>
        </w:tc>
        <w:tc>
          <w:tcPr>
            <w:tcW w:w="6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100" w:type="dxa"/>
            <w:vAlign w:val="bottom"/>
          </w:tcPr>
          <w:p>
            <w:pPr>
              <w:jc w:val="right"/>
              <w:spacing w:after="0"/>
              <w:rPr>
                <w:sz w:val="20"/>
                <w:szCs w:val="20"/>
                <w:color w:val="auto"/>
              </w:rPr>
            </w:pPr>
            <w:r>
              <w:rPr>
                <w:rFonts w:ascii="Arial" w:cs="Arial" w:eastAsia="Arial" w:hAnsi="Arial"/>
                <w:sz w:val="17"/>
                <w:szCs w:val="17"/>
                <w:color w:val="auto"/>
              </w:rPr>
              <w:t>201.4</w:t>
            </w:r>
          </w:p>
        </w:tc>
        <w:tc>
          <w:tcPr>
            <w:tcW w:w="0" w:type="dxa"/>
            <w:vAlign w:val="bottom"/>
          </w:tcPr>
          <w:p>
            <w:pPr>
              <w:spacing w:after="0"/>
              <w:rPr>
                <w:sz w:val="1"/>
                <w:szCs w:val="1"/>
                <w:color w:val="auto"/>
              </w:rPr>
            </w:pPr>
          </w:p>
        </w:tc>
      </w:tr>
      <w:tr>
        <w:trPr>
          <w:trHeight w:val="195"/>
        </w:trPr>
        <w:tc>
          <w:tcPr>
            <w:tcW w:w="5800" w:type="dxa"/>
            <w:vAlign w:val="bottom"/>
          </w:tcPr>
          <w:p>
            <w:pPr>
              <w:ind w:left="100"/>
              <w:spacing w:after="0"/>
              <w:rPr>
                <w:sz w:val="20"/>
                <w:szCs w:val="20"/>
                <w:color w:val="auto"/>
              </w:rPr>
            </w:pPr>
            <w:r>
              <w:rPr>
                <w:rFonts w:ascii="Arial" w:cs="Arial" w:eastAsia="Arial" w:hAnsi="Arial"/>
                <w:sz w:val="17"/>
                <w:szCs w:val="17"/>
                <w:color w:val="auto"/>
                <w:w w:val="97"/>
              </w:rPr>
              <w:t>Less: Net income attributable to noncontrolling interests including redeemable</w:t>
            </w:r>
          </w:p>
        </w:tc>
        <w:tc>
          <w:tcPr>
            <w:tcW w:w="1000" w:type="dxa"/>
            <w:vAlign w:val="bottom"/>
          </w:tcPr>
          <w:p>
            <w:pPr>
              <w:spacing w:after="0"/>
              <w:rPr>
                <w:sz w:val="16"/>
                <w:szCs w:val="16"/>
                <w:color w:val="auto"/>
              </w:rPr>
            </w:pPr>
          </w:p>
        </w:tc>
        <w:tc>
          <w:tcPr>
            <w:tcW w:w="620" w:type="dxa"/>
            <w:vAlign w:val="bottom"/>
            <w:vMerge w:val="restart"/>
          </w:tcPr>
          <w:p>
            <w:pPr>
              <w:jc w:val="right"/>
              <w:spacing w:after="0"/>
              <w:rPr>
                <w:sz w:val="20"/>
                <w:szCs w:val="20"/>
                <w:color w:val="auto"/>
              </w:rPr>
            </w:pPr>
            <w:r>
              <w:rPr>
                <w:rFonts w:ascii="Arial" w:cs="Arial" w:eastAsia="Arial" w:hAnsi="Arial"/>
                <w:sz w:val="17"/>
                <w:szCs w:val="17"/>
                <w:b w:val="1"/>
                <w:bCs w:val="1"/>
                <w:color w:val="auto"/>
              </w:rPr>
              <w:t>(1.1)</w:t>
            </w:r>
          </w:p>
        </w:tc>
        <w:tc>
          <w:tcPr>
            <w:tcW w:w="6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11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23"/>
        </w:trPr>
        <w:tc>
          <w:tcPr>
            <w:tcW w:w="5800" w:type="dxa"/>
            <w:vAlign w:val="bottom"/>
          </w:tcPr>
          <w:p>
            <w:pPr>
              <w:ind w:left="100"/>
              <w:spacing w:after="0"/>
              <w:rPr>
                <w:sz w:val="20"/>
                <w:szCs w:val="20"/>
                <w:color w:val="auto"/>
              </w:rPr>
            </w:pPr>
            <w:r>
              <w:rPr>
                <w:rFonts w:ascii="Arial" w:cs="Arial" w:eastAsia="Arial" w:hAnsi="Arial"/>
                <w:sz w:val="17"/>
                <w:szCs w:val="17"/>
                <w:color w:val="auto"/>
              </w:rPr>
              <w:t>noncontrolling interests</w:t>
            </w:r>
          </w:p>
        </w:tc>
        <w:tc>
          <w:tcPr>
            <w:tcW w:w="1000" w:type="dxa"/>
            <w:vAlign w:val="bottom"/>
          </w:tcPr>
          <w:p>
            <w:pPr>
              <w:spacing w:after="0"/>
              <w:rPr>
                <w:sz w:val="19"/>
                <w:szCs w:val="19"/>
                <w:color w:val="auto"/>
              </w:rPr>
            </w:pPr>
          </w:p>
        </w:tc>
        <w:tc>
          <w:tcPr>
            <w:tcW w:w="620" w:type="dxa"/>
            <w:vAlign w:val="bottom"/>
            <w:vMerge w:val="continue"/>
          </w:tcPr>
          <w:p>
            <w:pPr>
              <w:spacing w:after="0"/>
              <w:rPr>
                <w:sz w:val="19"/>
                <w:szCs w:val="19"/>
                <w:color w:val="auto"/>
              </w:rPr>
            </w:pPr>
          </w:p>
        </w:tc>
        <w:tc>
          <w:tcPr>
            <w:tcW w:w="6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100" w:type="dxa"/>
            <w:vAlign w:val="bottom"/>
          </w:tcPr>
          <w:p>
            <w:pPr>
              <w:jc w:val="right"/>
              <w:spacing w:after="0"/>
              <w:rPr>
                <w:sz w:val="20"/>
                <w:szCs w:val="20"/>
                <w:color w:val="auto"/>
              </w:rPr>
            </w:pPr>
            <w:r>
              <w:rPr>
                <w:rFonts w:ascii="Arial" w:cs="Arial" w:eastAsia="Arial" w:hAnsi="Arial"/>
                <w:sz w:val="17"/>
                <w:szCs w:val="17"/>
                <w:color w:val="auto"/>
              </w:rPr>
              <w:t>(0.8)</w:t>
            </w:r>
          </w:p>
        </w:tc>
        <w:tc>
          <w:tcPr>
            <w:tcW w:w="0" w:type="dxa"/>
            <w:vAlign w:val="bottom"/>
          </w:tcPr>
          <w:p>
            <w:pPr>
              <w:spacing w:after="0"/>
              <w:rPr>
                <w:sz w:val="1"/>
                <w:szCs w:val="1"/>
                <w:color w:val="auto"/>
              </w:rPr>
            </w:pPr>
          </w:p>
        </w:tc>
      </w:tr>
      <w:tr>
        <w:trPr>
          <w:trHeight w:val="231"/>
        </w:trPr>
        <w:tc>
          <w:tcPr>
            <w:tcW w:w="5800" w:type="dxa"/>
            <w:vAlign w:val="bottom"/>
          </w:tcPr>
          <w:p>
            <w:pPr>
              <w:spacing w:after="0"/>
              <w:rPr>
                <w:sz w:val="20"/>
                <w:szCs w:val="20"/>
                <w:color w:val="auto"/>
              </w:rPr>
            </w:pPr>
            <w:r>
              <w:rPr>
                <w:rFonts w:ascii="Arial" w:cs="Arial" w:eastAsia="Arial" w:hAnsi="Arial"/>
                <w:sz w:val="17"/>
                <w:szCs w:val="17"/>
                <w:color w:val="auto"/>
              </w:rPr>
              <w:t>Net income attributable to Equifax</w:t>
            </w:r>
          </w:p>
        </w:tc>
        <w:tc>
          <w:tcPr>
            <w:tcW w:w="1000" w:type="dxa"/>
            <w:vAlign w:val="bottom"/>
          </w:tcPr>
          <w:p>
            <w:pPr>
              <w:jc w:val="right"/>
              <w:ind w:right="718"/>
              <w:spacing w:after="0"/>
              <w:rPr>
                <w:sz w:val="20"/>
                <w:szCs w:val="20"/>
                <w:color w:val="auto"/>
              </w:rPr>
            </w:pPr>
            <w:r>
              <w:rPr>
                <w:rFonts w:ascii="Arial" w:cs="Arial" w:eastAsia="Arial" w:hAnsi="Arial"/>
                <w:sz w:val="17"/>
                <w:szCs w:val="17"/>
                <w:b w:val="1"/>
                <w:bCs w:val="1"/>
                <w:color w:val="auto"/>
              </w:rPr>
              <w:t>$</w:t>
            </w:r>
          </w:p>
        </w:tc>
        <w:tc>
          <w:tcPr>
            <w:tcW w:w="620" w:type="dxa"/>
            <w:vAlign w:val="bottom"/>
          </w:tcPr>
          <w:p>
            <w:pPr>
              <w:jc w:val="right"/>
              <w:spacing w:after="0"/>
              <w:rPr>
                <w:sz w:val="20"/>
                <w:szCs w:val="20"/>
                <w:color w:val="auto"/>
              </w:rPr>
            </w:pPr>
            <w:r>
              <w:rPr>
                <w:rFonts w:ascii="Arial" w:cs="Arial" w:eastAsia="Arial" w:hAnsi="Arial"/>
                <w:sz w:val="17"/>
                <w:szCs w:val="17"/>
                <w:b w:val="1"/>
                <w:bCs w:val="1"/>
                <w:color w:val="auto"/>
              </w:rPr>
              <w:t>138.3</w:t>
            </w:r>
          </w:p>
        </w:tc>
        <w:tc>
          <w:tcPr>
            <w:tcW w:w="580" w:type="dxa"/>
            <w:vAlign w:val="bottom"/>
            <w:gridSpan w:val="2"/>
          </w:tcPr>
          <w:p>
            <w:pPr>
              <w:jc w:val="right"/>
              <w:ind w:right="258"/>
              <w:spacing w:after="0"/>
              <w:rPr>
                <w:sz w:val="20"/>
                <w:szCs w:val="20"/>
                <w:color w:val="auto"/>
              </w:rPr>
            </w:pPr>
            <w:r>
              <w:rPr>
                <w:rFonts w:ascii="Arial" w:cs="Arial" w:eastAsia="Arial" w:hAnsi="Arial"/>
                <w:sz w:val="17"/>
                <w:szCs w:val="17"/>
                <w:color w:val="auto"/>
              </w:rPr>
              <w:t>$</w:t>
            </w:r>
          </w:p>
        </w:tc>
        <w:tc>
          <w:tcPr>
            <w:tcW w:w="1100" w:type="dxa"/>
            <w:vAlign w:val="bottom"/>
          </w:tcPr>
          <w:p>
            <w:pPr>
              <w:jc w:val="right"/>
              <w:spacing w:after="0"/>
              <w:rPr>
                <w:sz w:val="20"/>
                <w:szCs w:val="20"/>
                <w:color w:val="auto"/>
              </w:rPr>
            </w:pPr>
            <w:r>
              <w:rPr>
                <w:rFonts w:ascii="Arial" w:cs="Arial" w:eastAsia="Arial" w:hAnsi="Arial"/>
                <w:sz w:val="17"/>
                <w:szCs w:val="17"/>
                <w:color w:val="auto"/>
              </w:rPr>
              <w:t>200.6</w:t>
            </w:r>
          </w:p>
        </w:tc>
        <w:tc>
          <w:tcPr>
            <w:tcW w:w="0" w:type="dxa"/>
            <w:vAlign w:val="bottom"/>
          </w:tcPr>
          <w:p>
            <w:pPr>
              <w:spacing w:after="0"/>
              <w:rPr>
                <w:sz w:val="1"/>
                <w:szCs w:val="1"/>
                <w:color w:val="auto"/>
              </w:rPr>
            </w:pPr>
          </w:p>
        </w:tc>
      </w:tr>
      <w:tr>
        <w:trPr>
          <w:trHeight w:val="25"/>
        </w:trPr>
        <w:tc>
          <w:tcPr>
            <w:tcW w:w="5800" w:type="dxa"/>
            <w:vAlign w:val="bottom"/>
            <w:vMerge w:val="restart"/>
          </w:tcPr>
          <w:p>
            <w:pPr>
              <w:spacing w:after="0"/>
              <w:rPr>
                <w:sz w:val="20"/>
                <w:szCs w:val="20"/>
                <w:color w:val="auto"/>
              </w:rPr>
            </w:pPr>
            <w:r>
              <w:rPr>
                <w:rFonts w:ascii="Arial" w:cs="Arial" w:eastAsia="Arial" w:hAnsi="Arial"/>
                <w:sz w:val="17"/>
                <w:szCs w:val="17"/>
                <w:color w:val="auto"/>
              </w:rPr>
              <w:t>Basic earnings per common share:</w:t>
            </w:r>
          </w:p>
        </w:tc>
        <w:tc>
          <w:tcPr>
            <w:tcW w:w="1000" w:type="dxa"/>
            <w:vAlign w:val="bottom"/>
            <w:tcBorders>
              <w:top w:val="single" w:sz="8" w:color="auto"/>
              <w:bottom w:val="single" w:sz="8" w:color="auto"/>
            </w:tcBorders>
          </w:tcPr>
          <w:p>
            <w:pPr>
              <w:spacing w:after="0"/>
              <w:rPr>
                <w:sz w:val="2"/>
                <w:szCs w:val="2"/>
                <w:color w:val="auto"/>
              </w:rPr>
            </w:pPr>
          </w:p>
        </w:tc>
        <w:tc>
          <w:tcPr>
            <w:tcW w:w="620" w:type="dxa"/>
            <w:vAlign w:val="bottom"/>
            <w:tcBorders>
              <w:top w:val="single" w:sz="8" w:color="auto"/>
              <w:bottom w:val="single" w:sz="8" w:color="auto"/>
            </w:tcBorders>
          </w:tcPr>
          <w:p>
            <w:pPr>
              <w:spacing w:after="0"/>
              <w:rPr>
                <w:sz w:val="2"/>
                <w:szCs w:val="2"/>
                <w:color w:val="auto"/>
              </w:rPr>
            </w:pPr>
          </w:p>
        </w:tc>
        <w:tc>
          <w:tcPr>
            <w:tcW w:w="60" w:type="dxa"/>
            <w:vAlign w:val="bottom"/>
          </w:tcPr>
          <w:p>
            <w:pPr>
              <w:spacing w:after="0"/>
              <w:rPr>
                <w:sz w:val="2"/>
                <w:szCs w:val="2"/>
                <w:color w:val="auto"/>
              </w:rPr>
            </w:pPr>
          </w:p>
        </w:tc>
        <w:tc>
          <w:tcPr>
            <w:tcW w:w="520" w:type="dxa"/>
            <w:vAlign w:val="bottom"/>
            <w:tcBorders>
              <w:top w:val="single" w:sz="8" w:color="auto"/>
              <w:bottom w:val="single" w:sz="8" w:color="auto"/>
            </w:tcBorders>
          </w:tcPr>
          <w:p>
            <w:pPr>
              <w:spacing w:after="0"/>
              <w:rPr>
                <w:sz w:val="2"/>
                <w:szCs w:val="2"/>
                <w:color w:val="auto"/>
              </w:rPr>
            </w:pPr>
          </w:p>
        </w:tc>
        <w:tc>
          <w:tcPr>
            <w:tcW w:w="1100" w:type="dxa"/>
            <w:vAlign w:val="bottom"/>
            <w:tcBorders>
              <w:top w:val="single" w:sz="8" w:color="auto"/>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12"/>
        </w:trPr>
        <w:tc>
          <w:tcPr>
            <w:tcW w:w="5800" w:type="dxa"/>
            <w:vAlign w:val="bottom"/>
            <w:vMerge w:val="continue"/>
          </w:tcPr>
          <w:p>
            <w:pPr>
              <w:spacing w:after="0"/>
              <w:rPr>
                <w:sz w:val="18"/>
                <w:szCs w:val="18"/>
                <w:color w:val="auto"/>
              </w:rPr>
            </w:pPr>
          </w:p>
        </w:tc>
        <w:tc>
          <w:tcPr>
            <w:tcW w:w="1000" w:type="dxa"/>
            <w:vAlign w:val="bottom"/>
            <w:vMerge w:val="restart"/>
          </w:tcPr>
          <w:p>
            <w:pPr>
              <w:jc w:val="right"/>
              <w:ind w:right="758"/>
              <w:spacing w:after="0"/>
              <w:rPr>
                <w:sz w:val="20"/>
                <w:szCs w:val="20"/>
                <w:color w:val="auto"/>
              </w:rPr>
            </w:pPr>
            <w:r>
              <w:rPr>
                <w:rFonts w:ascii="Arial" w:cs="Arial" w:eastAsia="Arial" w:hAnsi="Arial"/>
                <w:sz w:val="17"/>
                <w:szCs w:val="17"/>
                <w:b w:val="1"/>
                <w:bCs w:val="1"/>
                <w:color w:val="auto"/>
              </w:rPr>
              <w:t>$</w:t>
            </w:r>
          </w:p>
        </w:tc>
        <w:tc>
          <w:tcPr>
            <w:tcW w:w="620" w:type="dxa"/>
            <w:vAlign w:val="bottom"/>
            <w:vMerge w:val="restart"/>
          </w:tcPr>
          <w:p>
            <w:pPr>
              <w:jc w:val="right"/>
              <w:spacing w:after="0"/>
              <w:rPr>
                <w:sz w:val="20"/>
                <w:szCs w:val="20"/>
                <w:color w:val="auto"/>
              </w:rPr>
            </w:pPr>
            <w:r>
              <w:rPr>
                <w:rFonts w:ascii="Arial" w:cs="Arial" w:eastAsia="Arial" w:hAnsi="Arial"/>
                <w:sz w:val="17"/>
                <w:szCs w:val="17"/>
                <w:b w:val="1"/>
                <w:bCs w:val="1"/>
                <w:color w:val="auto"/>
              </w:rPr>
              <w:t>1.13</w:t>
            </w:r>
          </w:p>
        </w:tc>
        <w:tc>
          <w:tcPr>
            <w:tcW w:w="580" w:type="dxa"/>
            <w:vAlign w:val="bottom"/>
            <w:gridSpan w:val="2"/>
            <w:vMerge w:val="restart"/>
          </w:tcPr>
          <w:p>
            <w:pPr>
              <w:jc w:val="right"/>
              <w:ind w:right="298"/>
              <w:spacing w:after="0"/>
              <w:rPr>
                <w:sz w:val="20"/>
                <w:szCs w:val="20"/>
                <w:color w:val="auto"/>
              </w:rPr>
            </w:pPr>
            <w:r>
              <w:rPr>
                <w:rFonts w:ascii="Arial" w:cs="Arial" w:eastAsia="Arial" w:hAnsi="Arial"/>
                <w:sz w:val="17"/>
                <w:szCs w:val="17"/>
                <w:color w:val="auto"/>
              </w:rPr>
              <w:t>$</w:t>
            </w:r>
          </w:p>
        </w:tc>
        <w:tc>
          <w:tcPr>
            <w:tcW w:w="1100" w:type="dxa"/>
            <w:vAlign w:val="bottom"/>
            <w:vMerge w:val="restart"/>
          </w:tcPr>
          <w:p>
            <w:pPr>
              <w:jc w:val="right"/>
              <w:spacing w:after="0"/>
              <w:rPr>
                <w:sz w:val="20"/>
                <w:szCs w:val="20"/>
                <w:color w:val="auto"/>
              </w:rPr>
            </w:pPr>
            <w:r>
              <w:rPr>
                <w:rFonts w:ascii="Arial" w:cs="Arial" w:eastAsia="Arial" w:hAnsi="Arial"/>
                <w:sz w:val="17"/>
                <w:szCs w:val="17"/>
                <w:color w:val="auto"/>
              </w:rPr>
              <w:t>1.64</w:t>
            </w:r>
          </w:p>
        </w:tc>
        <w:tc>
          <w:tcPr>
            <w:tcW w:w="0" w:type="dxa"/>
            <w:vAlign w:val="bottom"/>
          </w:tcPr>
          <w:p>
            <w:pPr>
              <w:spacing w:after="0"/>
              <w:rPr>
                <w:sz w:val="1"/>
                <w:szCs w:val="1"/>
                <w:color w:val="auto"/>
              </w:rPr>
            </w:pPr>
          </w:p>
        </w:tc>
      </w:tr>
      <w:tr>
        <w:trPr>
          <w:trHeight w:val="233"/>
        </w:trPr>
        <w:tc>
          <w:tcPr>
            <w:tcW w:w="5800" w:type="dxa"/>
            <w:vAlign w:val="bottom"/>
          </w:tcPr>
          <w:p>
            <w:pPr>
              <w:ind w:left="100"/>
              <w:spacing w:after="0"/>
              <w:rPr>
                <w:sz w:val="20"/>
                <w:szCs w:val="20"/>
                <w:color w:val="auto"/>
              </w:rPr>
            </w:pPr>
            <w:r>
              <w:rPr>
                <w:rFonts w:ascii="Arial" w:cs="Arial" w:eastAsia="Arial" w:hAnsi="Arial"/>
                <w:sz w:val="17"/>
                <w:szCs w:val="17"/>
                <w:color w:val="auto"/>
              </w:rPr>
              <w:t>Net income attributable to Equifax</w:t>
            </w:r>
          </w:p>
        </w:tc>
        <w:tc>
          <w:tcPr>
            <w:tcW w:w="1000" w:type="dxa"/>
            <w:vAlign w:val="bottom"/>
            <w:vMerge w:val="continue"/>
          </w:tcPr>
          <w:p>
            <w:pPr>
              <w:spacing w:after="0"/>
              <w:rPr>
                <w:sz w:val="20"/>
                <w:szCs w:val="20"/>
                <w:color w:val="auto"/>
              </w:rPr>
            </w:pPr>
          </w:p>
        </w:tc>
        <w:tc>
          <w:tcPr>
            <w:tcW w:w="620" w:type="dxa"/>
            <w:vAlign w:val="bottom"/>
            <w:vMerge w:val="continue"/>
          </w:tcPr>
          <w:p>
            <w:pPr>
              <w:spacing w:after="0"/>
              <w:rPr>
                <w:sz w:val="20"/>
                <w:szCs w:val="20"/>
                <w:color w:val="auto"/>
              </w:rPr>
            </w:pPr>
          </w:p>
        </w:tc>
        <w:tc>
          <w:tcPr>
            <w:tcW w:w="580" w:type="dxa"/>
            <w:vAlign w:val="bottom"/>
            <w:gridSpan w:val="2"/>
            <w:vMerge w:val="continue"/>
          </w:tcPr>
          <w:p>
            <w:pPr>
              <w:spacing w:after="0"/>
              <w:rPr>
                <w:sz w:val="20"/>
                <w:szCs w:val="20"/>
                <w:color w:val="auto"/>
              </w:rPr>
            </w:pPr>
          </w:p>
        </w:tc>
        <w:tc>
          <w:tcPr>
            <w:tcW w:w="110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5"/>
        </w:trPr>
        <w:tc>
          <w:tcPr>
            <w:tcW w:w="5800" w:type="dxa"/>
            <w:vAlign w:val="bottom"/>
          </w:tcPr>
          <w:p>
            <w:pPr>
              <w:spacing w:after="0"/>
              <w:rPr>
                <w:sz w:val="2"/>
                <w:szCs w:val="2"/>
                <w:color w:val="auto"/>
              </w:rPr>
            </w:pPr>
          </w:p>
        </w:tc>
        <w:tc>
          <w:tcPr>
            <w:tcW w:w="1000" w:type="dxa"/>
            <w:vAlign w:val="bottom"/>
            <w:tcBorders>
              <w:top w:val="single" w:sz="8" w:color="auto"/>
              <w:bottom w:val="single" w:sz="8" w:color="auto"/>
            </w:tcBorders>
          </w:tcPr>
          <w:p>
            <w:pPr>
              <w:spacing w:after="0"/>
              <w:rPr>
                <w:sz w:val="2"/>
                <w:szCs w:val="2"/>
                <w:color w:val="auto"/>
              </w:rPr>
            </w:pPr>
          </w:p>
        </w:tc>
        <w:tc>
          <w:tcPr>
            <w:tcW w:w="620" w:type="dxa"/>
            <w:vAlign w:val="bottom"/>
            <w:tcBorders>
              <w:top w:val="single" w:sz="8" w:color="auto"/>
              <w:bottom w:val="single" w:sz="8" w:color="auto"/>
            </w:tcBorders>
          </w:tcPr>
          <w:p>
            <w:pPr>
              <w:spacing w:after="0"/>
              <w:rPr>
                <w:sz w:val="2"/>
                <w:szCs w:val="2"/>
                <w:color w:val="auto"/>
              </w:rPr>
            </w:pPr>
          </w:p>
        </w:tc>
        <w:tc>
          <w:tcPr>
            <w:tcW w:w="60" w:type="dxa"/>
            <w:vAlign w:val="bottom"/>
          </w:tcPr>
          <w:p>
            <w:pPr>
              <w:spacing w:after="0"/>
              <w:rPr>
                <w:sz w:val="2"/>
                <w:szCs w:val="2"/>
                <w:color w:val="auto"/>
              </w:rPr>
            </w:pPr>
          </w:p>
        </w:tc>
        <w:tc>
          <w:tcPr>
            <w:tcW w:w="520" w:type="dxa"/>
            <w:vAlign w:val="bottom"/>
            <w:tcBorders>
              <w:top w:val="single" w:sz="8" w:color="auto"/>
              <w:bottom w:val="single" w:sz="8" w:color="auto"/>
            </w:tcBorders>
          </w:tcPr>
          <w:p>
            <w:pPr>
              <w:spacing w:after="0"/>
              <w:rPr>
                <w:sz w:val="2"/>
                <w:szCs w:val="2"/>
                <w:color w:val="auto"/>
              </w:rPr>
            </w:pPr>
          </w:p>
        </w:tc>
        <w:tc>
          <w:tcPr>
            <w:tcW w:w="1100" w:type="dxa"/>
            <w:vAlign w:val="bottom"/>
            <w:tcBorders>
              <w:top w:val="single" w:sz="8" w:color="auto"/>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20"/>
        </w:trPr>
        <w:tc>
          <w:tcPr>
            <w:tcW w:w="5800" w:type="dxa"/>
            <w:vAlign w:val="bottom"/>
          </w:tcPr>
          <w:p>
            <w:pPr>
              <w:spacing w:after="0"/>
              <w:rPr>
                <w:sz w:val="20"/>
                <w:szCs w:val="20"/>
                <w:color w:val="auto"/>
              </w:rPr>
            </w:pPr>
            <w:r>
              <w:rPr>
                <w:rFonts w:ascii="Arial" w:cs="Arial" w:eastAsia="Arial" w:hAnsi="Arial"/>
                <w:sz w:val="17"/>
                <w:szCs w:val="17"/>
                <w:color w:val="auto"/>
              </w:rPr>
              <w:t>Weighted-average shares used in computing basic earnings per share</w:t>
            </w:r>
          </w:p>
        </w:tc>
        <w:tc>
          <w:tcPr>
            <w:tcW w:w="1000" w:type="dxa"/>
            <w:vAlign w:val="bottom"/>
            <w:tcBorders>
              <w:bottom w:val="single" w:sz="8" w:color="auto"/>
            </w:tcBorders>
          </w:tcPr>
          <w:p>
            <w:pPr>
              <w:spacing w:after="0"/>
              <w:rPr>
                <w:sz w:val="19"/>
                <w:szCs w:val="19"/>
                <w:color w:val="auto"/>
              </w:rPr>
            </w:pPr>
          </w:p>
        </w:tc>
        <w:tc>
          <w:tcPr>
            <w:tcW w:w="620" w:type="dxa"/>
            <w:vAlign w:val="bottom"/>
            <w:tcBorders>
              <w:bottom w:val="single" w:sz="8" w:color="auto"/>
            </w:tcBorders>
          </w:tcPr>
          <w:p>
            <w:pPr>
              <w:jc w:val="right"/>
              <w:spacing w:after="0"/>
              <w:rPr>
                <w:sz w:val="20"/>
                <w:szCs w:val="20"/>
                <w:color w:val="auto"/>
              </w:rPr>
            </w:pPr>
            <w:r>
              <w:rPr>
                <w:rFonts w:ascii="Arial" w:cs="Arial" w:eastAsia="Arial" w:hAnsi="Arial"/>
                <w:sz w:val="17"/>
                <w:szCs w:val="17"/>
                <w:b w:val="1"/>
                <w:bCs w:val="1"/>
                <w:color w:val="auto"/>
              </w:rPr>
              <w:t>122.7</w:t>
            </w:r>
          </w:p>
        </w:tc>
        <w:tc>
          <w:tcPr>
            <w:tcW w:w="60" w:type="dxa"/>
            <w:vAlign w:val="bottom"/>
          </w:tcPr>
          <w:p>
            <w:pPr>
              <w:spacing w:after="0"/>
              <w:rPr>
                <w:sz w:val="19"/>
                <w:szCs w:val="19"/>
                <w:color w:val="auto"/>
              </w:rPr>
            </w:pPr>
          </w:p>
        </w:tc>
        <w:tc>
          <w:tcPr>
            <w:tcW w:w="520" w:type="dxa"/>
            <w:vAlign w:val="bottom"/>
            <w:tcBorders>
              <w:bottom w:val="single" w:sz="8" w:color="auto"/>
            </w:tcBorders>
          </w:tcPr>
          <w:p>
            <w:pPr>
              <w:spacing w:after="0"/>
              <w:rPr>
                <w:sz w:val="19"/>
                <w:szCs w:val="19"/>
                <w:color w:val="auto"/>
              </w:rPr>
            </w:pPr>
          </w:p>
        </w:tc>
        <w:tc>
          <w:tcPr>
            <w:tcW w:w="1100" w:type="dxa"/>
            <w:vAlign w:val="bottom"/>
            <w:tcBorders>
              <w:bottom w:val="single" w:sz="8" w:color="auto"/>
            </w:tcBorders>
          </w:tcPr>
          <w:p>
            <w:pPr>
              <w:jc w:val="right"/>
              <w:spacing w:after="0"/>
              <w:rPr>
                <w:sz w:val="20"/>
                <w:szCs w:val="20"/>
                <w:color w:val="auto"/>
              </w:rPr>
            </w:pPr>
            <w:r>
              <w:rPr>
                <w:rFonts w:ascii="Arial" w:cs="Arial" w:eastAsia="Arial" w:hAnsi="Arial"/>
                <w:sz w:val="17"/>
                <w:szCs w:val="17"/>
                <w:color w:val="auto"/>
              </w:rPr>
              <w:t>122.4</w:t>
            </w:r>
          </w:p>
        </w:tc>
        <w:tc>
          <w:tcPr>
            <w:tcW w:w="0" w:type="dxa"/>
            <w:vAlign w:val="bottom"/>
          </w:tcPr>
          <w:p>
            <w:pPr>
              <w:spacing w:after="0"/>
              <w:rPr>
                <w:sz w:val="1"/>
                <w:szCs w:val="1"/>
                <w:color w:val="auto"/>
              </w:rPr>
            </w:pPr>
          </w:p>
        </w:tc>
      </w:tr>
      <w:tr>
        <w:trPr>
          <w:trHeight w:val="25"/>
        </w:trPr>
        <w:tc>
          <w:tcPr>
            <w:tcW w:w="5800" w:type="dxa"/>
            <w:vAlign w:val="bottom"/>
            <w:vMerge w:val="restart"/>
          </w:tcPr>
          <w:p>
            <w:pPr>
              <w:spacing w:after="0"/>
              <w:rPr>
                <w:sz w:val="20"/>
                <w:szCs w:val="20"/>
                <w:color w:val="auto"/>
              </w:rPr>
            </w:pPr>
            <w:r>
              <w:rPr>
                <w:rFonts w:ascii="Arial" w:cs="Arial" w:eastAsia="Arial" w:hAnsi="Arial"/>
                <w:sz w:val="17"/>
                <w:szCs w:val="17"/>
                <w:color w:val="auto"/>
              </w:rPr>
              <w:t>Diluted earnings per common share:</w:t>
            </w:r>
          </w:p>
        </w:tc>
        <w:tc>
          <w:tcPr>
            <w:tcW w:w="1000" w:type="dxa"/>
            <w:vAlign w:val="bottom"/>
            <w:tcBorders>
              <w:bottom w:val="single" w:sz="8" w:color="auto"/>
            </w:tcBorders>
          </w:tcPr>
          <w:p>
            <w:pPr>
              <w:spacing w:after="0"/>
              <w:rPr>
                <w:sz w:val="2"/>
                <w:szCs w:val="2"/>
                <w:color w:val="auto"/>
              </w:rPr>
            </w:pPr>
          </w:p>
        </w:tc>
        <w:tc>
          <w:tcPr>
            <w:tcW w:w="620" w:type="dxa"/>
            <w:vAlign w:val="bottom"/>
            <w:tcBorders>
              <w:bottom w:val="single" w:sz="8" w:color="auto"/>
            </w:tcBorders>
          </w:tcPr>
          <w:p>
            <w:pPr>
              <w:spacing w:after="0"/>
              <w:rPr>
                <w:sz w:val="2"/>
                <w:szCs w:val="2"/>
                <w:color w:val="auto"/>
              </w:rPr>
            </w:pPr>
          </w:p>
        </w:tc>
        <w:tc>
          <w:tcPr>
            <w:tcW w:w="60" w:type="dxa"/>
            <w:vAlign w:val="bottom"/>
          </w:tcPr>
          <w:p>
            <w:pPr>
              <w:spacing w:after="0"/>
              <w:rPr>
                <w:sz w:val="2"/>
                <w:szCs w:val="2"/>
                <w:color w:val="auto"/>
              </w:rPr>
            </w:pPr>
          </w:p>
        </w:tc>
        <w:tc>
          <w:tcPr>
            <w:tcW w:w="520" w:type="dxa"/>
            <w:vAlign w:val="bottom"/>
            <w:tcBorders>
              <w:bottom w:val="single" w:sz="8" w:color="auto"/>
            </w:tcBorders>
          </w:tcPr>
          <w:p>
            <w:pPr>
              <w:spacing w:after="0"/>
              <w:rPr>
                <w:sz w:val="2"/>
                <w:szCs w:val="2"/>
                <w:color w:val="auto"/>
              </w:rPr>
            </w:pPr>
          </w:p>
        </w:tc>
        <w:tc>
          <w:tcPr>
            <w:tcW w:w="110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12"/>
        </w:trPr>
        <w:tc>
          <w:tcPr>
            <w:tcW w:w="5800" w:type="dxa"/>
            <w:vAlign w:val="bottom"/>
            <w:vMerge w:val="continue"/>
          </w:tcPr>
          <w:p>
            <w:pPr>
              <w:spacing w:after="0"/>
              <w:rPr>
                <w:sz w:val="18"/>
                <w:szCs w:val="18"/>
                <w:color w:val="auto"/>
              </w:rPr>
            </w:pPr>
          </w:p>
        </w:tc>
        <w:tc>
          <w:tcPr>
            <w:tcW w:w="1000" w:type="dxa"/>
            <w:vAlign w:val="bottom"/>
            <w:vMerge w:val="restart"/>
          </w:tcPr>
          <w:p>
            <w:pPr>
              <w:jc w:val="right"/>
              <w:ind w:right="758"/>
              <w:spacing w:after="0"/>
              <w:rPr>
                <w:sz w:val="20"/>
                <w:szCs w:val="20"/>
                <w:color w:val="auto"/>
              </w:rPr>
            </w:pPr>
            <w:r>
              <w:rPr>
                <w:rFonts w:ascii="Arial" w:cs="Arial" w:eastAsia="Arial" w:hAnsi="Arial"/>
                <w:sz w:val="17"/>
                <w:szCs w:val="17"/>
                <w:b w:val="1"/>
                <w:bCs w:val="1"/>
                <w:color w:val="auto"/>
              </w:rPr>
              <w:t>$</w:t>
            </w:r>
          </w:p>
        </w:tc>
        <w:tc>
          <w:tcPr>
            <w:tcW w:w="620" w:type="dxa"/>
            <w:vAlign w:val="bottom"/>
            <w:vMerge w:val="restart"/>
          </w:tcPr>
          <w:p>
            <w:pPr>
              <w:jc w:val="right"/>
              <w:spacing w:after="0"/>
              <w:rPr>
                <w:sz w:val="20"/>
                <w:szCs w:val="20"/>
                <w:color w:val="auto"/>
              </w:rPr>
            </w:pPr>
            <w:r>
              <w:rPr>
                <w:rFonts w:ascii="Arial" w:cs="Arial" w:eastAsia="Arial" w:hAnsi="Arial"/>
                <w:sz w:val="17"/>
                <w:szCs w:val="17"/>
                <w:b w:val="1"/>
                <w:bCs w:val="1"/>
                <w:color w:val="auto"/>
              </w:rPr>
              <w:t>1.12</w:t>
            </w:r>
          </w:p>
        </w:tc>
        <w:tc>
          <w:tcPr>
            <w:tcW w:w="580" w:type="dxa"/>
            <w:vAlign w:val="bottom"/>
            <w:gridSpan w:val="2"/>
            <w:vMerge w:val="restart"/>
          </w:tcPr>
          <w:p>
            <w:pPr>
              <w:jc w:val="right"/>
              <w:ind w:right="298"/>
              <w:spacing w:after="0"/>
              <w:rPr>
                <w:sz w:val="20"/>
                <w:szCs w:val="20"/>
                <w:color w:val="auto"/>
              </w:rPr>
            </w:pPr>
            <w:r>
              <w:rPr>
                <w:rFonts w:ascii="Arial" w:cs="Arial" w:eastAsia="Arial" w:hAnsi="Arial"/>
                <w:sz w:val="17"/>
                <w:szCs w:val="17"/>
                <w:color w:val="auto"/>
              </w:rPr>
              <w:t>$</w:t>
            </w:r>
          </w:p>
        </w:tc>
        <w:tc>
          <w:tcPr>
            <w:tcW w:w="1100" w:type="dxa"/>
            <w:vAlign w:val="bottom"/>
            <w:vMerge w:val="restart"/>
          </w:tcPr>
          <w:p>
            <w:pPr>
              <w:jc w:val="right"/>
              <w:spacing w:after="0"/>
              <w:rPr>
                <w:sz w:val="20"/>
                <w:szCs w:val="20"/>
                <w:color w:val="auto"/>
              </w:rPr>
            </w:pPr>
            <w:r>
              <w:rPr>
                <w:rFonts w:ascii="Arial" w:cs="Arial" w:eastAsia="Arial" w:hAnsi="Arial"/>
                <w:sz w:val="17"/>
                <w:szCs w:val="17"/>
                <w:color w:val="auto"/>
              </w:rPr>
              <w:t>1.63</w:t>
            </w:r>
          </w:p>
        </w:tc>
        <w:tc>
          <w:tcPr>
            <w:tcW w:w="0" w:type="dxa"/>
            <w:vAlign w:val="bottom"/>
          </w:tcPr>
          <w:p>
            <w:pPr>
              <w:spacing w:after="0"/>
              <w:rPr>
                <w:sz w:val="1"/>
                <w:szCs w:val="1"/>
                <w:color w:val="auto"/>
              </w:rPr>
            </w:pPr>
          </w:p>
        </w:tc>
      </w:tr>
      <w:tr>
        <w:trPr>
          <w:trHeight w:val="233"/>
        </w:trPr>
        <w:tc>
          <w:tcPr>
            <w:tcW w:w="5800" w:type="dxa"/>
            <w:vAlign w:val="bottom"/>
          </w:tcPr>
          <w:p>
            <w:pPr>
              <w:ind w:left="100"/>
              <w:spacing w:after="0"/>
              <w:rPr>
                <w:sz w:val="20"/>
                <w:szCs w:val="20"/>
                <w:color w:val="auto"/>
              </w:rPr>
            </w:pPr>
            <w:r>
              <w:rPr>
                <w:rFonts w:ascii="Arial" w:cs="Arial" w:eastAsia="Arial" w:hAnsi="Arial"/>
                <w:sz w:val="17"/>
                <w:szCs w:val="17"/>
                <w:color w:val="auto"/>
              </w:rPr>
              <w:t>Net income attributable to Equifax</w:t>
            </w:r>
          </w:p>
        </w:tc>
        <w:tc>
          <w:tcPr>
            <w:tcW w:w="1000" w:type="dxa"/>
            <w:vAlign w:val="bottom"/>
            <w:vMerge w:val="continue"/>
          </w:tcPr>
          <w:p>
            <w:pPr>
              <w:spacing w:after="0"/>
              <w:rPr>
                <w:sz w:val="20"/>
                <w:szCs w:val="20"/>
                <w:color w:val="auto"/>
              </w:rPr>
            </w:pPr>
          </w:p>
        </w:tc>
        <w:tc>
          <w:tcPr>
            <w:tcW w:w="620" w:type="dxa"/>
            <w:vAlign w:val="bottom"/>
            <w:vMerge w:val="continue"/>
          </w:tcPr>
          <w:p>
            <w:pPr>
              <w:spacing w:after="0"/>
              <w:rPr>
                <w:sz w:val="20"/>
                <w:szCs w:val="20"/>
                <w:color w:val="auto"/>
              </w:rPr>
            </w:pPr>
          </w:p>
        </w:tc>
        <w:tc>
          <w:tcPr>
            <w:tcW w:w="580" w:type="dxa"/>
            <w:vAlign w:val="bottom"/>
            <w:gridSpan w:val="2"/>
            <w:vMerge w:val="continue"/>
          </w:tcPr>
          <w:p>
            <w:pPr>
              <w:spacing w:after="0"/>
              <w:rPr>
                <w:sz w:val="20"/>
                <w:szCs w:val="20"/>
                <w:color w:val="auto"/>
              </w:rPr>
            </w:pPr>
          </w:p>
        </w:tc>
        <w:tc>
          <w:tcPr>
            <w:tcW w:w="110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5"/>
        </w:trPr>
        <w:tc>
          <w:tcPr>
            <w:tcW w:w="5800" w:type="dxa"/>
            <w:vAlign w:val="bottom"/>
          </w:tcPr>
          <w:p>
            <w:pPr>
              <w:spacing w:after="0"/>
              <w:rPr>
                <w:sz w:val="2"/>
                <w:szCs w:val="2"/>
                <w:color w:val="auto"/>
              </w:rPr>
            </w:pPr>
          </w:p>
        </w:tc>
        <w:tc>
          <w:tcPr>
            <w:tcW w:w="1000" w:type="dxa"/>
            <w:vAlign w:val="bottom"/>
            <w:tcBorders>
              <w:top w:val="single" w:sz="8" w:color="auto"/>
              <w:bottom w:val="single" w:sz="8" w:color="auto"/>
            </w:tcBorders>
          </w:tcPr>
          <w:p>
            <w:pPr>
              <w:spacing w:after="0"/>
              <w:rPr>
                <w:sz w:val="2"/>
                <w:szCs w:val="2"/>
                <w:color w:val="auto"/>
              </w:rPr>
            </w:pPr>
          </w:p>
        </w:tc>
        <w:tc>
          <w:tcPr>
            <w:tcW w:w="620" w:type="dxa"/>
            <w:vAlign w:val="bottom"/>
            <w:tcBorders>
              <w:top w:val="single" w:sz="8" w:color="auto"/>
              <w:bottom w:val="single" w:sz="8" w:color="auto"/>
            </w:tcBorders>
          </w:tcPr>
          <w:p>
            <w:pPr>
              <w:spacing w:after="0"/>
              <w:rPr>
                <w:sz w:val="2"/>
                <w:szCs w:val="2"/>
                <w:color w:val="auto"/>
              </w:rPr>
            </w:pPr>
          </w:p>
        </w:tc>
        <w:tc>
          <w:tcPr>
            <w:tcW w:w="60" w:type="dxa"/>
            <w:vAlign w:val="bottom"/>
          </w:tcPr>
          <w:p>
            <w:pPr>
              <w:spacing w:after="0"/>
              <w:rPr>
                <w:sz w:val="2"/>
                <w:szCs w:val="2"/>
                <w:color w:val="auto"/>
              </w:rPr>
            </w:pPr>
          </w:p>
        </w:tc>
        <w:tc>
          <w:tcPr>
            <w:tcW w:w="520" w:type="dxa"/>
            <w:vAlign w:val="bottom"/>
            <w:tcBorders>
              <w:top w:val="single" w:sz="8" w:color="auto"/>
              <w:bottom w:val="single" w:sz="8" w:color="auto"/>
            </w:tcBorders>
          </w:tcPr>
          <w:p>
            <w:pPr>
              <w:spacing w:after="0"/>
              <w:rPr>
                <w:sz w:val="2"/>
                <w:szCs w:val="2"/>
                <w:color w:val="auto"/>
              </w:rPr>
            </w:pPr>
          </w:p>
        </w:tc>
        <w:tc>
          <w:tcPr>
            <w:tcW w:w="1100" w:type="dxa"/>
            <w:vAlign w:val="bottom"/>
            <w:tcBorders>
              <w:top w:val="single" w:sz="8" w:color="auto"/>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20"/>
        </w:trPr>
        <w:tc>
          <w:tcPr>
            <w:tcW w:w="5800" w:type="dxa"/>
            <w:vAlign w:val="bottom"/>
          </w:tcPr>
          <w:p>
            <w:pPr>
              <w:spacing w:after="0"/>
              <w:rPr>
                <w:sz w:val="20"/>
                <w:szCs w:val="20"/>
                <w:color w:val="auto"/>
              </w:rPr>
            </w:pPr>
            <w:r>
              <w:rPr>
                <w:rFonts w:ascii="Arial" w:cs="Arial" w:eastAsia="Arial" w:hAnsi="Arial"/>
                <w:sz w:val="17"/>
                <w:szCs w:val="17"/>
                <w:color w:val="auto"/>
              </w:rPr>
              <w:t>Weighted-average shares used in computing diluted earnings per share</w:t>
            </w:r>
          </w:p>
        </w:tc>
        <w:tc>
          <w:tcPr>
            <w:tcW w:w="1000" w:type="dxa"/>
            <w:vAlign w:val="bottom"/>
            <w:tcBorders>
              <w:bottom w:val="single" w:sz="8" w:color="auto"/>
            </w:tcBorders>
          </w:tcPr>
          <w:p>
            <w:pPr>
              <w:spacing w:after="0"/>
              <w:rPr>
                <w:sz w:val="19"/>
                <w:szCs w:val="19"/>
                <w:color w:val="auto"/>
              </w:rPr>
            </w:pPr>
          </w:p>
        </w:tc>
        <w:tc>
          <w:tcPr>
            <w:tcW w:w="620" w:type="dxa"/>
            <w:vAlign w:val="bottom"/>
            <w:tcBorders>
              <w:bottom w:val="single" w:sz="8" w:color="auto"/>
            </w:tcBorders>
          </w:tcPr>
          <w:p>
            <w:pPr>
              <w:jc w:val="right"/>
              <w:spacing w:after="0"/>
              <w:rPr>
                <w:sz w:val="20"/>
                <w:szCs w:val="20"/>
                <w:color w:val="auto"/>
              </w:rPr>
            </w:pPr>
            <w:r>
              <w:rPr>
                <w:rFonts w:ascii="Arial" w:cs="Arial" w:eastAsia="Arial" w:hAnsi="Arial"/>
                <w:sz w:val="17"/>
                <w:szCs w:val="17"/>
                <w:b w:val="1"/>
                <w:bCs w:val="1"/>
                <w:color w:val="auto"/>
              </w:rPr>
              <w:t>123.8</w:t>
            </w:r>
          </w:p>
        </w:tc>
        <w:tc>
          <w:tcPr>
            <w:tcW w:w="60" w:type="dxa"/>
            <w:vAlign w:val="bottom"/>
          </w:tcPr>
          <w:p>
            <w:pPr>
              <w:spacing w:after="0"/>
              <w:rPr>
                <w:sz w:val="19"/>
                <w:szCs w:val="19"/>
                <w:color w:val="auto"/>
              </w:rPr>
            </w:pPr>
          </w:p>
        </w:tc>
        <w:tc>
          <w:tcPr>
            <w:tcW w:w="520" w:type="dxa"/>
            <w:vAlign w:val="bottom"/>
            <w:tcBorders>
              <w:bottom w:val="single" w:sz="8" w:color="auto"/>
            </w:tcBorders>
          </w:tcPr>
          <w:p>
            <w:pPr>
              <w:spacing w:after="0"/>
              <w:rPr>
                <w:sz w:val="19"/>
                <w:szCs w:val="19"/>
                <w:color w:val="auto"/>
              </w:rPr>
            </w:pPr>
          </w:p>
        </w:tc>
        <w:tc>
          <w:tcPr>
            <w:tcW w:w="1100" w:type="dxa"/>
            <w:vAlign w:val="bottom"/>
            <w:tcBorders>
              <w:bottom w:val="single" w:sz="8" w:color="auto"/>
            </w:tcBorders>
          </w:tcPr>
          <w:p>
            <w:pPr>
              <w:jc w:val="right"/>
              <w:spacing w:after="0"/>
              <w:rPr>
                <w:sz w:val="20"/>
                <w:szCs w:val="20"/>
                <w:color w:val="auto"/>
              </w:rPr>
            </w:pPr>
            <w:r>
              <w:rPr>
                <w:rFonts w:ascii="Arial" w:cs="Arial" w:eastAsia="Arial" w:hAnsi="Arial"/>
                <w:sz w:val="17"/>
                <w:szCs w:val="17"/>
                <w:color w:val="auto"/>
              </w:rPr>
              <w:t>123.3</w:t>
            </w:r>
          </w:p>
        </w:tc>
        <w:tc>
          <w:tcPr>
            <w:tcW w:w="0" w:type="dxa"/>
            <w:vAlign w:val="bottom"/>
          </w:tcPr>
          <w:p>
            <w:pPr>
              <w:spacing w:after="0"/>
              <w:rPr>
                <w:sz w:val="1"/>
                <w:szCs w:val="1"/>
                <w:color w:val="auto"/>
              </w:rPr>
            </w:pPr>
          </w:p>
        </w:tc>
      </w:tr>
      <w:tr>
        <w:trPr>
          <w:trHeight w:val="25"/>
        </w:trPr>
        <w:tc>
          <w:tcPr>
            <w:tcW w:w="5800" w:type="dxa"/>
            <w:vAlign w:val="bottom"/>
          </w:tcPr>
          <w:p>
            <w:pPr>
              <w:spacing w:after="0"/>
              <w:rPr>
                <w:sz w:val="2"/>
                <w:szCs w:val="2"/>
                <w:color w:val="auto"/>
              </w:rPr>
            </w:pPr>
          </w:p>
        </w:tc>
        <w:tc>
          <w:tcPr>
            <w:tcW w:w="1000" w:type="dxa"/>
            <w:vAlign w:val="bottom"/>
          </w:tcPr>
          <w:p>
            <w:pPr>
              <w:spacing w:after="0"/>
              <w:rPr>
                <w:sz w:val="2"/>
                <w:szCs w:val="2"/>
                <w:color w:val="auto"/>
              </w:rPr>
            </w:pPr>
          </w:p>
        </w:tc>
        <w:tc>
          <w:tcPr>
            <w:tcW w:w="620" w:type="dxa"/>
            <w:vAlign w:val="bottom"/>
          </w:tcPr>
          <w:p>
            <w:pPr>
              <w:spacing w:after="0"/>
              <w:rPr>
                <w:sz w:val="2"/>
                <w:szCs w:val="2"/>
                <w:color w:val="auto"/>
              </w:rPr>
            </w:pPr>
          </w:p>
        </w:tc>
        <w:tc>
          <w:tcPr>
            <w:tcW w:w="580" w:type="dxa"/>
            <w:vAlign w:val="bottom"/>
            <w:gridSpan w:val="2"/>
          </w:tcPr>
          <w:p>
            <w:pPr>
              <w:spacing w:after="0"/>
              <w:rPr>
                <w:sz w:val="2"/>
                <w:szCs w:val="2"/>
                <w:color w:val="auto"/>
              </w:rPr>
            </w:pPr>
          </w:p>
        </w:tc>
        <w:tc>
          <w:tcPr>
            <w:tcW w:w="110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20"/>
        </w:trPr>
        <w:tc>
          <w:tcPr>
            <w:tcW w:w="5800" w:type="dxa"/>
            <w:vAlign w:val="bottom"/>
          </w:tcPr>
          <w:p>
            <w:pPr>
              <w:spacing w:after="0"/>
              <w:rPr>
                <w:sz w:val="20"/>
                <w:szCs w:val="20"/>
                <w:color w:val="auto"/>
              </w:rPr>
            </w:pPr>
            <w:r>
              <w:rPr>
                <w:rFonts w:ascii="Arial" w:cs="Arial" w:eastAsia="Arial" w:hAnsi="Arial"/>
                <w:sz w:val="17"/>
                <w:szCs w:val="17"/>
                <w:color w:val="auto"/>
              </w:rPr>
              <w:t>Dividends per common share</w:t>
            </w:r>
          </w:p>
        </w:tc>
        <w:tc>
          <w:tcPr>
            <w:tcW w:w="1000" w:type="dxa"/>
            <w:vAlign w:val="bottom"/>
            <w:tcBorders>
              <w:top w:val="single" w:sz="8" w:color="auto"/>
              <w:bottom w:val="single" w:sz="8" w:color="auto"/>
            </w:tcBorders>
          </w:tcPr>
          <w:p>
            <w:pPr>
              <w:jc w:val="right"/>
              <w:ind w:right="758"/>
              <w:spacing w:after="0"/>
              <w:rPr>
                <w:sz w:val="20"/>
                <w:szCs w:val="20"/>
                <w:color w:val="auto"/>
              </w:rPr>
            </w:pPr>
            <w:r>
              <w:rPr>
                <w:rFonts w:ascii="Arial" w:cs="Arial" w:eastAsia="Arial" w:hAnsi="Arial"/>
                <w:sz w:val="17"/>
                <w:szCs w:val="17"/>
                <w:b w:val="1"/>
                <w:bCs w:val="1"/>
                <w:color w:val="auto"/>
              </w:rPr>
              <w:t>$</w:t>
            </w:r>
          </w:p>
        </w:tc>
        <w:tc>
          <w:tcPr>
            <w:tcW w:w="620" w:type="dxa"/>
            <w:vAlign w:val="bottom"/>
            <w:tcBorders>
              <w:top w:val="single" w:sz="8" w:color="auto"/>
              <w:bottom w:val="single" w:sz="8" w:color="auto"/>
            </w:tcBorders>
          </w:tcPr>
          <w:p>
            <w:pPr>
              <w:jc w:val="right"/>
              <w:spacing w:after="0"/>
              <w:rPr>
                <w:sz w:val="20"/>
                <w:szCs w:val="20"/>
                <w:color w:val="auto"/>
              </w:rPr>
            </w:pPr>
            <w:r>
              <w:rPr>
                <w:rFonts w:ascii="Arial" w:cs="Arial" w:eastAsia="Arial" w:hAnsi="Arial"/>
                <w:sz w:val="17"/>
                <w:szCs w:val="17"/>
                <w:b w:val="1"/>
                <w:bCs w:val="1"/>
                <w:color w:val="auto"/>
              </w:rPr>
              <w:t>0.39</w:t>
            </w:r>
          </w:p>
        </w:tc>
        <w:tc>
          <w:tcPr>
            <w:tcW w:w="60" w:type="dxa"/>
            <w:vAlign w:val="bottom"/>
          </w:tcPr>
          <w:p>
            <w:pPr>
              <w:spacing w:after="0"/>
              <w:rPr>
                <w:sz w:val="19"/>
                <w:szCs w:val="19"/>
                <w:color w:val="auto"/>
              </w:rPr>
            </w:pPr>
          </w:p>
        </w:tc>
        <w:tc>
          <w:tcPr>
            <w:tcW w:w="520" w:type="dxa"/>
            <w:vAlign w:val="bottom"/>
            <w:tcBorders>
              <w:top w:val="single" w:sz="8" w:color="auto"/>
              <w:bottom w:val="single" w:sz="8" w:color="auto"/>
            </w:tcBorders>
          </w:tcPr>
          <w:p>
            <w:pPr>
              <w:jc w:val="right"/>
              <w:ind w:right="298"/>
              <w:spacing w:after="0"/>
              <w:rPr>
                <w:sz w:val="20"/>
                <w:szCs w:val="20"/>
                <w:color w:val="auto"/>
              </w:rPr>
            </w:pPr>
            <w:r>
              <w:rPr>
                <w:rFonts w:ascii="Arial" w:cs="Arial" w:eastAsia="Arial" w:hAnsi="Arial"/>
                <w:sz w:val="17"/>
                <w:szCs w:val="17"/>
                <w:color w:val="auto"/>
              </w:rPr>
              <w:t>$</w:t>
            </w:r>
          </w:p>
        </w:tc>
        <w:tc>
          <w:tcPr>
            <w:tcW w:w="1100" w:type="dxa"/>
            <w:vAlign w:val="bottom"/>
            <w:tcBorders>
              <w:top w:val="single" w:sz="8" w:color="auto"/>
              <w:bottom w:val="single" w:sz="8" w:color="auto"/>
            </w:tcBorders>
          </w:tcPr>
          <w:p>
            <w:pPr>
              <w:jc w:val="right"/>
              <w:spacing w:after="0"/>
              <w:rPr>
                <w:sz w:val="20"/>
                <w:szCs w:val="20"/>
                <w:color w:val="auto"/>
              </w:rPr>
            </w:pPr>
            <w:r>
              <w:rPr>
                <w:rFonts w:ascii="Arial" w:cs="Arial" w:eastAsia="Arial" w:hAnsi="Arial"/>
                <w:sz w:val="17"/>
                <w:szCs w:val="17"/>
                <w:color w:val="auto"/>
              </w:rPr>
              <w:t>0.39</w:t>
            </w:r>
          </w:p>
        </w:tc>
        <w:tc>
          <w:tcPr>
            <w:tcW w:w="0" w:type="dxa"/>
            <w:vAlign w:val="bottom"/>
          </w:tcPr>
          <w:p>
            <w:pPr>
              <w:spacing w:after="0"/>
              <w:rPr>
                <w:sz w:val="1"/>
                <w:szCs w:val="1"/>
                <w:color w:val="auto"/>
              </w:rPr>
            </w:pPr>
          </w:p>
        </w:tc>
      </w:tr>
      <w:tr>
        <w:trPr>
          <w:trHeight w:val="25"/>
        </w:trPr>
        <w:tc>
          <w:tcPr>
            <w:tcW w:w="5800" w:type="dxa"/>
            <w:vAlign w:val="bottom"/>
          </w:tcPr>
          <w:p>
            <w:pPr>
              <w:spacing w:after="0"/>
              <w:rPr>
                <w:sz w:val="2"/>
                <w:szCs w:val="2"/>
                <w:color w:val="auto"/>
              </w:rPr>
            </w:pPr>
          </w:p>
        </w:tc>
        <w:tc>
          <w:tcPr>
            <w:tcW w:w="1000" w:type="dxa"/>
            <w:vAlign w:val="bottom"/>
            <w:tcBorders>
              <w:bottom w:val="single" w:sz="8" w:color="auto"/>
            </w:tcBorders>
          </w:tcPr>
          <w:p>
            <w:pPr>
              <w:spacing w:after="0"/>
              <w:rPr>
                <w:sz w:val="2"/>
                <w:szCs w:val="2"/>
                <w:color w:val="auto"/>
              </w:rPr>
            </w:pPr>
          </w:p>
        </w:tc>
        <w:tc>
          <w:tcPr>
            <w:tcW w:w="620" w:type="dxa"/>
            <w:vAlign w:val="bottom"/>
            <w:tcBorders>
              <w:bottom w:val="single" w:sz="8" w:color="auto"/>
            </w:tcBorders>
          </w:tcPr>
          <w:p>
            <w:pPr>
              <w:spacing w:after="0"/>
              <w:rPr>
                <w:sz w:val="2"/>
                <w:szCs w:val="2"/>
                <w:color w:val="auto"/>
              </w:rPr>
            </w:pPr>
          </w:p>
        </w:tc>
        <w:tc>
          <w:tcPr>
            <w:tcW w:w="60" w:type="dxa"/>
            <w:vAlign w:val="bottom"/>
          </w:tcPr>
          <w:p>
            <w:pPr>
              <w:spacing w:after="0"/>
              <w:rPr>
                <w:sz w:val="2"/>
                <w:szCs w:val="2"/>
                <w:color w:val="auto"/>
              </w:rPr>
            </w:pPr>
          </w:p>
        </w:tc>
        <w:tc>
          <w:tcPr>
            <w:tcW w:w="520" w:type="dxa"/>
            <w:vAlign w:val="bottom"/>
            <w:tcBorders>
              <w:bottom w:val="single" w:sz="8" w:color="auto"/>
            </w:tcBorders>
          </w:tcPr>
          <w:p>
            <w:pPr>
              <w:spacing w:after="0"/>
              <w:rPr>
                <w:sz w:val="2"/>
                <w:szCs w:val="2"/>
                <w:color w:val="auto"/>
              </w:rPr>
            </w:pPr>
          </w:p>
        </w:tc>
        <w:tc>
          <w:tcPr>
            <w:tcW w:w="110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ectPr>
          <w:pgSz w:w="12240" w:h="15840" w:orient="portrait"/>
          <w:cols w:equalWidth="0" w:num="1">
            <w:col w:w="9600"/>
          </w:cols>
          <w:pgMar w:left="1200" w:top="1057" w:right="1440" w:bottom="1440" w:gutter="0" w:footer="0" w:header="0"/>
        </w:sectPr>
      </w:pPr>
    </w:p>
    <w:bookmarkStart w:id="6" w:name="page7"/>
    <w:bookmarkEnd w:id="6"/>
    <w:p>
      <w:pPr>
        <w:spacing w:after="0"/>
        <w:rPr>
          <w:sz w:val="20"/>
          <w:szCs w:val="20"/>
          <w:color w:val="auto"/>
        </w:rPr>
      </w:pPr>
      <w:r>
        <w:rPr>
          <w:rFonts w:ascii="Arial" w:cs="Arial" w:eastAsia="Arial" w:hAnsi="Arial"/>
          <w:sz w:val="17"/>
          <w:szCs w:val="17"/>
          <w:color w:val="auto"/>
        </w:rPr>
        <w:t>EQUIFAX</w:t>
      </w:r>
    </w:p>
    <w:p>
      <w:pPr>
        <w:spacing w:after="0" w:line="20" w:lineRule="exact"/>
        <w:rPr>
          <w:sz w:val="20"/>
          <w:szCs w:val="20"/>
          <w:color w:val="auto"/>
        </w:rPr>
      </w:pPr>
    </w:p>
    <w:p>
      <w:pPr>
        <w:spacing w:after="0"/>
        <w:rPr>
          <w:sz w:val="20"/>
          <w:szCs w:val="20"/>
          <w:color w:val="auto"/>
        </w:rPr>
      </w:pPr>
      <w:r>
        <w:rPr>
          <w:rFonts w:ascii="Arial" w:cs="Arial" w:eastAsia="Arial" w:hAnsi="Arial"/>
          <w:sz w:val="17"/>
          <w:szCs w:val="17"/>
          <w:b w:val="1"/>
          <w:bCs w:val="1"/>
          <w:u w:val="single" w:color="auto"/>
          <w:color w:val="auto"/>
        </w:rPr>
        <w:t>CONDENSED CONSOLIDATED BALANCE SHEETS</w:t>
      </w:r>
    </w:p>
    <w:p>
      <w:pPr>
        <w:spacing w:after="0" w:line="232" w:lineRule="exact"/>
        <w:rPr>
          <w:sz w:val="20"/>
          <w:szCs w:val="20"/>
          <w:color w:val="auto"/>
        </w:rPr>
      </w:pPr>
    </w:p>
    <w:tbl>
      <w:tblPr>
        <w:tblLayout w:type="fixed"/>
        <w:tblInd w:w="0" w:type="dxa"/>
        <w:tblCellMar>
          <w:top w:w="0" w:type="dxa"/>
          <w:left w:w="0" w:type="dxa"/>
          <w:bottom w:w="0" w:type="dxa"/>
          <w:right w:w="0" w:type="dxa"/>
        </w:tblCellMar>
      </w:tblPr>
      <w:tr>
        <w:trPr>
          <w:trHeight w:val="195"/>
        </w:trPr>
        <w:tc>
          <w:tcPr>
            <w:tcW w:w="6940" w:type="dxa"/>
            <w:vAlign w:val="bottom"/>
          </w:tcPr>
          <w:p>
            <w:pPr>
              <w:spacing w:after="0"/>
              <w:rPr>
                <w:sz w:val="16"/>
                <w:szCs w:val="16"/>
                <w:color w:val="auto"/>
              </w:rPr>
            </w:pPr>
          </w:p>
        </w:tc>
        <w:tc>
          <w:tcPr>
            <w:tcW w:w="13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460" w:type="dxa"/>
            <w:vAlign w:val="bottom"/>
          </w:tcPr>
          <w:p>
            <w:pPr>
              <w:jc w:val="right"/>
              <w:ind w:right="78"/>
              <w:spacing w:after="0"/>
              <w:rPr>
                <w:sz w:val="20"/>
                <w:szCs w:val="20"/>
                <w:color w:val="auto"/>
              </w:rPr>
            </w:pPr>
            <w:r>
              <w:rPr>
                <w:rFonts w:ascii="Arial" w:cs="Arial" w:eastAsia="Arial" w:hAnsi="Arial"/>
                <w:sz w:val="17"/>
                <w:szCs w:val="17"/>
                <w:b w:val="1"/>
                <w:bCs w:val="1"/>
                <w:color w:val="auto"/>
              </w:rPr>
              <w:t>December 31,</w:t>
            </w:r>
          </w:p>
        </w:tc>
        <w:tc>
          <w:tcPr>
            <w:tcW w:w="0" w:type="dxa"/>
            <w:vAlign w:val="bottom"/>
          </w:tcPr>
          <w:p>
            <w:pPr>
              <w:spacing w:after="0"/>
              <w:rPr>
                <w:sz w:val="1"/>
                <w:szCs w:val="1"/>
                <w:color w:val="auto"/>
              </w:rPr>
            </w:pPr>
          </w:p>
        </w:tc>
      </w:tr>
      <w:tr>
        <w:trPr>
          <w:trHeight w:val="229"/>
        </w:trPr>
        <w:tc>
          <w:tcPr>
            <w:tcW w:w="6940" w:type="dxa"/>
            <w:vAlign w:val="bottom"/>
          </w:tcPr>
          <w:p>
            <w:pPr>
              <w:spacing w:after="0"/>
              <w:rPr>
                <w:sz w:val="19"/>
                <w:szCs w:val="19"/>
                <w:color w:val="auto"/>
              </w:rPr>
            </w:pPr>
          </w:p>
        </w:tc>
        <w:tc>
          <w:tcPr>
            <w:tcW w:w="1340" w:type="dxa"/>
            <w:vAlign w:val="bottom"/>
          </w:tcPr>
          <w:p>
            <w:pPr>
              <w:jc w:val="right"/>
              <w:ind w:right="38"/>
              <w:spacing w:after="0"/>
              <w:rPr>
                <w:sz w:val="20"/>
                <w:szCs w:val="20"/>
                <w:color w:val="auto"/>
              </w:rPr>
            </w:pPr>
            <w:r>
              <w:rPr>
                <w:rFonts w:ascii="Arial" w:cs="Arial" w:eastAsia="Arial" w:hAnsi="Arial"/>
                <w:sz w:val="17"/>
                <w:szCs w:val="17"/>
                <w:b w:val="1"/>
                <w:bCs w:val="1"/>
                <w:color w:val="auto"/>
              </w:rPr>
              <w:t>June 30, 2023</w:t>
            </w:r>
          </w:p>
        </w:tc>
        <w:tc>
          <w:tcPr>
            <w:tcW w:w="1500" w:type="dxa"/>
            <w:vAlign w:val="bottom"/>
            <w:gridSpan w:val="2"/>
          </w:tcPr>
          <w:p>
            <w:pPr>
              <w:jc w:val="right"/>
              <w:ind w:right="438"/>
              <w:spacing w:after="0"/>
              <w:rPr>
                <w:sz w:val="20"/>
                <w:szCs w:val="20"/>
                <w:color w:val="auto"/>
              </w:rPr>
            </w:pPr>
            <w:r>
              <w:rPr>
                <w:rFonts w:ascii="Arial" w:cs="Arial" w:eastAsia="Arial" w:hAnsi="Arial"/>
                <w:sz w:val="17"/>
                <w:szCs w:val="17"/>
                <w:b w:val="1"/>
                <w:bCs w:val="1"/>
                <w:color w:val="auto"/>
              </w:rPr>
              <w:t>2022</w:t>
            </w:r>
          </w:p>
        </w:tc>
        <w:tc>
          <w:tcPr>
            <w:tcW w:w="0" w:type="dxa"/>
            <w:vAlign w:val="bottom"/>
          </w:tcPr>
          <w:p>
            <w:pPr>
              <w:spacing w:after="0"/>
              <w:rPr>
                <w:sz w:val="1"/>
                <w:szCs w:val="1"/>
                <w:color w:val="auto"/>
              </w:rPr>
            </w:pPr>
          </w:p>
        </w:tc>
      </w:tr>
      <w:tr>
        <w:trPr>
          <w:trHeight w:val="219"/>
        </w:trPr>
        <w:tc>
          <w:tcPr>
            <w:tcW w:w="6940" w:type="dxa"/>
            <w:vAlign w:val="bottom"/>
          </w:tcPr>
          <w:p>
            <w:pPr>
              <w:spacing w:after="0"/>
              <w:rPr>
                <w:sz w:val="20"/>
                <w:szCs w:val="20"/>
                <w:color w:val="auto"/>
              </w:rPr>
            </w:pPr>
            <w:r>
              <w:rPr>
                <w:rFonts w:ascii="Arial" w:cs="Arial" w:eastAsia="Arial" w:hAnsi="Arial"/>
                <w:sz w:val="17"/>
                <w:szCs w:val="17"/>
                <w:i w:val="1"/>
                <w:iCs w:val="1"/>
                <w:color w:val="auto"/>
              </w:rPr>
              <w:t>(In millions, except par values)</w:t>
            </w:r>
          </w:p>
        </w:tc>
        <w:tc>
          <w:tcPr>
            <w:tcW w:w="2840" w:type="dxa"/>
            <w:vAlign w:val="bottom"/>
            <w:gridSpan w:val="3"/>
          </w:tcPr>
          <w:p>
            <w:pPr>
              <w:jc w:val="right"/>
              <w:ind w:right="878"/>
              <w:spacing w:after="0"/>
              <w:rPr>
                <w:sz w:val="20"/>
                <w:szCs w:val="20"/>
                <w:color w:val="auto"/>
              </w:rPr>
            </w:pPr>
            <w:r>
              <w:rPr>
                <w:rFonts w:ascii="Arial" w:cs="Arial" w:eastAsia="Arial" w:hAnsi="Arial"/>
                <w:sz w:val="17"/>
                <w:szCs w:val="17"/>
                <w:i w:val="1"/>
                <w:iCs w:val="1"/>
                <w:color w:val="auto"/>
              </w:rPr>
              <w:t>(Unaudited)</w:t>
            </w:r>
          </w:p>
        </w:tc>
        <w:tc>
          <w:tcPr>
            <w:tcW w:w="0" w:type="dxa"/>
            <w:vAlign w:val="bottom"/>
          </w:tcPr>
          <w:p>
            <w:pPr>
              <w:spacing w:after="0"/>
              <w:rPr>
                <w:sz w:val="1"/>
                <w:szCs w:val="1"/>
                <w:color w:val="auto"/>
              </w:rPr>
            </w:pPr>
          </w:p>
        </w:tc>
      </w:tr>
      <w:tr>
        <w:trPr>
          <w:trHeight w:val="229"/>
        </w:trPr>
        <w:tc>
          <w:tcPr>
            <w:tcW w:w="6940" w:type="dxa"/>
            <w:vAlign w:val="bottom"/>
          </w:tcPr>
          <w:p>
            <w:pPr>
              <w:spacing w:after="0"/>
              <w:rPr>
                <w:sz w:val="20"/>
                <w:szCs w:val="20"/>
                <w:color w:val="auto"/>
              </w:rPr>
            </w:pPr>
            <w:r>
              <w:rPr>
                <w:rFonts w:ascii="Arial" w:cs="Arial" w:eastAsia="Arial" w:hAnsi="Arial"/>
                <w:sz w:val="17"/>
                <w:szCs w:val="17"/>
                <w:b w:val="1"/>
                <w:bCs w:val="1"/>
                <w:color w:val="auto"/>
              </w:rPr>
              <w:t>ASSETS</w:t>
            </w:r>
          </w:p>
        </w:tc>
        <w:tc>
          <w:tcPr>
            <w:tcW w:w="13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4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1"/>
        </w:trPr>
        <w:tc>
          <w:tcPr>
            <w:tcW w:w="6940" w:type="dxa"/>
            <w:vAlign w:val="bottom"/>
          </w:tcPr>
          <w:p>
            <w:pPr>
              <w:spacing w:after="0"/>
              <w:rPr>
                <w:sz w:val="20"/>
                <w:szCs w:val="20"/>
                <w:color w:val="auto"/>
              </w:rPr>
            </w:pPr>
            <w:r>
              <w:rPr>
                <w:rFonts w:ascii="Arial" w:cs="Arial" w:eastAsia="Arial" w:hAnsi="Arial"/>
                <w:sz w:val="17"/>
                <w:szCs w:val="17"/>
                <w:color w:val="auto"/>
              </w:rPr>
              <w:t>Current assets:</w:t>
            </w:r>
          </w:p>
        </w:tc>
        <w:tc>
          <w:tcPr>
            <w:tcW w:w="13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4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97"/>
        </w:trPr>
        <w:tc>
          <w:tcPr>
            <w:tcW w:w="6940" w:type="dxa"/>
            <w:vAlign w:val="bottom"/>
          </w:tcPr>
          <w:p>
            <w:pPr>
              <w:spacing w:after="0"/>
              <w:rPr>
                <w:sz w:val="17"/>
                <w:szCs w:val="17"/>
                <w:color w:val="auto"/>
              </w:rPr>
            </w:pPr>
          </w:p>
        </w:tc>
        <w:tc>
          <w:tcPr>
            <w:tcW w:w="1340" w:type="dxa"/>
            <w:vAlign w:val="bottom"/>
          </w:tcPr>
          <w:p>
            <w:pPr>
              <w:jc w:val="right"/>
              <w:ind w:right="778"/>
              <w:spacing w:after="0"/>
              <w:rPr>
                <w:sz w:val="20"/>
                <w:szCs w:val="20"/>
                <w:color w:val="auto"/>
              </w:rPr>
            </w:pPr>
            <w:r>
              <w:rPr>
                <w:rFonts w:ascii="Arial" w:cs="Arial" w:eastAsia="Arial" w:hAnsi="Arial"/>
                <w:sz w:val="17"/>
                <w:szCs w:val="17"/>
                <w:b w:val="1"/>
                <w:bCs w:val="1"/>
                <w:color w:val="auto"/>
              </w:rPr>
              <w:t>$</w:t>
            </w:r>
          </w:p>
        </w:tc>
        <w:tc>
          <w:tcPr>
            <w:tcW w:w="1500" w:type="dxa"/>
            <w:vAlign w:val="bottom"/>
            <w:gridSpan w:val="2"/>
          </w:tcPr>
          <w:p>
            <w:pPr>
              <w:jc w:val="right"/>
              <w:ind w:right="878"/>
              <w:spacing w:after="0"/>
              <w:rPr>
                <w:sz w:val="20"/>
                <w:szCs w:val="20"/>
                <w:color w:val="auto"/>
              </w:rPr>
            </w:pP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227"/>
        </w:trPr>
        <w:tc>
          <w:tcPr>
            <w:tcW w:w="6940" w:type="dxa"/>
            <w:vAlign w:val="bottom"/>
          </w:tcPr>
          <w:p>
            <w:pPr>
              <w:ind w:left="100"/>
              <w:spacing w:after="0"/>
              <w:rPr>
                <w:sz w:val="20"/>
                <w:szCs w:val="20"/>
                <w:color w:val="auto"/>
              </w:rPr>
            </w:pPr>
            <w:r>
              <w:rPr>
                <w:rFonts w:ascii="Arial" w:cs="Arial" w:eastAsia="Arial" w:hAnsi="Arial"/>
                <w:sz w:val="17"/>
                <w:szCs w:val="17"/>
                <w:color w:val="auto"/>
              </w:rPr>
              <w:t>Cash and cash equivalents</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164.1</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285.2</w:t>
            </w:r>
          </w:p>
        </w:tc>
        <w:tc>
          <w:tcPr>
            <w:tcW w:w="0" w:type="dxa"/>
            <w:vAlign w:val="bottom"/>
          </w:tcPr>
          <w:p>
            <w:pPr>
              <w:spacing w:after="0"/>
              <w:rPr>
                <w:sz w:val="1"/>
                <w:szCs w:val="1"/>
                <w:color w:val="auto"/>
              </w:rPr>
            </w:pPr>
          </w:p>
        </w:tc>
      </w:tr>
      <w:tr>
        <w:trPr>
          <w:trHeight w:val="195"/>
        </w:trPr>
        <w:tc>
          <w:tcPr>
            <w:tcW w:w="6940" w:type="dxa"/>
            <w:vAlign w:val="bottom"/>
          </w:tcPr>
          <w:p>
            <w:pPr>
              <w:ind w:left="100"/>
              <w:spacing w:after="0"/>
              <w:rPr>
                <w:sz w:val="20"/>
                <w:szCs w:val="20"/>
                <w:color w:val="auto"/>
              </w:rPr>
            </w:pPr>
            <w:r>
              <w:rPr>
                <w:rFonts w:ascii="Arial" w:cs="Arial" w:eastAsia="Arial" w:hAnsi="Arial"/>
                <w:sz w:val="17"/>
                <w:szCs w:val="17"/>
                <w:color w:val="auto"/>
              </w:rPr>
              <w:t>Trade accounts receivable, net of allowance for doubtful accounts of $17.0 and $19.1 at</w:t>
            </w:r>
          </w:p>
        </w:tc>
        <w:tc>
          <w:tcPr>
            <w:tcW w:w="13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4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95"/>
        </w:trPr>
        <w:tc>
          <w:tcPr>
            <w:tcW w:w="6940" w:type="dxa"/>
            <w:vAlign w:val="bottom"/>
          </w:tcPr>
          <w:p>
            <w:pPr>
              <w:ind w:left="100"/>
              <w:spacing w:after="0"/>
              <w:rPr>
                <w:sz w:val="20"/>
                <w:szCs w:val="20"/>
                <w:color w:val="auto"/>
              </w:rPr>
            </w:pPr>
            <w:r>
              <w:rPr>
                <w:rFonts w:ascii="Arial" w:cs="Arial" w:eastAsia="Arial" w:hAnsi="Arial"/>
                <w:sz w:val="17"/>
                <w:szCs w:val="17"/>
                <w:color w:val="auto"/>
              </w:rPr>
              <w:t>June 30, 2023</w:t>
            </w:r>
          </w:p>
        </w:tc>
        <w:tc>
          <w:tcPr>
            <w:tcW w:w="1340" w:type="dxa"/>
            <w:vAlign w:val="bottom"/>
            <w:vMerge w:val="restart"/>
          </w:tcPr>
          <w:p>
            <w:pPr>
              <w:jc w:val="right"/>
              <w:spacing w:after="0"/>
              <w:rPr>
                <w:sz w:val="20"/>
                <w:szCs w:val="20"/>
                <w:color w:val="auto"/>
              </w:rPr>
            </w:pPr>
            <w:r>
              <w:rPr>
                <w:rFonts w:ascii="Arial" w:cs="Arial" w:eastAsia="Arial" w:hAnsi="Arial"/>
                <w:sz w:val="17"/>
                <w:szCs w:val="17"/>
                <w:b w:val="1"/>
                <w:bCs w:val="1"/>
                <w:color w:val="auto"/>
              </w:rPr>
              <w:t>935.9</w:t>
            </w:r>
          </w:p>
        </w:tc>
        <w:tc>
          <w:tcPr>
            <w:tcW w:w="60" w:type="dxa"/>
            <w:vAlign w:val="bottom"/>
          </w:tcPr>
          <w:p>
            <w:pPr>
              <w:spacing w:after="0"/>
              <w:rPr>
                <w:sz w:val="16"/>
                <w:szCs w:val="16"/>
                <w:color w:val="auto"/>
              </w:rPr>
            </w:pPr>
          </w:p>
        </w:tc>
        <w:tc>
          <w:tcPr>
            <w:tcW w:w="14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23"/>
        </w:trPr>
        <w:tc>
          <w:tcPr>
            <w:tcW w:w="6940" w:type="dxa"/>
            <w:vAlign w:val="bottom"/>
          </w:tcPr>
          <w:p>
            <w:pPr>
              <w:ind w:left="100"/>
              <w:spacing w:after="0"/>
              <w:rPr>
                <w:sz w:val="20"/>
                <w:szCs w:val="20"/>
                <w:color w:val="auto"/>
              </w:rPr>
            </w:pPr>
            <w:r>
              <w:rPr>
                <w:rFonts w:ascii="Arial" w:cs="Arial" w:eastAsia="Arial" w:hAnsi="Arial"/>
                <w:sz w:val="17"/>
                <w:szCs w:val="17"/>
                <w:color w:val="auto"/>
              </w:rPr>
              <w:t>and December 31, 2022, respectively</w:t>
            </w:r>
          </w:p>
        </w:tc>
        <w:tc>
          <w:tcPr>
            <w:tcW w:w="1340" w:type="dxa"/>
            <w:vAlign w:val="bottom"/>
            <w:vMerge w:val="continue"/>
          </w:tcPr>
          <w:p>
            <w:pPr>
              <w:spacing w:after="0"/>
              <w:rPr>
                <w:sz w:val="19"/>
                <w:szCs w:val="19"/>
                <w:color w:val="auto"/>
              </w:rPr>
            </w:pP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857.7</w:t>
            </w:r>
          </w:p>
        </w:tc>
        <w:tc>
          <w:tcPr>
            <w:tcW w:w="0" w:type="dxa"/>
            <w:vAlign w:val="bottom"/>
          </w:tcPr>
          <w:p>
            <w:pPr>
              <w:spacing w:after="0"/>
              <w:rPr>
                <w:sz w:val="1"/>
                <w:szCs w:val="1"/>
                <w:color w:val="auto"/>
              </w:rPr>
            </w:pPr>
          </w:p>
        </w:tc>
      </w:tr>
      <w:tr>
        <w:trPr>
          <w:trHeight w:val="225"/>
        </w:trPr>
        <w:tc>
          <w:tcPr>
            <w:tcW w:w="6940" w:type="dxa"/>
            <w:vAlign w:val="bottom"/>
          </w:tcPr>
          <w:p>
            <w:pPr>
              <w:ind w:left="100"/>
              <w:spacing w:after="0"/>
              <w:rPr>
                <w:sz w:val="20"/>
                <w:szCs w:val="20"/>
                <w:color w:val="auto"/>
              </w:rPr>
            </w:pPr>
            <w:r>
              <w:rPr>
                <w:rFonts w:ascii="Arial" w:cs="Arial" w:eastAsia="Arial" w:hAnsi="Arial"/>
                <w:sz w:val="17"/>
                <w:szCs w:val="17"/>
                <w:color w:val="auto"/>
              </w:rPr>
              <w:t>Prepaid expenses</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148.7</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134.3</w:t>
            </w:r>
          </w:p>
        </w:tc>
        <w:tc>
          <w:tcPr>
            <w:tcW w:w="0" w:type="dxa"/>
            <w:vAlign w:val="bottom"/>
          </w:tcPr>
          <w:p>
            <w:pPr>
              <w:spacing w:after="0"/>
              <w:rPr>
                <w:sz w:val="1"/>
                <w:szCs w:val="1"/>
                <w:color w:val="auto"/>
              </w:rPr>
            </w:pPr>
          </w:p>
        </w:tc>
      </w:tr>
      <w:tr>
        <w:trPr>
          <w:trHeight w:val="225"/>
        </w:trPr>
        <w:tc>
          <w:tcPr>
            <w:tcW w:w="6940" w:type="dxa"/>
            <w:vAlign w:val="bottom"/>
          </w:tcPr>
          <w:p>
            <w:pPr>
              <w:ind w:left="100"/>
              <w:spacing w:after="0"/>
              <w:rPr>
                <w:sz w:val="20"/>
                <w:szCs w:val="20"/>
                <w:color w:val="auto"/>
              </w:rPr>
            </w:pPr>
            <w:r>
              <w:rPr>
                <w:rFonts w:ascii="Arial" w:cs="Arial" w:eastAsia="Arial" w:hAnsi="Arial"/>
                <w:sz w:val="17"/>
                <w:szCs w:val="17"/>
                <w:color w:val="auto"/>
              </w:rPr>
              <w:t>Other current assets</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66.7</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93.3</w:t>
            </w:r>
          </w:p>
        </w:tc>
        <w:tc>
          <w:tcPr>
            <w:tcW w:w="0" w:type="dxa"/>
            <w:vAlign w:val="bottom"/>
          </w:tcPr>
          <w:p>
            <w:pPr>
              <w:spacing w:after="0"/>
              <w:rPr>
                <w:sz w:val="1"/>
                <w:szCs w:val="1"/>
                <w:color w:val="auto"/>
              </w:rPr>
            </w:pPr>
          </w:p>
        </w:tc>
      </w:tr>
      <w:tr>
        <w:trPr>
          <w:trHeight w:val="227"/>
        </w:trPr>
        <w:tc>
          <w:tcPr>
            <w:tcW w:w="6940" w:type="dxa"/>
            <w:vAlign w:val="bottom"/>
          </w:tcPr>
          <w:p>
            <w:pPr>
              <w:ind w:left="180"/>
              <w:spacing w:after="0"/>
              <w:rPr>
                <w:sz w:val="20"/>
                <w:szCs w:val="20"/>
                <w:color w:val="auto"/>
              </w:rPr>
            </w:pPr>
            <w:r>
              <w:rPr>
                <w:rFonts w:ascii="Arial" w:cs="Arial" w:eastAsia="Arial" w:hAnsi="Arial"/>
                <w:sz w:val="17"/>
                <w:szCs w:val="17"/>
                <w:color w:val="auto"/>
              </w:rPr>
              <w:t>Total current assets</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1,315.4</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1,370.5</w:t>
            </w:r>
          </w:p>
        </w:tc>
        <w:tc>
          <w:tcPr>
            <w:tcW w:w="0" w:type="dxa"/>
            <w:vAlign w:val="bottom"/>
          </w:tcPr>
          <w:p>
            <w:pPr>
              <w:spacing w:after="0"/>
              <w:rPr>
                <w:sz w:val="1"/>
                <w:szCs w:val="1"/>
                <w:color w:val="auto"/>
              </w:rPr>
            </w:pPr>
          </w:p>
        </w:tc>
      </w:tr>
      <w:tr>
        <w:trPr>
          <w:trHeight w:val="221"/>
        </w:trPr>
        <w:tc>
          <w:tcPr>
            <w:tcW w:w="6940" w:type="dxa"/>
            <w:vAlign w:val="bottom"/>
          </w:tcPr>
          <w:p>
            <w:pPr>
              <w:spacing w:after="0"/>
              <w:rPr>
                <w:sz w:val="20"/>
                <w:szCs w:val="20"/>
                <w:color w:val="auto"/>
              </w:rPr>
            </w:pPr>
            <w:r>
              <w:rPr>
                <w:rFonts w:ascii="Arial" w:cs="Arial" w:eastAsia="Arial" w:hAnsi="Arial"/>
                <w:sz w:val="17"/>
                <w:szCs w:val="17"/>
                <w:color w:val="auto"/>
              </w:rPr>
              <w:t>Property and equipment:</w:t>
            </w:r>
          </w:p>
        </w:tc>
        <w:tc>
          <w:tcPr>
            <w:tcW w:w="13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4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7"/>
        </w:trPr>
        <w:tc>
          <w:tcPr>
            <w:tcW w:w="6940" w:type="dxa"/>
            <w:vAlign w:val="bottom"/>
          </w:tcPr>
          <w:p>
            <w:pPr>
              <w:ind w:left="100"/>
              <w:spacing w:after="0"/>
              <w:rPr>
                <w:sz w:val="20"/>
                <w:szCs w:val="20"/>
                <w:color w:val="auto"/>
              </w:rPr>
            </w:pPr>
            <w:r>
              <w:rPr>
                <w:rFonts w:ascii="Arial" w:cs="Arial" w:eastAsia="Arial" w:hAnsi="Arial"/>
                <w:sz w:val="17"/>
                <w:szCs w:val="17"/>
                <w:color w:val="auto"/>
              </w:rPr>
              <w:t>Capitalized internal-use software and system costs</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2,350.9</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2,139.1</w:t>
            </w:r>
          </w:p>
        </w:tc>
        <w:tc>
          <w:tcPr>
            <w:tcW w:w="0" w:type="dxa"/>
            <w:vAlign w:val="bottom"/>
          </w:tcPr>
          <w:p>
            <w:pPr>
              <w:spacing w:after="0"/>
              <w:rPr>
                <w:sz w:val="1"/>
                <w:szCs w:val="1"/>
                <w:color w:val="auto"/>
              </w:rPr>
            </w:pPr>
          </w:p>
        </w:tc>
      </w:tr>
      <w:tr>
        <w:trPr>
          <w:trHeight w:val="225"/>
        </w:trPr>
        <w:tc>
          <w:tcPr>
            <w:tcW w:w="6940" w:type="dxa"/>
            <w:vAlign w:val="bottom"/>
          </w:tcPr>
          <w:p>
            <w:pPr>
              <w:ind w:left="100"/>
              <w:spacing w:after="0"/>
              <w:rPr>
                <w:sz w:val="20"/>
                <w:szCs w:val="20"/>
                <w:color w:val="auto"/>
              </w:rPr>
            </w:pPr>
            <w:r>
              <w:rPr>
                <w:rFonts w:ascii="Arial" w:cs="Arial" w:eastAsia="Arial" w:hAnsi="Arial"/>
                <w:sz w:val="17"/>
                <w:szCs w:val="17"/>
                <w:color w:val="auto"/>
              </w:rPr>
              <w:t>Data processing equipment and furniture</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284.2</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281.4</w:t>
            </w:r>
          </w:p>
        </w:tc>
        <w:tc>
          <w:tcPr>
            <w:tcW w:w="0" w:type="dxa"/>
            <w:vAlign w:val="bottom"/>
          </w:tcPr>
          <w:p>
            <w:pPr>
              <w:spacing w:after="0"/>
              <w:rPr>
                <w:sz w:val="1"/>
                <w:szCs w:val="1"/>
                <w:color w:val="auto"/>
              </w:rPr>
            </w:pPr>
          </w:p>
        </w:tc>
      </w:tr>
      <w:tr>
        <w:trPr>
          <w:trHeight w:val="225"/>
        </w:trPr>
        <w:tc>
          <w:tcPr>
            <w:tcW w:w="6940" w:type="dxa"/>
            <w:vAlign w:val="bottom"/>
          </w:tcPr>
          <w:p>
            <w:pPr>
              <w:ind w:left="100"/>
              <w:spacing w:after="0"/>
              <w:rPr>
                <w:sz w:val="20"/>
                <w:szCs w:val="20"/>
                <w:color w:val="auto"/>
              </w:rPr>
            </w:pPr>
            <w:r>
              <w:rPr>
                <w:rFonts w:ascii="Arial" w:cs="Arial" w:eastAsia="Arial" w:hAnsi="Arial"/>
                <w:sz w:val="17"/>
                <w:szCs w:val="17"/>
                <w:color w:val="auto"/>
              </w:rPr>
              <w:t>Land, buildings and improvements</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264.9</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261.6</w:t>
            </w:r>
          </w:p>
        </w:tc>
        <w:tc>
          <w:tcPr>
            <w:tcW w:w="0" w:type="dxa"/>
            <w:vAlign w:val="bottom"/>
          </w:tcPr>
          <w:p>
            <w:pPr>
              <w:spacing w:after="0"/>
              <w:rPr>
                <w:sz w:val="1"/>
                <w:szCs w:val="1"/>
                <w:color w:val="auto"/>
              </w:rPr>
            </w:pPr>
          </w:p>
        </w:tc>
      </w:tr>
      <w:tr>
        <w:trPr>
          <w:trHeight w:val="225"/>
        </w:trPr>
        <w:tc>
          <w:tcPr>
            <w:tcW w:w="6940" w:type="dxa"/>
            <w:vAlign w:val="bottom"/>
          </w:tcPr>
          <w:p>
            <w:pPr>
              <w:ind w:left="180"/>
              <w:spacing w:after="0"/>
              <w:rPr>
                <w:sz w:val="20"/>
                <w:szCs w:val="20"/>
                <w:color w:val="auto"/>
              </w:rPr>
            </w:pPr>
            <w:r>
              <w:rPr>
                <w:rFonts w:ascii="Arial" w:cs="Arial" w:eastAsia="Arial" w:hAnsi="Arial"/>
                <w:sz w:val="17"/>
                <w:szCs w:val="17"/>
                <w:color w:val="auto"/>
              </w:rPr>
              <w:t>Total property and equipment</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2,900.0</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2,682.1</w:t>
            </w:r>
          </w:p>
        </w:tc>
        <w:tc>
          <w:tcPr>
            <w:tcW w:w="0" w:type="dxa"/>
            <w:vAlign w:val="bottom"/>
          </w:tcPr>
          <w:p>
            <w:pPr>
              <w:spacing w:after="0"/>
              <w:rPr>
                <w:sz w:val="1"/>
                <w:szCs w:val="1"/>
                <w:color w:val="auto"/>
              </w:rPr>
            </w:pPr>
          </w:p>
        </w:tc>
      </w:tr>
      <w:tr>
        <w:trPr>
          <w:trHeight w:val="225"/>
        </w:trPr>
        <w:tc>
          <w:tcPr>
            <w:tcW w:w="6940" w:type="dxa"/>
            <w:vAlign w:val="bottom"/>
          </w:tcPr>
          <w:p>
            <w:pPr>
              <w:ind w:left="100"/>
              <w:spacing w:after="0"/>
              <w:rPr>
                <w:sz w:val="20"/>
                <w:szCs w:val="20"/>
                <w:color w:val="auto"/>
              </w:rPr>
            </w:pPr>
            <w:r>
              <w:rPr>
                <w:rFonts w:ascii="Arial" w:cs="Arial" w:eastAsia="Arial" w:hAnsi="Arial"/>
                <w:sz w:val="17"/>
                <w:szCs w:val="17"/>
                <w:color w:val="auto"/>
              </w:rPr>
              <w:t>Less accumulated depreciation and amortization</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(1,178.0)</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(1,095.1)</w:t>
            </w:r>
          </w:p>
        </w:tc>
        <w:tc>
          <w:tcPr>
            <w:tcW w:w="0" w:type="dxa"/>
            <w:vAlign w:val="bottom"/>
          </w:tcPr>
          <w:p>
            <w:pPr>
              <w:spacing w:after="0"/>
              <w:rPr>
                <w:sz w:val="1"/>
                <w:szCs w:val="1"/>
                <w:color w:val="auto"/>
              </w:rPr>
            </w:pPr>
          </w:p>
        </w:tc>
      </w:tr>
      <w:tr>
        <w:trPr>
          <w:trHeight w:val="225"/>
        </w:trPr>
        <w:tc>
          <w:tcPr>
            <w:tcW w:w="6940" w:type="dxa"/>
            <w:vAlign w:val="bottom"/>
          </w:tcPr>
          <w:p>
            <w:pPr>
              <w:ind w:left="180"/>
              <w:spacing w:after="0"/>
              <w:rPr>
                <w:sz w:val="20"/>
                <w:szCs w:val="20"/>
                <w:color w:val="auto"/>
              </w:rPr>
            </w:pPr>
            <w:r>
              <w:rPr>
                <w:rFonts w:ascii="Arial" w:cs="Arial" w:eastAsia="Arial" w:hAnsi="Arial"/>
                <w:sz w:val="17"/>
                <w:szCs w:val="17"/>
                <w:color w:val="auto"/>
              </w:rPr>
              <w:t>Total property and equipment, net</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1,722.0</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1,587.0</w:t>
            </w:r>
          </w:p>
        </w:tc>
        <w:tc>
          <w:tcPr>
            <w:tcW w:w="0" w:type="dxa"/>
            <w:vAlign w:val="bottom"/>
          </w:tcPr>
          <w:p>
            <w:pPr>
              <w:spacing w:after="0"/>
              <w:rPr>
                <w:sz w:val="1"/>
                <w:szCs w:val="1"/>
                <w:color w:val="auto"/>
              </w:rPr>
            </w:pPr>
          </w:p>
        </w:tc>
      </w:tr>
      <w:tr>
        <w:trPr>
          <w:trHeight w:val="225"/>
        </w:trPr>
        <w:tc>
          <w:tcPr>
            <w:tcW w:w="6940" w:type="dxa"/>
            <w:vAlign w:val="bottom"/>
          </w:tcPr>
          <w:p>
            <w:pPr>
              <w:spacing w:after="0"/>
              <w:rPr>
                <w:sz w:val="20"/>
                <w:szCs w:val="20"/>
                <w:color w:val="auto"/>
              </w:rPr>
            </w:pPr>
            <w:r>
              <w:rPr>
                <w:rFonts w:ascii="Arial" w:cs="Arial" w:eastAsia="Arial" w:hAnsi="Arial"/>
                <w:sz w:val="17"/>
                <w:szCs w:val="17"/>
                <w:color w:val="auto"/>
              </w:rPr>
              <w:t>Goodwill</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6,401.2</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6,383.9</w:t>
            </w:r>
          </w:p>
        </w:tc>
        <w:tc>
          <w:tcPr>
            <w:tcW w:w="0" w:type="dxa"/>
            <w:vAlign w:val="bottom"/>
          </w:tcPr>
          <w:p>
            <w:pPr>
              <w:spacing w:after="0"/>
              <w:rPr>
                <w:sz w:val="1"/>
                <w:szCs w:val="1"/>
                <w:color w:val="auto"/>
              </w:rPr>
            </w:pPr>
          </w:p>
        </w:tc>
      </w:tr>
      <w:tr>
        <w:trPr>
          <w:trHeight w:val="225"/>
        </w:trPr>
        <w:tc>
          <w:tcPr>
            <w:tcW w:w="6940" w:type="dxa"/>
            <w:vAlign w:val="bottom"/>
          </w:tcPr>
          <w:p>
            <w:pPr>
              <w:spacing w:after="0"/>
              <w:rPr>
                <w:sz w:val="20"/>
                <w:szCs w:val="20"/>
                <w:color w:val="auto"/>
              </w:rPr>
            </w:pPr>
            <w:r>
              <w:rPr>
                <w:rFonts w:ascii="Arial" w:cs="Arial" w:eastAsia="Arial" w:hAnsi="Arial"/>
                <w:sz w:val="17"/>
                <w:szCs w:val="17"/>
                <w:color w:val="auto"/>
              </w:rPr>
              <w:t>Indefinite-lived intangible assets</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94.9</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94.8</w:t>
            </w:r>
          </w:p>
        </w:tc>
        <w:tc>
          <w:tcPr>
            <w:tcW w:w="0" w:type="dxa"/>
            <w:vAlign w:val="bottom"/>
          </w:tcPr>
          <w:p>
            <w:pPr>
              <w:spacing w:after="0"/>
              <w:rPr>
                <w:sz w:val="1"/>
                <w:szCs w:val="1"/>
                <w:color w:val="auto"/>
              </w:rPr>
            </w:pPr>
          </w:p>
        </w:tc>
      </w:tr>
      <w:tr>
        <w:trPr>
          <w:trHeight w:val="225"/>
        </w:trPr>
        <w:tc>
          <w:tcPr>
            <w:tcW w:w="6940" w:type="dxa"/>
            <w:vAlign w:val="bottom"/>
          </w:tcPr>
          <w:p>
            <w:pPr>
              <w:spacing w:after="0"/>
              <w:rPr>
                <w:sz w:val="20"/>
                <w:szCs w:val="20"/>
                <w:color w:val="auto"/>
              </w:rPr>
            </w:pPr>
            <w:r>
              <w:rPr>
                <w:rFonts w:ascii="Arial" w:cs="Arial" w:eastAsia="Arial" w:hAnsi="Arial"/>
                <w:sz w:val="17"/>
                <w:szCs w:val="17"/>
                <w:color w:val="auto"/>
              </w:rPr>
              <w:t>Purchased intangible assets, net</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1,699.1</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1,818.5</w:t>
            </w:r>
          </w:p>
        </w:tc>
        <w:tc>
          <w:tcPr>
            <w:tcW w:w="0" w:type="dxa"/>
            <w:vAlign w:val="bottom"/>
          </w:tcPr>
          <w:p>
            <w:pPr>
              <w:spacing w:after="0"/>
              <w:rPr>
                <w:sz w:val="1"/>
                <w:szCs w:val="1"/>
                <w:color w:val="auto"/>
              </w:rPr>
            </w:pPr>
          </w:p>
        </w:tc>
      </w:tr>
      <w:tr>
        <w:trPr>
          <w:trHeight w:val="225"/>
        </w:trPr>
        <w:tc>
          <w:tcPr>
            <w:tcW w:w="6940" w:type="dxa"/>
            <w:vAlign w:val="bottom"/>
          </w:tcPr>
          <w:p>
            <w:pPr>
              <w:spacing w:after="0"/>
              <w:rPr>
                <w:sz w:val="20"/>
                <w:szCs w:val="20"/>
                <w:color w:val="auto"/>
              </w:rPr>
            </w:pPr>
            <w:r>
              <w:rPr>
                <w:rFonts w:ascii="Arial" w:cs="Arial" w:eastAsia="Arial" w:hAnsi="Arial"/>
                <w:sz w:val="17"/>
                <w:szCs w:val="17"/>
                <w:color w:val="auto"/>
              </w:rPr>
              <w:t>Other assets, net</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305.3</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293.2</w:t>
            </w:r>
          </w:p>
        </w:tc>
        <w:tc>
          <w:tcPr>
            <w:tcW w:w="0" w:type="dxa"/>
            <w:vAlign w:val="bottom"/>
          </w:tcPr>
          <w:p>
            <w:pPr>
              <w:spacing w:after="0"/>
              <w:rPr>
                <w:sz w:val="1"/>
                <w:szCs w:val="1"/>
                <w:color w:val="auto"/>
              </w:rPr>
            </w:pPr>
          </w:p>
        </w:tc>
      </w:tr>
      <w:tr>
        <w:trPr>
          <w:trHeight w:val="195"/>
        </w:trPr>
        <w:tc>
          <w:tcPr>
            <w:tcW w:w="6940" w:type="dxa"/>
            <w:vAlign w:val="bottom"/>
          </w:tcPr>
          <w:p>
            <w:pPr>
              <w:spacing w:after="0"/>
              <w:rPr>
                <w:sz w:val="16"/>
                <w:szCs w:val="16"/>
                <w:color w:val="auto"/>
              </w:rPr>
            </w:pPr>
          </w:p>
        </w:tc>
        <w:tc>
          <w:tcPr>
            <w:tcW w:w="1340" w:type="dxa"/>
            <w:vAlign w:val="bottom"/>
          </w:tcPr>
          <w:p>
            <w:pPr>
              <w:jc w:val="right"/>
              <w:ind w:right="558"/>
              <w:spacing w:after="0"/>
              <w:rPr>
                <w:sz w:val="20"/>
                <w:szCs w:val="20"/>
                <w:color w:val="auto"/>
              </w:rPr>
            </w:pPr>
            <w:r>
              <w:rPr>
                <w:rFonts w:ascii="Arial" w:cs="Arial" w:eastAsia="Arial" w:hAnsi="Arial"/>
                <w:sz w:val="17"/>
                <w:szCs w:val="17"/>
                <w:b w:val="1"/>
                <w:bCs w:val="1"/>
                <w:color w:val="auto"/>
              </w:rPr>
              <w:t>$</w:t>
            </w:r>
          </w:p>
        </w:tc>
        <w:tc>
          <w:tcPr>
            <w:tcW w:w="1500" w:type="dxa"/>
            <w:vAlign w:val="bottom"/>
            <w:gridSpan w:val="2"/>
          </w:tcPr>
          <w:p>
            <w:pPr>
              <w:jc w:val="right"/>
              <w:ind w:right="658"/>
              <w:spacing w:after="0"/>
              <w:rPr>
                <w:sz w:val="20"/>
                <w:szCs w:val="20"/>
                <w:color w:val="auto"/>
              </w:rPr>
            </w:pP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231"/>
        </w:trPr>
        <w:tc>
          <w:tcPr>
            <w:tcW w:w="6940" w:type="dxa"/>
            <w:vAlign w:val="bottom"/>
          </w:tcPr>
          <w:p>
            <w:pPr>
              <w:ind w:left="220"/>
              <w:spacing w:after="0"/>
              <w:rPr>
                <w:sz w:val="20"/>
                <w:szCs w:val="20"/>
                <w:color w:val="auto"/>
              </w:rPr>
            </w:pPr>
            <w:r>
              <w:rPr>
                <w:rFonts w:ascii="Arial" w:cs="Arial" w:eastAsia="Arial" w:hAnsi="Arial"/>
                <w:sz w:val="17"/>
                <w:szCs w:val="17"/>
                <w:color w:val="auto"/>
              </w:rPr>
              <w:t>Total assets</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11,537.9</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11,547.9</w:t>
            </w:r>
          </w:p>
        </w:tc>
        <w:tc>
          <w:tcPr>
            <w:tcW w:w="0" w:type="dxa"/>
            <w:vAlign w:val="bottom"/>
          </w:tcPr>
          <w:p>
            <w:pPr>
              <w:spacing w:after="0"/>
              <w:rPr>
                <w:sz w:val="1"/>
                <w:szCs w:val="1"/>
                <w:color w:val="auto"/>
              </w:rPr>
            </w:pPr>
          </w:p>
        </w:tc>
      </w:tr>
      <w:tr>
        <w:trPr>
          <w:trHeight w:val="25"/>
        </w:trPr>
        <w:tc>
          <w:tcPr>
            <w:tcW w:w="6940" w:type="dxa"/>
            <w:vAlign w:val="bottom"/>
            <w:vMerge w:val="restart"/>
          </w:tcPr>
          <w:p>
            <w:pPr>
              <w:spacing w:after="0"/>
              <w:rPr>
                <w:sz w:val="20"/>
                <w:szCs w:val="20"/>
                <w:color w:val="auto"/>
              </w:rPr>
            </w:pPr>
            <w:r>
              <w:rPr>
                <w:rFonts w:ascii="Arial" w:cs="Arial" w:eastAsia="Arial" w:hAnsi="Arial"/>
                <w:sz w:val="17"/>
                <w:szCs w:val="17"/>
                <w:b w:val="1"/>
                <w:bCs w:val="1"/>
                <w:color w:val="auto"/>
              </w:rPr>
              <w:t>LIABILITIES AND EQUITY</w:t>
            </w:r>
          </w:p>
        </w:tc>
        <w:tc>
          <w:tcPr>
            <w:tcW w:w="1340" w:type="dxa"/>
            <w:vAlign w:val="bottom"/>
            <w:tcBorders>
              <w:top w:val="single" w:sz="8" w:color="auto"/>
              <w:bottom w:val="single" w:sz="8" w:color="auto"/>
            </w:tcBorders>
          </w:tcPr>
          <w:p>
            <w:pPr>
              <w:spacing w:after="0"/>
              <w:rPr>
                <w:sz w:val="2"/>
                <w:szCs w:val="2"/>
                <w:color w:val="auto"/>
              </w:rPr>
            </w:pPr>
          </w:p>
        </w:tc>
        <w:tc>
          <w:tcPr>
            <w:tcW w:w="60" w:type="dxa"/>
            <w:vAlign w:val="bottom"/>
          </w:tcPr>
          <w:p>
            <w:pPr>
              <w:spacing w:after="0"/>
              <w:rPr>
                <w:sz w:val="2"/>
                <w:szCs w:val="2"/>
                <w:color w:val="auto"/>
              </w:rPr>
            </w:pPr>
          </w:p>
        </w:tc>
        <w:tc>
          <w:tcPr>
            <w:tcW w:w="1460" w:type="dxa"/>
            <w:vAlign w:val="bottom"/>
            <w:tcBorders>
              <w:top w:val="single" w:sz="8" w:color="auto"/>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16"/>
        </w:trPr>
        <w:tc>
          <w:tcPr>
            <w:tcW w:w="6940" w:type="dxa"/>
            <w:vAlign w:val="bottom"/>
            <w:vMerge w:val="continue"/>
          </w:tcPr>
          <w:p>
            <w:pPr>
              <w:spacing w:after="0"/>
              <w:rPr>
                <w:sz w:val="18"/>
                <w:szCs w:val="18"/>
                <w:color w:val="auto"/>
              </w:rPr>
            </w:pPr>
          </w:p>
        </w:tc>
        <w:tc>
          <w:tcPr>
            <w:tcW w:w="13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4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21"/>
        </w:trPr>
        <w:tc>
          <w:tcPr>
            <w:tcW w:w="6940" w:type="dxa"/>
            <w:vAlign w:val="bottom"/>
          </w:tcPr>
          <w:p>
            <w:pPr>
              <w:spacing w:after="0"/>
              <w:rPr>
                <w:sz w:val="20"/>
                <w:szCs w:val="20"/>
                <w:color w:val="auto"/>
              </w:rPr>
            </w:pPr>
            <w:r>
              <w:rPr>
                <w:rFonts w:ascii="Arial" w:cs="Arial" w:eastAsia="Arial" w:hAnsi="Arial"/>
                <w:sz w:val="17"/>
                <w:szCs w:val="17"/>
                <w:color w:val="auto"/>
              </w:rPr>
              <w:t>Current liabilities:</w:t>
            </w:r>
          </w:p>
        </w:tc>
        <w:tc>
          <w:tcPr>
            <w:tcW w:w="13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4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97"/>
        </w:trPr>
        <w:tc>
          <w:tcPr>
            <w:tcW w:w="6940" w:type="dxa"/>
            <w:vAlign w:val="bottom"/>
          </w:tcPr>
          <w:p>
            <w:pPr>
              <w:spacing w:after="0"/>
              <w:rPr>
                <w:sz w:val="17"/>
                <w:szCs w:val="17"/>
                <w:color w:val="auto"/>
              </w:rPr>
            </w:pPr>
          </w:p>
        </w:tc>
        <w:tc>
          <w:tcPr>
            <w:tcW w:w="1340" w:type="dxa"/>
            <w:vAlign w:val="bottom"/>
          </w:tcPr>
          <w:p>
            <w:pPr>
              <w:jc w:val="right"/>
              <w:ind w:right="778"/>
              <w:spacing w:after="0"/>
              <w:rPr>
                <w:sz w:val="20"/>
                <w:szCs w:val="20"/>
                <w:color w:val="auto"/>
              </w:rPr>
            </w:pPr>
            <w:r>
              <w:rPr>
                <w:rFonts w:ascii="Arial" w:cs="Arial" w:eastAsia="Arial" w:hAnsi="Arial"/>
                <w:sz w:val="17"/>
                <w:szCs w:val="17"/>
                <w:b w:val="1"/>
                <w:bCs w:val="1"/>
                <w:color w:val="auto"/>
              </w:rPr>
              <w:t>$</w:t>
            </w:r>
          </w:p>
        </w:tc>
        <w:tc>
          <w:tcPr>
            <w:tcW w:w="1500" w:type="dxa"/>
            <w:vAlign w:val="bottom"/>
            <w:gridSpan w:val="2"/>
          </w:tcPr>
          <w:p>
            <w:pPr>
              <w:jc w:val="right"/>
              <w:ind w:right="878"/>
              <w:spacing w:after="0"/>
              <w:rPr>
                <w:sz w:val="20"/>
                <w:szCs w:val="20"/>
                <w:color w:val="auto"/>
              </w:rPr>
            </w:pP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225"/>
        </w:trPr>
        <w:tc>
          <w:tcPr>
            <w:tcW w:w="6940" w:type="dxa"/>
            <w:vAlign w:val="bottom"/>
          </w:tcPr>
          <w:p>
            <w:pPr>
              <w:ind w:left="100"/>
              <w:spacing w:after="0"/>
              <w:rPr>
                <w:sz w:val="20"/>
                <w:szCs w:val="20"/>
                <w:color w:val="auto"/>
              </w:rPr>
            </w:pPr>
            <w:r>
              <w:rPr>
                <w:rFonts w:ascii="Arial" w:cs="Arial" w:eastAsia="Arial" w:hAnsi="Arial"/>
                <w:sz w:val="17"/>
                <w:szCs w:val="17"/>
                <w:color w:val="auto"/>
              </w:rPr>
              <w:t>Short-term debt and current maturities of long-term debt</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169.1</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967.2</w:t>
            </w:r>
          </w:p>
        </w:tc>
        <w:tc>
          <w:tcPr>
            <w:tcW w:w="0" w:type="dxa"/>
            <w:vAlign w:val="bottom"/>
          </w:tcPr>
          <w:p>
            <w:pPr>
              <w:spacing w:after="0"/>
              <w:rPr>
                <w:sz w:val="1"/>
                <w:szCs w:val="1"/>
                <w:color w:val="auto"/>
              </w:rPr>
            </w:pPr>
          </w:p>
        </w:tc>
      </w:tr>
      <w:tr>
        <w:trPr>
          <w:trHeight w:val="225"/>
        </w:trPr>
        <w:tc>
          <w:tcPr>
            <w:tcW w:w="6940" w:type="dxa"/>
            <w:vAlign w:val="bottom"/>
          </w:tcPr>
          <w:p>
            <w:pPr>
              <w:ind w:left="100"/>
              <w:spacing w:after="0"/>
              <w:rPr>
                <w:sz w:val="20"/>
                <w:szCs w:val="20"/>
                <w:color w:val="auto"/>
              </w:rPr>
            </w:pPr>
            <w:r>
              <w:rPr>
                <w:rFonts w:ascii="Arial" w:cs="Arial" w:eastAsia="Arial" w:hAnsi="Arial"/>
                <w:sz w:val="17"/>
                <w:szCs w:val="17"/>
                <w:color w:val="auto"/>
              </w:rPr>
              <w:t>Accounts payable</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148.3</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250.8</w:t>
            </w:r>
          </w:p>
        </w:tc>
        <w:tc>
          <w:tcPr>
            <w:tcW w:w="0" w:type="dxa"/>
            <w:vAlign w:val="bottom"/>
          </w:tcPr>
          <w:p>
            <w:pPr>
              <w:spacing w:after="0"/>
              <w:rPr>
                <w:sz w:val="1"/>
                <w:szCs w:val="1"/>
                <w:color w:val="auto"/>
              </w:rPr>
            </w:pPr>
          </w:p>
        </w:tc>
      </w:tr>
      <w:tr>
        <w:trPr>
          <w:trHeight w:val="225"/>
        </w:trPr>
        <w:tc>
          <w:tcPr>
            <w:tcW w:w="6940" w:type="dxa"/>
            <w:vAlign w:val="bottom"/>
          </w:tcPr>
          <w:p>
            <w:pPr>
              <w:ind w:left="100"/>
              <w:spacing w:after="0"/>
              <w:rPr>
                <w:sz w:val="20"/>
                <w:szCs w:val="20"/>
                <w:color w:val="auto"/>
              </w:rPr>
            </w:pPr>
            <w:r>
              <w:rPr>
                <w:rFonts w:ascii="Arial" w:cs="Arial" w:eastAsia="Arial" w:hAnsi="Arial"/>
                <w:sz w:val="17"/>
                <w:szCs w:val="17"/>
                <w:color w:val="auto"/>
              </w:rPr>
              <w:t>Accrued expenses</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271.1</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229.0</w:t>
            </w:r>
          </w:p>
        </w:tc>
        <w:tc>
          <w:tcPr>
            <w:tcW w:w="0" w:type="dxa"/>
            <w:vAlign w:val="bottom"/>
          </w:tcPr>
          <w:p>
            <w:pPr>
              <w:spacing w:after="0"/>
              <w:rPr>
                <w:sz w:val="1"/>
                <w:szCs w:val="1"/>
                <w:color w:val="auto"/>
              </w:rPr>
            </w:pPr>
          </w:p>
        </w:tc>
      </w:tr>
      <w:tr>
        <w:trPr>
          <w:trHeight w:val="225"/>
        </w:trPr>
        <w:tc>
          <w:tcPr>
            <w:tcW w:w="6940" w:type="dxa"/>
            <w:vAlign w:val="bottom"/>
          </w:tcPr>
          <w:p>
            <w:pPr>
              <w:ind w:left="100"/>
              <w:spacing w:after="0"/>
              <w:rPr>
                <w:sz w:val="20"/>
                <w:szCs w:val="20"/>
                <w:color w:val="auto"/>
              </w:rPr>
            </w:pPr>
            <w:r>
              <w:rPr>
                <w:rFonts w:ascii="Arial" w:cs="Arial" w:eastAsia="Arial" w:hAnsi="Arial"/>
                <w:sz w:val="17"/>
                <w:szCs w:val="17"/>
                <w:color w:val="auto"/>
              </w:rPr>
              <w:t>Accrued salaries and bonuses</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128.8</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138.7</w:t>
            </w:r>
          </w:p>
        </w:tc>
        <w:tc>
          <w:tcPr>
            <w:tcW w:w="0" w:type="dxa"/>
            <w:vAlign w:val="bottom"/>
          </w:tcPr>
          <w:p>
            <w:pPr>
              <w:spacing w:after="0"/>
              <w:rPr>
                <w:sz w:val="1"/>
                <w:szCs w:val="1"/>
                <w:color w:val="auto"/>
              </w:rPr>
            </w:pPr>
          </w:p>
        </w:tc>
      </w:tr>
      <w:tr>
        <w:trPr>
          <w:trHeight w:val="225"/>
        </w:trPr>
        <w:tc>
          <w:tcPr>
            <w:tcW w:w="6940" w:type="dxa"/>
            <w:vAlign w:val="bottom"/>
          </w:tcPr>
          <w:p>
            <w:pPr>
              <w:ind w:left="100"/>
              <w:spacing w:after="0"/>
              <w:rPr>
                <w:sz w:val="20"/>
                <w:szCs w:val="20"/>
                <w:color w:val="auto"/>
              </w:rPr>
            </w:pPr>
            <w:r>
              <w:rPr>
                <w:rFonts w:ascii="Arial" w:cs="Arial" w:eastAsia="Arial" w:hAnsi="Arial"/>
                <w:sz w:val="17"/>
                <w:szCs w:val="17"/>
                <w:color w:val="auto"/>
              </w:rPr>
              <w:t>Deferred revenue</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109.7</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132.9</w:t>
            </w:r>
          </w:p>
        </w:tc>
        <w:tc>
          <w:tcPr>
            <w:tcW w:w="0" w:type="dxa"/>
            <w:vAlign w:val="bottom"/>
          </w:tcPr>
          <w:p>
            <w:pPr>
              <w:spacing w:after="0"/>
              <w:rPr>
                <w:sz w:val="1"/>
                <w:szCs w:val="1"/>
                <w:color w:val="auto"/>
              </w:rPr>
            </w:pPr>
          </w:p>
        </w:tc>
      </w:tr>
      <w:tr>
        <w:trPr>
          <w:trHeight w:val="225"/>
        </w:trPr>
        <w:tc>
          <w:tcPr>
            <w:tcW w:w="6940" w:type="dxa"/>
            <w:vAlign w:val="bottom"/>
          </w:tcPr>
          <w:p>
            <w:pPr>
              <w:ind w:left="100"/>
              <w:spacing w:after="0"/>
              <w:rPr>
                <w:sz w:val="20"/>
                <w:szCs w:val="20"/>
                <w:color w:val="auto"/>
              </w:rPr>
            </w:pPr>
            <w:r>
              <w:rPr>
                <w:rFonts w:ascii="Arial" w:cs="Arial" w:eastAsia="Arial" w:hAnsi="Arial"/>
                <w:sz w:val="17"/>
                <w:szCs w:val="17"/>
                <w:color w:val="auto"/>
              </w:rPr>
              <w:t>Other current liabilities</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265.2</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296.6</w:t>
            </w:r>
          </w:p>
        </w:tc>
        <w:tc>
          <w:tcPr>
            <w:tcW w:w="0" w:type="dxa"/>
            <w:vAlign w:val="bottom"/>
          </w:tcPr>
          <w:p>
            <w:pPr>
              <w:spacing w:after="0"/>
              <w:rPr>
                <w:sz w:val="1"/>
                <w:szCs w:val="1"/>
                <w:color w:val="auto"/>
              </w:rPr>
            </w:pPr>
          </w:p>
        </w:tc>
      </w:tr>
      <w:tr>
        <w:trPr>
          <w:trHeight w:val="225"/>
        </w:trPr>
        <w:tc>
          <w:tcPr>
            <w:tcW w:w="6940" w:type="dxa"/>
            <w:vAlign w:val="bottom"/>
          </w:tcPr>
          <w:p>
            <w:pPr>
              <w:ind w:left="320"/>
              <w:spacing w:after="0"/>
              <w:rPr>
                <w:sz w:val="20"/>
                <w:szCs w:val="20"/>
                <w:color w:val="auto"/>
              </w:rPr>
            </w:pPr>
            <w:r>
              <w:rPr>
                <w:rFonts w:ascii="Arial" w:cs="Arial" w:eastAsia="Arial" w:hAnsi="Arial"/>
                <w:sz w:val="17"/>
                <w:szCs w:val="17"/>
                <w:color w:val="auto"/>
              </w:rPr>
              <w:t>Total current liabilities</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1,092.2</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2,015.2</w:t>
            </w:r>
          </w:p>
        </w:tc>
        <w:tc>
          <w:tcPr>
            <w:tcW w:w="0" w:type="dxa"/>
            <w:vAlign w:val="bottom"/>
          </w:tcPr>
          <w:p>
            <w:pPr>
              <w:spacing w:after="0"/>
              <w:rPr>
                <w:sz w:val="1"/>
                <w:szCs w:val="1"/>
                <w:color w:val="auto"/>
              </w:rPr>
            </w:pPr>
          </w:p>
        </w:tc>
      </w:tr>
      <w:tr>
        <w:trPr>
          <w:trHeight w:val="225"/>
        </w:trPr>
        <w:tc>
          <w:tcPr>
            <w:tcW w:w="6940" w:type="dxa"/>
            <w:vAlign w:val="bottom"/>
          </w:tcPr>
          <w:p>
            <w:pPr>
              <w:spacing w:after="0"/>
              <w:rPr>
                <w:sz w:val="20"/>
                <w:szCs w:val="20"/>
                <w:color w:val="auto"/>
              </w:rPr>
            </w:pPr>
            <w:r>
              <w:rPr>
                <w:rFonts w:ascii="Arial" w:cs="Arial" w:eastAsia="Arial" w:hAnsi="Arial"/>
                <w:sz w:val="17"/>
                <w:szCs w:val="17"/>
                <w:color w:val="auto"/>
              </w:rPr>
              <w:t>Long-term debt</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5,503.0</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4,820.1</w:t>
            </w:r>
          </w:p>
        </w:tc>
        <w:tc>
          <w:tcPr>
            <w:tcW w:w="0" w:type="dxa"/>
            <w:vAlign w:val="bottom"/>
          </w:tcPr>
          <w:p>
            <w:pPr>
              <w:spacing w:after="0"/>
              <w:rPr>
                <w:sz w:val="1"/>
                <w:szCs w:val="1"/>
                <w:color w:val="auto"/>
              </w:rPr>
            </w:pPr>
          </w:p>
        </w:tc>
      </w:tr>
      <w:tr>
        <w:trPr>
          <w:trHeight w:val="225"/>
        </w:trPr>
        <w:tc>
          <w:tcPr>
            <w:tcW w:w="6940" w:type="dxa"/>
            <w:vAlign w:val="bottom"/>
          </w:tcPr>
          <w:p>
            <w:pPr>
              <w:spacing w:after="0"/>
              <w:rPr>
                <w:sz w:val="20"/>
                <w:szCs w:val="20"/>
                <w:color w:val="auto"/>
              </w:rPr>
            </w:pPr>
            <w:r>
              <w:rPr>
                <w:rFonts w:ascii="Arial" w:cs="Arial" w:eastAsia="Arial" w:hAnsi="Arial"/>
                <w:sz w:val="17"/>
                <w:szCs w:val="17"/>
                <w:color w:val="auto"/>
              </w:rPr>
              <w:t>Deferred income tax liabilities, net</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460.5</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460.3</w:t>
            </w:r>
          </w:p>
        </w:tc>
        <w:tc>
          <w:tcPr>
            <w:tcW w:w="0" w:type="dxa"/>
            <w:vAlign w:val="bottom"/>
          </w:tcPr>
          <w:p>
            <w:pPr>
              <w:spacing w:after="0"/>
              <w:rPr>
                <w:sz w:val="1"/>
                <w:szCs w:val="1"/>
                <w:color w:val="auto"/>
              </w:rPr>
            </w:pPr>
          </w:p>
        </w:tc>
      </w:tr>
      <w:tr>
        <w:trPr>
          <w:trHeight w:val="225"/>
        </w:trPr>
        <w:tc>
          <w:tcPr>
            <w:tcW w:w="6940" w:type="dxa"/>
            <w:vAlign w:val="bottom"/>
          </w:tcPr>
          <w:p>
            <w:pPr>
              <w:spacing w:after="0"/>
              <w:rPr>
                <w:sz w:val="20"/>
                <w:szCs w:val="20"/>
                <w:color w:val="auto"/>
              </w:rPr>
            </w:pPr>
            <w:r>
              <w:rPr>
                <w:rFonts w:ascii="Arial" w:cs="Arial" w:eastAsia="Arial" w:hAnsi="Arial"/>
                <w:sz w:val="17"/>
                <w:szCs w:val="17"/>
                <w:color w:val="auto"/>
              </w:rPr>
              <w:t>Long-term pension and other postretirement benefit liabilities</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97.4</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100.4</w:t>
            </w:r>
          </w:p>
        </w:tc>
        <w:tc>
          <w:tcPr>
            <w:tcW w:w="0" w:type="dxa"/>
            <w:vAlign w:val="bottom"/>
          </w:tcPr>
          <w:p>
            <w:pPr>
              <w:spacing w:after="0"/>
              <w:rPr>
                <w:sz w:val="1"/>
                <w:szCs w:val="1"/>
                <w:color w:val="auto"/>
              </w:rPr>
            </w:pPr>
          </w:p>
        </w:tc>
      </w:tr>
      <w:tr>
        <w:trPr>
          <w:trHeight w:val="225"/>
        </w:trPr>
        <w:tc>
          <w:tcPr>
            <w:tcW w:w="6940" w:type="dxa"/>
            <w:vAlign w:val="bottom"/>
          </w:tcPr>
          <w:p>
            <w:pPr>
              <w:spacing w:after="0"/>
              <w:rPr>
                <w:sz w:val="20"/>
                <w:szCs w:val="20"/>
                <w:color w:val="auto"/>
              </w:rPr>
            </w:pPr>
            <w:r>
              <w:rPr>
                <w:rFonts w:ascii="Arial" w:cs="Arial" w:eastAsia="Arial" w:hAnsi="Arial"/>
                <w:sz w:val="17"/>
                <w:szCs w:val="17"/>
                <w:color w:val="auto"/>
              </w:rPr>
              <w:t>Other long-term liabilities</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176.5</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178.6</w:t>
            </w:r>
          </w:p>
        </w:tc>
        <w:tc>
          <w:tcPr>
            <w:tcW w:w="0" w:type="dxa"/>
            <w:vAlign w:val="bottom"/>
          </w:tcPr>
          <w:p>
            <w:pPr>
              <w:spacing w:after="0"/>
              <w:rPr>
                <w:sz w:val="1"/>
                <w:szCs w:val="1"/>
                <w:color w:val="auto"/>
              </w:rPr>
            </w:pPr>
          </w:p>
        </w:tc>
      </w:tr>
      <w:tr>
        <w:trPr>
          <w:trHeight w:val="225"/>
        </w:trPr>
        <w:tc>
          <w:tcPr>
            <w:tcW w:w="6940" w:type="dxa"/>
            <w:vAlign w:val="bottom"/>
          </w:tcPr>
          <w:p>
            <w:pPr>
              <w:ind w:left="100"/>
              <w:spacing w:after="0"/>
              <w:rPr>
                <w:sz w:val="20"/>
                <w:szCs w:val="20"/>
                <w:color w:val="auto"/>
              </w:rPr>
            </w:pPr>
            <w:r>
              <w:rPr>
                <w:rFonts w:ascii="Arial" w:cs="Arial" w:eastAsia="Arial" w:hAnsi="Arial"/>
                <w:sz w:val="17"/>
                <w:szCs w:val="17"/>
                <w:color w:val="auto"/>
              </w:rPr>
              <w:t>Total liabilities</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7,329.6</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7,574.6</w:t>
            </w:r>
          </w:p>
        </w:tc>
        <w:tc>
          <w:tcPr>
            <w:tcW w:w="0" w:type="dxa"/>
            <w:vAlign w:val="bottom"/>
          </w:tcPr>
          <w:p>
            <w:pPr>
              <w:spacing w:after="0"/>
              <w:rPr>
                <w:sz w:val="1"/>
                <w:szCs w:val="1"/>
                <w:color w:val="auto"/>
              </w:rPr>
            </w:pPr>
          </w:p>
        </w:tc>
      </w:tr>
      <w:tr>
        <w:trPr>
          <w:trHeight w:val="227"/>
        </w:trPr>
        <w:tc>
          <w:tcPr>
            <w:tcW w:w="6940" w:type="dxa"/>
            <w:vAlign w:val="bottom"/>
          </w:tcPr>
          <w:p>
            <w:pPr>
              <w:ind w:left="100"/>
              <w:spacing w:after="0"/>
              <w:rPr>
                <w:sz w:val="20"/>
                <w:szCs w:val="20"/>
                <w:color w:val="auto"/>
              </w:rPr>
            </w:pPr>
            <w:r>
              <w:rPr>
                <w:rFonts w:ascii="Arial" w:cs="Arial" w:eastAsia="Arial" w:hAnsi="Arial"/>
                <w:sz w:val="17"/>
                <w:szCs w:val="17"/>
                <w:color w:val="auto"/>
              </w:rPr>
              <w:t>Preferred stock, $0.01 par value: Authorized shares - 10.0; Issued shares - none</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w:t>
            </w:r>
          </w:p>
        </w:tc>
        <w:tc>
          <w:tcPr>
            <w:tcW w:w="60" w:type="dxa"/>
            <w:vAlign w:val="bottom"/>
          </w:tcPr>
          <w:p>
            <w:pPr>
              <w:spacing w:after="0"/>
              <w:rPr>
                <w:sz w:val="19"/>
                <w:szCs w:val="19"/>
                <w:color w:val="auto"/>
              </w:rPr>
            </w:pPr>
          </w:p>
        </w:tc>
        <w:tc>
          <w:tcPr>
            <w:tcW w:w="1460" w:type="dxa"/>
            <w:vAlign w:val="bottom"/>
          </w:tcPr>
          <w:p>
            <w:pPr>
              <w:jc w:val="right"/>
              <w:spacing w:after="0"/>
              <w:rPr>
                <w:sz w:val="20"/>
                <w:szCs w:val="20"/>
                <w:color w:val="auto"/>
              </w:rPr>
            </w:pP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195"/>
        </w:trPr>
        <w:tc>
          <w:tcPr>
            <w:tcW w:w="6940" w:type="dxa"/>
            <w:vAlign w:val="bottom"/>
          </w:tcPr>
          <w:p>
            <w:pPr>
              <w:ind w:left="100"/>
              <w:spacing w:after="0"/>
              <w:rPr>
                <w:sz w:val="20"/>
                <w:szCs w:val="20"/>
                <w:color w:val="auto"/>
              </w:rPr>
            </w:pPr>
            <w:r>
              <w:rPr>
                <w:rFonts w:ascii="Arial" w:cs="Arial" w:eastAsia="Arial" w:hAnsi="Arial"/>
                <w:sz w:val="17"/>
                <w:szCs w:val="17"/>
                <w:color w:val="auto"/>
              </w:rPr>
              <w:t>Common stock, $1.25 par value: Authorized shares - 300.0;</w:t>
            </w:r>
          </w:p>
        </w:tc>
        <w:tc>
          <w:tcPr>
            <w:tcW w:w="13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4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95"/>
        </w:trPr>
        <w:tc>
          <w:tcPr>
            <w:tcW w:w="6940" w:type="dxa"/>
            <w:vAlign w:val="bottom"/>
          </w:tcPr>
          <w:p>
            <w:pPr>
              <w:ind w:left="100"/>
              <w:spacing w:after="0"/>
              <w:rPr>
                <w:sz w:val="20"/>
                <w:szCs w:val="20"/>
                <w:color w:val="auto"/>
              </w:rPr>
            </w:pPr>
            <w:r>
              <w:rPr>
                <w:rFonts w:ascii="Arial" w:cs="Arial" w:eastAsia="Arial" w:hAnsi="Arial"/>
                <w:sz w:val="17"/>
                <w:szCs w:val="17"/>
                <w:color w:val="auto"/>
              </w:rPr>
              <w:t>Issued shares - 189.3 at June 30, 2023 and December 31, 2022;</w:t>
            </w:r>
          </w:p>
        </w:tc>
        <w:tc>
          <w:tcPr>
            <w:tcW w:w="13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4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95"/>
        </w:trPr>
        <w:tc>
          <w:tcPr>
            <w:tcW w:w="6940" w:type="dxa"/>
            <w:vAlign w:val="bottom"/>
          </w:tcPr>
          <w:p>
            <w:pPr>
              <w:ind w:left="100"/>
              <w:spacing w:after="0"/>
              <w:rPr>
                <w:sz w:val="20"/>
                <w:szCs w:val="20"/>
                <w:color w:val="auto"/>
              </w:rPr>
            </w:pPr>
            <w:r>
              <w:rPr>
                <w:rFonts w:ascii="Arial" w:cs="Arial" w:eastAsia="Arial" w:hAnsi="Arial"/>
                <w:sz w:val="17"/>
                <w:szCs w:val="17"/>
                <w:color w:val="auto"/>
              </w:rPr>
              <w:t>Outstanding shares - 122.7 and 122.5 at June 30, 2023 and December 31, 2022,</w:t>
            </w:r>
          </w:p>
        </w:tc>
        <w:tc>
          <w:tcPr>
            <w:tcW w:w="1340" w:type="dxa"/>
            <w:vAlign w:val="bottom"/>
            <w:vMerge w:val="restart"/>
          </w:tcPr>
          <w:p>
            <w:pPr>
              <w:jc w:val="right"/>
              <w:spacing w:after="0"/>
              <w:rPr>
                <w:sz w:val="20"/>
                <w:szCs w:val="20"/>
                <w:color w:val="auto"/>
              </w:rPr>
            </w:pPr>
            <w:r>
              <w:rPr>
                <w:rFonts w:ascii="Arial" w:cs="Arial" w:eastAsia="Arial" w:hAnsi="Arial"/>
                <w:sz w:val="17"/>
                <w:szCs w:val="17"/>
                <w:b w:val="1"/>
                <w:bCs w:val="1"/>
                <w:color w:val="auto"/>
              </w:rPr>
              <w:t>236.6</w:t>
            </w:r>
          </w:p>
        </w:tc>
        <w:tc>
          <w:tcPr>
            <w:tcW w:w="60" w:type="dxa"/>
            <w:vAlign w:val="bottom"/>
          </w:tcPr>
          <w:p>
            <w:pPr>
              <w:spacing w:after="0"/>
              <w:rPr>
                <w:sz w:val="16"/>
                <w:szCs w:val="16"/>
                <w:color w:val="auto"/>
              </w:rPr>
            </w:pPr>
          </w:p>
        </w:tc>
        <w:tc>
          <w:tcPr>
            <w:tcW w:w="14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23"/>
        </w:trPr>
        <w:tc>
          <w:tcPr>
            <w:tcW w:w="6940" w:type="dxa"/>
            <w:vAlign w:val="bottom"/>
          </w:tcPr>
          <w:p>
            <w:pPr>
              <w:ind w:left="100"/>
              <w:spacing w:after="0"/>
              <w:rPr>
                <w:sz w:val="20"/>
                <w:szCs w:val="20"/>
                <w:color w:val="auto"/>
              </w:rPr>
            </w:pPr>
            <w:r>
              <w:rPr>
                <w:rFonts w:ascii="Arial" w:cs="Arial" w:eastAsia="Arial" w:hAnsi="Arial"/>
                <w:sz w:val="17"/>
                <w:szCs w:val="17"/>
                <w:color w:val="auto"/>
              </w:rPr>
              <w:t>respectively</w:t>
            </w:r>
          </w:p>
        </w:tc>
        <w:tc>
          <w:tcPr>
            <w:tcW w:w="1340" w:type="dxa"/>
            <w:vAlign w:val="bottom"/>
            <w:vMerge w:val="continue"/>
          </w:tcPr>
          <w:p>
            <w:pPr>
              <w:spacing w:after="0"/>
              <w:rPr>
                <w:sz w:val="19"/>
                <w:szCs w:val="19"/>
                <w:color w:val="auto"/>
              </w:rPr>
            </w:pP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236.6</w:t>
            </w:r>
          </w:p>
        </w:tc>
        <w:tc>
          <w:tcPr>
            <w:tcW w:w="0" w:type="dxa"/>
            <w:vAlign w:val="bottom"/>
          </w:tcPr>
          <w:p>
            <w:pPr>
              <w:spacing w:after="0"/>
              <w:rPr>
                <w:sz w:val="1"/>
                <w:szCs w:val="1"/>
                <w:color w:val="auto"/>
              </w:rPr>
            </w:pPr>
          </w:p>
        </w:tc>
      </w:tr>
      <w:tr>
        <w:trPr>
          <w:trHeight w:val="225"/>
        </w:trPr>
        <w:tc>
          <w:tcPr>
            <w:tcW w:w="6940" w:type="dxa"/>
            <w:vAlign w:val="bottom"/>
          </w:tcPr>
          <w:p>
            <w:pPr>
              <w:ind w:left="100"/>
              <w:spacing w:after="0"/>
              <w:rPr>
                <w:sz w:val="20"/>
                <w:szCs w:val="20"/>
                <w:color w:val="auto"/>
              </w:rPr>
            </w:pPr>
            <w:r>
              <w:rPr>
                <w:rFonts w:ascii="Arial" w:cs="Arial" w:eastAsia="Arial" w:hAnsi="Arial"/>
                <w:sz w:val="17"/>
                <w:szCs w:val="17"/>
                <w:color w:val="auto"/>
              </w:rPr>
              <w:t>Paid-in capital</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1,650.5</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1,594.2</w:t>
            </w:r>
          </w:p>
        </w:tc>
        <w:tc>
          <w:tcPr>
            <w:tcW w:w="0" w:type="dxa"/>
            <w:vAlign w:val="bottom"/>
          </w:tcPr>
          <w:p>
            <w:pPr>
              <w:spacing w:after="0"/>
              <w:rPr>
                <w:sz w:val="1"/>
                <w:szCs w:val="1"/>
                <w:color w:val="auto"/>
              </w:rPr>
            </w:pPr>
          </w:p>
        </w:tc>
      </w:tr>
      <w:tr>
        <w:trPr>
          <w:trHeight w:val="225"/>
        </w:trPr>
        <w:tc>
          <w:tcPr>
            <w:tcW w:w="6940" w:type="dxa"/>
            <w:vAlign w:val="bottom"/>
          </w:tcPr>
          <w:p>
            <w:pPr>
              <w:ind w:left="100"/>
              <w:spacing w:after="0"/>
              <w:rPr>
                <w:sz w:val="20"/>
                <w:szCs w:val="20"/>
                <w:color w:val="auto"/>
              </w:rPr>
            </w:pPr>
            <w:r>
              <w:rPr>
                <w:rFonts w:ascii="Arial" w:cs="Arial" w:eastAsia="Arial" w:hAnsi="Arial"/>
                <w:sz w:val="17"/>
                <w:szCs w:val="17"/>
                <w:color w:val="auto"/>
              </w:rPr>
              <w:t>Retained earnings</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5,410.5</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5,256.0</w:t>
            </w:r>
          </w:p>
        </w:tc>
        <w:tc>
          <w:tcPr>
            <w:tcW w:w="0" w:type="dxa"/>
            <w:vAlign w:val="bottom"/>
          </w:tcPr>
          <w:p>
            <w:pPr>
              <w:spacing w:after="0"/>
              <w:rPr>
                <w:sz w:val="1"/>
                <w:szCs w:val="1"/>
                <w:color w:val="auto"/>
              </w:rPr>
            </w:pPr>
          </w:p>
        </w:tc>
      </w:tr>
      <w:tr>
        <w:trPr>
          <w:trHeight w:val="227"/>
        </w:trPr>
        <w:tc>
          <w:tcPr>
            <w:tcW w:w="6940" w:type="dxa"/>
            <w:vAlign w:val="bottom"/>
          </w:tcPr>
          <w:p>
            <w:pPr>
              <w:ind w:left="100"/>
              <w:spacing w:after="0"/>
              <w:rPr>
                <w:sz w:val="20"/>
                <w:szCs w:val="20"/>
                <w:color w:val="auto"/>
              </w:rPr>
            </w:pPr>
            <w:r>
              <w:rPr>
                <w:rFonts w:ascii="Arial" w:cs="Arial" w:eastAsia="Arial" w:hAnsi="Arial"/>
                <w:sz w:val="17"/>
                <w:szCs w:val="17"/>
                <w:color w:val="auto"/>
              </w:rPr>
              <w:t>Accumulated other comprehensive loss</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(445.9)</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(473.7)</w:t>
            </w:r>
          </w:p>
        </w:tc>
        <w:tc>
          <w:tcPr>
            <w:tcW w:w="0" w:type="dxa"/>
            <w:vAlign w:val="bottom"/>
          </w:tcPr>
          <w:p>
            <w:pPr>
              <w:spacing w:after="0"/>
              <w:rPr>
                <w:sz w:val="1"/>
                <w:szCs w:val="1"/>
                <w:color w:val="auto"/>
              </w:rPr>
            </w:pPr>
          </w:p>
        </w:tc>
      </w:tr>
      <w:tr>
        <w:trPr>
          <w:trHeight w:val="195"/>
        </w:trPr>
        <w:tc>
          <w:tcPr>
            <w:tcW w:w="6940" w:type="dxa"/>
            <w:vAlign w:val="bottom"/>
          </w:tcPr>
          <w:p>
            <w:pPr>
              <w:ind w:left="100"/>
              <w:spacing w:after="0"/>
              <w:rPr>
                <w:sz w:val="20"/>
                <w:szCs w:val="20"/>
                <w:color w:val="auto"/>
              </w:rPr>
            </w:pPr>
            <w:r>
              <w:rPr>
                <w:rFonts w:ascii="Arial" w:cs="Arial" w:eastAsia="Arial" w:hAnsi="Arial"/>
                <w:sz w:val="17"/>
                <w:szCs w:val="17"/>
                <w:color w:val="auto"/>
              </w:rPr>
              <w:t>Treasury stock, at cost, 66.0 and 66.2 shares at June 30, 2023 and December 31, 2022,</w:t>
            </w:r>
          </w:p>
        </w:tc>
        <w:tc>
          <w:tcPr>
            <w:tcW w:w="1340" w:type="dxa"/>
            <w:vAlign w:val="bottom"/>
            <w:vMerge w:val="restart"/>
          </w:tcPr>
          <w:p>
            <w:pPr>
              <w:jc w:val="right"/>
              <w:spacing w:after="0"/>
              <w:rPr>
                <w:sz w:val="20"/>
                <w:szCs w:val="20"/>
                <w:color w:val="auto"/>
              </w:rPr>
            </w:pPr>
            <w:r>
              <w:rPr>
                <w:rFonts w:ascii="Arial" w:cs="Arial" w:eastAsia="Arial" w:hAnsi="Arial"/>
                <w:sz w:val="17"/>
                <w:szCs w:val="17"/>
                <w:b w:val="1"/>
                <w:bCs w:val="1"/>
                <w:color w:val="auto"/>
              </w:rPr>
              <w:t>(2,654.6)</w:t>
            </w:r>
          </w:p>
        </w:tc>
        <w:tc>
          <w:tcPr>
            <w:tcW w:w="60" w:type="dxa"/>
            <w:vAlign w:val="bottom"/>
          </w:tcPr>
          <w:p>
            <w:pPr>
              <w:spacing w:after="0"/>
              <w:rPr>
                <w:sz w:val="16"/>
                <w:szCs w:val="16"/>
                <w:color w:val="auto"/>
              </w:rPr>
            </w:pPr>
          </w:p>
        </w:tc>
        <w:tc>
          <w:tcPr>
            <w:tcW w:w="14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25"/>
        </w:trPr>
        <w:tc>
          <w:tcPr>
            <w:tcW w:w="6940" w:type="dxa"/>
            <w:vAlign w:val="bottom"/>
          </w:tcPr>
          <w:p>
            <w:pPr>
              <w:ind w:left="100"/>
              <w:spacing w:after="0"/>
              <w:rPr>
                <w:sz w:val="20"/>
                <w:szCs w:val="20"/>
                <w:color w:val="auto"/>
              </w:rPr>
            </w:pPr>
            <w:r>
              <w:rPr>
                <w:rFonts w:ascii="Arial" w:cs="Arial" w:eastAsia="Arial" w:hAnsi="Arial"/>
                <w:sz w:val="17"/>
                <w:szCs w:val="17"/>
                <w:color w:val="auto"/>
              </w:rPr>
              <w:t>respectively</w:t>
            </w:r>
          </w:p>
        </w:tc>
        <w:tc>
          <w:tcPr>
            <w:tcW w:w="1340" w:type="dxa"/>
            <w:vAlign w:val="bottom"/>
            <w:vMerge w:val="continue"/>
          </w:tcPr>
          <w:p>
            <w:pPr>
              <w:spacing w:after="0"/>
              <w:rPr>
                <w:sz w:val="19"/>
                <w:szCs w:val="19"/>
                <w:color w:val="auto"/>
              </w:rPr>
            </w:pP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(2,650.7)</w:t>
            </w:r>
          </w:p>
        </w:tc>
        <w:tc>
          <w:tcPr>
            <w:tcW w:w="0" w:type="dxa"/>
            <w:vAlign w:val="bottom"/>
          </w:tcPr>
          <w:p>
            <w:pPr>
              <w:spacing w:after="0"/>
              <w:rPr>
                <w:sz w:val="1"/>
                <w:szCs w:val="1"/>
                <w:color w:val="auto"/>
              </w:rPr>
            </w:pPr>
          </w:p>
        </w:tc>
      </w:tr>
      <w:tr>
        <w:trPr>
          <w:trHeight w:val="195"/>
        </w:trPr>
        <w:tc>
          <w:tcPr>
            <w:tcW w:w="6940" w:type="dxa"/>
            <w:vAlign w:val="bottom"/>
          </w:tcPr>
          <w:p>
            <w:pPr>
              <w:ind w:left="100"/>
              <w:spacing w:after="0"/>
              <w:rPr>
                <w:sz w:val="20"/>
                <w:szCs w:val="20"/>
                <w:color w:val="auto"/>
              </w:rPr>
            </w:pPr>
            <w:r>
              <w:rPr>
                <w:rFonts w:ascii="Arial" w:cs="Arial" w:eastAsia="Arial" w:hAnsi="Arial"/>
                <w:sz w:val="17"/>
                <w:szCs w:val="17"/>
                <w:color w:val="auto"/>
              </w:rPr>
              <w:t>Stock held by employee benefit trusts, at cost, 0.6 shares at June 30, 2023 and</w:t>
            </w:r>
          </w:p>
        </w:tc>
        <w:tc>
          <w:tcPr>
            <w:tcW w:w="1340" w:type="dxa"/>
            <w:vAlign w:val="bottom"/>
            <w:vMerge w:val="restart"/>
          </w:tcPr>
          <w:p>
            <w:pPr>
              <w:jc w:val="right"/>
              <w:spacing w:after="0"/>
              <w:rPr>
                <w:sz w:val="20"/>
                <w:szCs w:val="20"/>
                <w:color w:val="auto"/>
              </w:rPr>
            </w:pPr>
            <w:r>
              <w:rPr>
                <w:rFonts w:ascii="Arial" w:cs="Arial" w:eastAsia="Arial" w:hAnsi="Arial"/>
                <w:sz w:val="17"/>
                <w:szCs w:val="17"/>
                <w:b w:val="1"/>
                <w:bCs w:val="1"/>
                <w:color w:val="auto"/>
              </w:rPr>
              <w:t>(5.9)</w:t>
            </w:r>
          </w:p>
        </w:tc>
        <w:tc>
          <w:tcPr>
            <w:tcW w:w="60" w:type="dxa"/>
            <w:vAlign w:val="bottom"/>
          </w:tcPr>
          <w:p>
            <w:pPr>
              <w:spacing w:after="0"/>
              <w:rPr>
                <w:sz w:val="16"/>
                <w:szCs w:val="16"/>
                <w:color w:val="auto"/>
              </w:rPr>
            </w:pPr>
          </w:p>
        </w:tc>
        <w:tc>
          <w:tcPr>
            <w:tcW w:w="14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23"/>
        </w:trPr>
        <w:tc>
          <w:tcPr>
            <w:tcW w:w="6940" w:type="dxa"/>
            <w:vAlign w:val="bottom"/>
          </w:tcPr>
          <w:p>
            <w:pPr>
              <w:ind w:left="100"/>
              <w:spacing w:after="0"/>
              <w:rPr>
                <w:sz w:val="20"/>
                <w:szCs w:val="20"/>
                <w:color w:val="auto"/>
              </w:rPr>
            </w:pPr>
            <w:r>
              <w:rPr>
                <w:rFonts w:ascii="Arial" w:cs="Arial" w:eastAsia="Arial" w:hAnsi="Arial"/>
                <w:sz w:val="17"/>
                <w:szCs w:val="17"/>
                <w:color w:val="auto"/>
              </w:rPr>
              <w:t>December 31, 2022</w:t>
            </w:r>
          </w:p>
        </w:tc>
        <w:tc>
          <w:tcPr>
            <w:tcW w:w="1340" w:type="dxa"/>
            <w:vAlign w:val="bottom"/>
            <w:vMerge w:val="continue"/>
          </w:tcPr>
          <w:p>
            <w:pPr>
              <w:spacing w:after="0"/>
              <w:rPr>
                <w:sz w:val="19"/>
                <w:szCs w:val="19"/>
                <w:color w:val="auto"/>
              </w:rPr>
            </w:pP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(5.9)</w:t>
            </w:r>
          </w:p>
        </w:tc>
        <w:tc>
          <w:tcPr>
            <w:tcW w:w="0" w:type="dxa"/>
            <w:vAlign w:val="bottom"/>
          </w:tcPr>
          <w:p>
            <w:pPr>
              <w:spacing w:after="0"/>
              <w:rPr>
                <w:sz w:val="1"/>
                <w:szCs w:val="1"/>
                <w:color w:val="auto"/>
              </w:rPr>
            </w:pPr>
          </w:p>
        </w:tc>
      </w:tr>
      <w:tr>
        <w:trPr>
          <w:trHeight w:val="225"/>
        </w:trPr>
        <w:tc>
          <w:tcPr>
            <w:tcW w:w="6940" w:type="dxa"/>
            <w:vAlign w:val="bottom"/>
          </w:tcPr>
          <w:p>
            <w:pPr>
              <w:ind w:left="100"/>
              <w:spacing w:after="0"/>
              <w:rPr>
                <w:sz w:val="20"/>
                <w:szCs w:val="20"/>
                <w:color w:val="auto"/>
              </w:rPr>
            </w:pPr>
            <w:r>
              <w:rPr>
                <w:rFonts w:ascii="Arial" w:cs="Arial" w:eastAsia="Arial" w:hAnsi="Arial"/>
                <w:sz w:val="17"/>
                <w:szCs w:val="17"/>
                <w:color w:val="auto"/>
              </w:rPr>
              <w:t>Total Equifax shareholders' equity</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4,191.2</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3,956.5</w:t>
            </w:r>
          </w:p>
        </w:tc>
        <w:tc>
          <w:tcPr>
            <w:tcW w:w="0" w:type="dxa"/>
            <w:vAlign w:val="bottom"/>
          </w:tcPr>
          <w:p>
            <w:pPr>
              <w:spacing w:after="0"/>
              <w:rPr>
                <w:sz w:val="1"/>
                <w:szCs w:val="1"/>
                <w:color w:val="auto"/>
              </w:rPr>
            </w:pPr>
          </w:p>
        </w:tc>
      </w:tr>
      <w:tr>
        <w:trPr>
          <w:trHeight w:val="225"/>
        </w:trPr>
        <w:tc>
          <w:tcPr>
            <w:tcW w:w="6940" w:type="dxa"/>
            <w:vAlign w:val="bottom"/>
          </w:tcPr>
          <w:p>
            <w:pPr>
              <w:spacing w:after="0"/>
              <w:rPr>
                <w:sz w:val="20"/>
                <w:szCs w:val="20"/>
                <w:color w:val="auto"/>
              </w:rPr>
            </w:pPr>
            <w:r>
              <w:rPr>
                <w:rFonts w:ascii="Arial" w:cs="Arial" w:eastAsia="Arial" w:hAnsi="Arial"/>
                <w:sz w:val="17"/>
                <w:szCs w:val="17"/>
                <w:color w:val="auto"/>
              </w:rPr>
              <w:t>Noncontrolling interests including redeemable noncontrolling interests</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17.1</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16.8</w:t>
            </w:r>
          </w:p>
        </w:tc>
        <w:tc>
          <w:tcPr>
            <w:tcW w:w="0" w:type="dxa"/>
            <w:vAlign w:val="bottom"/>
          </w:tcPr>
          <w:p>
            <w:pPr>
              <w:spacing w:after="0"/>
              <w:rPr>
                <w:sz w:val="1"/>
                <w:szCs w:val="1"/>
                <w:color w:val="auto"/>
              </w:rPr>
            </w:pPr>
          </w:p>
        </w:tc>
      </w:tr>
      <w:tr>
        <w:trPr>
          <w:trHeight w:val="225"/>
        </w:trPr>
        <w:tc>
          <w:tcPr>
            <w:tcW w:w="6940" w:type="dxa"/>
            <w:vAlign w:val="bottom"/>
          </w:tcPr>
          <w:p>
            <w:pPr>
              <w:ind w:left="100"/>
              <w:spacing w:after="0"/>
              <w:rPr>
                <w:sz w:val="20"/>
                <w:szCs w:val="20"/>
                <w:color w:val="auto"/>
              </w:rPr>
            </w:pPr>
            <w:r>
              <w:rPr>
                <w:rFonts w:ascii="Arial" w:cs="Arial" w:eastAsia="Arial" w:hAnsi="Arial"/>
                <w:sz w:val="17"/>
                <w:szCs w:val="17"/>
                <w:color w:val="auto"/>
              </w:rPr>
              <w:t>Total equity</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4,208.3</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3,973.3</w:t>
            </w:r>
          </w:p>
        </w:tc>
        <w:tc>
          <w:tcPr>
            <w:tcW w:w="0" w:type="dxa"/>
            <w:vAlign w:val="bottom"/>
          </w:tcPr>
          <w:p>
            <w:pPr>
              <w:spacing w:after="0"/>
              <w:rPr>
                <w:sz w:val="1"/>
                <w:szCs w:val="1"/>
                <w:color w:val="auto"/>
              </w:rPr>
            </w:pPr>
          </w:p>
        </w:tc>
      </w:tr>
      <w:tr>
        <w:trPr>
          <w:trHeight w:val="195"/>
        </w:trPr>
        <w:tc>
          <w:tcPr>
            <w:tcW w:w="6940" w:type="dxa"/>
            <w:vAlign w:val="bottom"/>
          </w:tcPr>
          <w:p>
            <w:pPr>
              <w:spacing w:after="0"/>
              <w:rPr>
                <w:sz w:val="16"/>
                <w:szCs w:val="16"/>
                <w:color w:val="auto"/>
              </w:rPr>
            </w:pPr>
          </w:p>
        </w:tc>
        <w:tc>
          <w:tcPr>
            <w:tcW w:w="1340" w:type="dxa"/>
            <w:vAlign w:val="bottom"/>
          </w:tcPr>
          <w:p>
            <w:pPr>
              <w:jc w:val="right"/>
              <w:ind w:right="558"/>
              <w:spacing w:after="0"/>
              <w:rPr>
                <w:sz w:val="20"/>
                <w:szCs w:val="20"/>
                <w:color w:val="auto"/>
              </w:rPr>
            </w:pPr>
            <w:r>
              <w:rPr>
                <w:rFonts w:ascii="Arial" w:cs="Arial" w:eastAsia="Arial" w:hAnsi="Arial"/>
                <w:sz w:val="17"/>
                <w:szCs w:val="17"/>
                <w:b w:val="1"/>
                <w:bCs w:val="1"/>
                <w:color w:val="auto"/>
              </w:rPr>
              <w:t>$</w:t>
            </w:r>
          </w:p>
        </w:tc>
        <w:tc>
          <w:tcPr>
            <w:tcW w:w="1500" w:type="dxa"/>
            <w:vAlign w:val="bottom"/>
            <w:gridSpan w:val="2"/>
          </w:tcPr>
          <w:p>
            <w:pPr>
              <w:jc w:val="right"/>
              <w:ind w:right="658"/>
              <w:spacing w:after="0"/>
              <w:rPr>
                <w:sz w:val="20"/>
                <w:szCs w:val="20"/>
                <w:color w:val="auto"/>
              </w:rPr>
            </w:pP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231"/>
        </w:trPr>
        <w:tc>
          <w:tcPr>
            <w:tcW w:w="6940" w:type="dxa"/>
            <w:vAlign w:val="bottom"/>
          </w:tcPr>
          <w:p>
            <w:pPr>
              <w:ind w:left="220"/>
              <w:spacing w:after="0"/>
              <w:rPr>
                <w:sz w:val="20"/>
                <w:szCs w:val="20"/>
                <w:color w:val="auto"/>
              </w:rPr>
            </w:pPr>
            <w:r>
              <w:rPr>
                <w:rFonts w:ascii="Arial" w:cs="Arial" w:eastAsia="Arial" w:hAnsi="Arial"/>
                <w:sz w:val="17"/>
                <w:szCs w:val="17"/>
                <w:color w:val="auto"/>
              </w:rPr>
              <w:t>Total liabilities and equity</w:t>
            </w:r>
          </w:p>
        </w:tc>
        <w:tc>
          <w:tcPr>
            <w:tcW w:w="1340" w:type="dxa"/>
            <w:vAlign w:val="bottom"/>
          </w:tcPr>
          <w:p>
            <w:pPr>
              <w:jc w:val="right"/>
              <w:spacing w:after="0"/>
              <w:rPr>
                <w:sz w:val="20"/>
                <w:szCs w:val="20"/>
                <w:color w:val="auto"/>
              </w:rPr>
            </w:pPr>
            <w:r>
              <w:rPr>
                <w:rFonts w:ascii="Arial" w:cs="Arial" w:eastAsia="Arial" w:hAnsi="Arial"/>
                <w:sz w:val="17"/>
                <w:szCs w:val="17"/>
                <w:b w:val="1"/>
                <w:bCs w:val="1"/>
                <w:color w:val="auto"/>
              </w:rPr>
              <w:t>11,537.9</w:t>
            </w:r>
          </w:p>
        </w:tc>
        <w:tc>
          <w:tcPr>
            <w:tcW w:w="1500" w:type="dxa"/>
            <w:vAlign w:val="bottom"/>
            <w:gridSpan w:val="2"/>
          </w:tcPr>
          <w:p>
            <w:pPr>
              <w:jc w:val="right"/>
              <w:spacing w:after="0"/>
              <w:rPr>
                <w:sz w:val="20"/>
                <w:szCs w:val="20"/>
                <w:color w:val="auto"/>
              </w:rPr>
            </w:pPr>
            <w:r>
              <w:rPr>
                <w:rFonts w:ascii="Arial" w:cs="Arial" w:eastAsia="Arial" w:hAnsi="Arial"/>
                <w:sz w:val="17"/>
                <w:szCs w:val="17"/>
                <w:color w:val="auto"/>
              </w:rPr>
              <w:t>11,547.9</w:t>
            </w:r>
          </w:p>
        </w:tc>
        <w:tc>
          <w:tcPr>
            <w:tcW w:w="0" w:type="dxa"/>
            <w:vAlign w:val="bottom"/>
          </w:tcPr>
          <w:p>
            <w:pPr>
              <w:spacing w:after="0"/>
              <w:rPr>
                <w:sz w:val="1"/>
                <w:szCs w:val="1"/>
                <w:color w:val="auto"/>
              </w:rPr>
            </w:pPr>
          </w:p>
        </w:tc>
      </w:tr>
      <w:tr>
        <w:trPr>
          <w:trHeight w:val="25"/>
        </w:trPr>
        <w:tc>
          <w:tcPr>
            <w:tcW w:w="6940" w:type="dxa"/>
            <w:vAlign w:val="bottom"/>
          </w:tcPr>
          <w:p>
            <w:pPr>
              <w:spacing w:after="0"/>
              <w:rPr>
                <w:sz w:val="2"/>
                <w:szCs w:val="2"/>
                <w:color w:val="auto"/>
              </w:rPr>
            </w:pPr>
          </w:p>
        </w:tc>
        <w:tc>
          <w:tcPr>
            <w:tcW w:w="1340" w:type="dxa"/>
            <w:vAlign w:val="bottom"/>
            <w:tcBorders>
              <w:top w:val="single" w:sz="8" w:color="auto"/>
              <w:bottom w:val="single" w:sz="8" w:color="auto"/>
            </w:tcBorders>
          </w:tcPr>
          <w:p>
            <w:pPr>
              <w:spacing w:after="0"/>
              <w:rPr>
                <w:sz w:val="2"/>
                <w:szCs w:val="2"/>
                <w:color w:val="auto"/>
              </w:rPr>
            </w:pPr>
          </w:p>
        </w:tc>
        <w:tc>
          <w:tcPr>
            <w:tcW w:w="60" w:type="dxa"/>
            <w:vAlign w:val="bottom"/>
          </w:tcPr>
          <w:p>
            <w:pPr>
              <w:spacing w:after="0"/>
              <w:rPr>
                <w:sz w:val="2"/>
                <w:szCs w:val="2"/>
                <w:color w:val="auto"/>
              </w:rPr>
            </w:pPr>
          </w:p>
        </w:tc>
        <w:tc>
          <w:tcPr>
            <w:tcW w:w="1460" w:type="dxa"/>
            <w:vAlign w:val="bottom"/>
            <w:tcBorders>
              <w:top w:val="single" w:sz="8" w:color="auto"/>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ectPr>
          <w:pgSz w:w="12240" w:h="15840" w:orient="portrait"/>
          <w:cols w:equalWidth="0" w:num="1">
            <w:col w:w="9780"/>
          </w:cols>
          <w:pgMar w:left="1260" w:top="1075" w:right="1200" w:bottom="740" w:gutter="0" w:footer="0" w:header="0"/>
        </w:sectPr>
      </w:pPr>
    </w:p>
    <w:bookmarkStart w:id="7" w:name="page8"/>
    <w:bookmarkEnd w:id="7"/>
    <w:p>
      <w:pPr>
        <w:ind w:left="60"/>
        <w:spacing w:after="0"/>
        <w:rPr>
          <w:sz w:val="20"/>
          <w:szCs w:val="20"/>
          <w:color w:val="auto"/>
        </w:rPr>
      </w:pPr>
      <w:r>
        <w:rPr>
          <w:rFonts w:ascii="Arial" w:cs="Arial" w:eastAsia="Arial" w:hAnsi="Arial"/>
          <w:sz w:val="17"/>
          <w:szCs w:val="17"/>
          <w:color w:val="auto"/>
        </w:rPr>
        <w:t>EQUIFAX</w:t>
      </w:r>
    </w:p>
    <w:p>
      <w:pPr>
        <w:spacing w:after="0" w:line="20" w:lineRule="exact"/>
        <w:rPr>
          <w:sz w:val="20"/>
          <w:szCs w:val="20"/>
          <w:color w:val="auto"/>
        </w:rPr>
      </w:pPr>
    </w:p>
    <w:p>
      <w:pPr>
        <w:ind w:left="60"/>
        <w:spacing w:after="0"/>
        <w:rPr>
          <w:sz w:val="20"/>
          <w:szCs w:val="20"/>
          <w:color w:val="auto"/>
        </w:rPr>
      </w:pPr>
      <w:r>
        <w:rPr>
          <w:rFonts w:ascii="Arial" w:cs="Arial" w:eastAsia="Arial" w:hAnsi="Arial"/>
          <w:sz w:val="17"/>
          <w:szCs w:val="17"/>
          <w:b w:val="1"/>
          <w:bCs w:val="1"/>
          <w:u w:val="single" w:color="auto"/>
          <w:color w:val="auto"/>
        </w:rPr>
        <w:t>CONSOLIDATED STATEMENTS OF CASH FLOWS</w:t>
      </w:r>
    </w:p>
    <w:p>
      <w:pPr>
        <w:spacing w:after="0" w:line="233" w:lineRule="exact"/>
        <w:rPr>
          <w:sz w:val="20"/>
          <w:szCs w:val="20"/>
          <w:color w:val="auto"/>
        </w:rPr>
      </w:pPr>
    </w:p>
    <w:p>
      <w:pPr>
        <w:jc w:val="right"/>
        <w:ind w:right="360"/>
        <w:spacing w:after="0"/>
        <w:rPr>
          <w:sz w:val="20"/>
          <w:szCs w:val="20"/>
          <w:color w:val="auto"/>
        </w:rPr>
      </w:pPr>
      <w:r>
        <w:rPr>
          <w:rFonts w:ascii="Arial" w:cs="Arial" w:eastAsia="Arial" w:hAnsi="Arial"/>
          <w:sz w:val="17"/>
          <w:szCs w:val="17"/>
          <w:b w:val="1"/>
          <w:bCs w:val="1"/>
          <w:color w:val="auto"/>
        </w:rPr>
        <w:t>Six Months Ended June 30,</w:t>
      </w:r>
    </w:p>
    <w:p>
      <w:pPr>
        <w:spacing w:after="0" w:line="36" w:lineRule="exact"/>
        <w:rPr>
          <w:sz w:val="20"/>
          <w:szCs w:val="20"/>
          <w:color w:val="auto"/>
        </w:rPr>
      </w:pPr>
    </w:p>
    <w:p>
      <w:pPr>
        <w:ind w:left="7440"/>
        <w:spacing w:after="0"/>
        <w:tabs>
          <w:tab w:leader="none" w:pos="8920" w:val="left"/>
        </w:tabs>
        <w:rPr>
          <w:sz w:val="20"/>
          <w:szCs w:val="20"/>
          <w:color w:val="auto"/>
        </w:rPr>
      </w:pPr>
      <w:r>
        <w:rPr>
          <w:rFonts w:ascii="Arial" w:cs="Arial" w:eastAsia="Arial" w:hAnsi="Arial"/>
          <w:sz w:val="17"/>
          <w:szCs w:val="17"/>
          <w:b w:val="1"/>
          <w:bCs w:val="1"/>
          <w:color w:val="auto"/>
        </w:rPr>
        <w:t>2023</w:t>
      </w:r>
      <w:r>
        <w:rPr>
          <w:sz w:val="20"/>
          <w:szCs w:val="20"/>
          <w:color w:val="auto"/>
        </w:rPr>
        <w:tab/>
      </w:r>
      <w:r>
        <w:rPr>
          <w:rFonts w:ascii="Arial" w:cs="Arial" w:eastAsia="Arial" w:hAnsi="Arial"/>
          <w:sz w:val="17"/>
          <w:szCs w:val="17"/>
          <w:b w:val="1"/>
          <w:bCs w:val="1"/>
          <w:color w:val="auto"/>
        </w:rPr>
        <w:t>2022</w:t>
      </w:r>
    </w:p>
    <w:p>
      <w:pPr>
        <w:sectPr>
          <w:pgSz w:w="12240" w:h="15840" w:orient="portrait"/>
          <w:cols w:equalWidth="0" w:num="1">
            <w:col w:w="9820"/>
          </w:cols>
          <w:pgMar w:left="1200" w:top="1075" w:right="1220" w:bottom="1440" w:gutter="0" w:footer="0" w:header="0"/>
        </w:sectPr>
      </w:pPr>
    </w:p>
    <w:p>
      <w:pPr>
        <w:spacing w:after="0" w:line="30" w:lineRule="exact"/>
        <w:rPr>
          <w:sz w:val="20"/>
          <w:szCs w:val="20"/>
          <w:color w:val="auto"/>
        </w:rPr>
      </w:pPr>
    </w:p>
    <w:p>
      <w:pPr>
        <w:ind w:left="60"/>
        <w:spacing w:after="0"/>
        <w:rPr>
          <w:sz w:val="20"/>
          <w:szCs w:val="20"/>
          <w:color w:val="auto"/>
        </w:rPr>
      </w:pPr>
      <w:r>
        <w:rPr>
          <w:rFonts w:ascii="Arial" w:cs="Arial" w:eastAsia="Arial" w:hAnsi="Arial"/>
          <w:sz w:val="17"/>
          <w:szCs w:val="17"/>
          <w:i w:val="1"/>
          <w:iCs w:val="1"/>
          <w:color w:val="auto"/>
        </w:rPr>
        <w:t>(In millions)</w:t>
      </w:r>
    </w:p>
    <w:p>
      <w:pPr>
        <w:spacing w:after="0" w:line="25" w:lineRule="exact"/>
        <w:rPr>
          <w:sz w:val="20"/>
          <w:szCs w:val="20"/>
          <w:color w:val="auto"/>
        </w:rPr>
      </w:pPr>
    </w:p>
    <w:p>
      <w:pPr>
        <w:ind w:left="60"/>
        <w:spacing w:after="0"/>
        <w:rPr>
          <w:sz w:val="20"/>
          <w:szCs w:val="20"/>
          <w:color w:val="auto"/>
        </w:rPr>
      </w:pPr>
      <w:r>
        <w:rPr>
          <w:rFonts w:ascii="Arial" w:cs="Arial" w:eastAsia="Arial" w:hAnsi="Arial"/>
          <w:sz w:val="15"/>
          <w:szCs w:val="15"/>
          <w:color w:val="auto"/>
        </w:rPr>
        <w:t>Operating activities:</w:t>
      </w:r>
    </w:p>
    <w:p>
      <w:pPr>
        <w:spacing w:after="0" w:line="20" w:lineRule="exact"/>
        <w:rPr>
          <w:sz w:val="20"/>
          <w:szCs w:val="20"/>
          <w:color w:val="auto"/>
        </w:rPr>
      </w:pPr>
      <w:r>
        <w:rPr>
          <w:sz w:val="20"/>
          <w:szCs w:val="20"/>
          <w:color w:val="auto"/>
        </w:rPr>
        <w:br w:type="column"/>
      </w:r>
    </w:p>
    <w:p>
      <w:pPr>
        <w:spacing w:after="0" w:line="10" w:lineRule="exact"/>
        <w:rPr>
          <w:sz w:val="20"/>
          <w:szCs w:val="20"/>
          <w:color w:val="auto"/>
        </w:rPr>
      </w:pPr>
    </w:p>
    <w:p>
      <w:pPr>
        <w:spacing w:after="0"/>
        <w:rPr>
          <w:sz w:val="20"/>
          <w:szCs w:val="20"/>
          <w:color w:val="auto"/>
        </w:rPr>
      </w:pPr>
      <w:r>
        <w:rPr>
          <w:rFonts w:ascii="Arial" w:cs="Arial" w:eastAsia="Arial" w:hAnsi="Arial"/>
          <w:sz w:val="15"/>
          <w:szCs w:val="15"/>
          <w:i w:val="1"/>
          <w:iCs w:val="1"/>
          <w:color w:val="auto"/>
        </w:rPr>
        <w:t>(Unaudited)</w:t>
      </w:r>
    </w:p>
    <w:p>
      <w:pPr>
        <w:spacing w:after="0" w:line="271" w:lineRule="exact"/>
        <w:rPr>
          <w:sz w:val="20"/>
          <w:szCs w:val="20"/>
          <w:color w:val="auto"/>
        </w:rPr>
      </w:pPr>
    </w:p>
    <w:p>
      <w:pPr>
        <w:sectPr>
          <w:pgSz w:w="12240" w:h="15840" w:orient="portrait"/>
          <w:cols w:equalWidth="0" w:num="2">
            <w:col w:w="7240" w:space="720"/>
            <w:col w:w="1860"/>
          </w:cols>
          <w:pgMar w:left="1200" w:top="1075" w:right="1220" w:bottom="1440" w:gutter="0" w:footer="0" w:header="0"/>
          <w:type w:val="continuous"/>
        </w:sectPr>
      </w:pPr>
    </w:p>
    <w:p>
      <w:pPr>
        <w:spacing w:after="0" w:line="197" w:lineRule="exact"/>
        <w:rPr>
          <w:sz w:val="20"/>
          <w:szCs w:val="20"/>
          <w:color w:val="auto"/>
        </w:rPr>
      </w:pPr>
    </w:p>
    <w:p>
      <w:pPr>
        <w:ind w:left="120"/>
        <w:spacing w:after="0"/>
        <w:rPr>
          <w:sz w:val="20"/>
          <w:szCs w:val="20"/>
          <w:color w:val="auto"/>
        </w:rPr>
      </w:pPr>
      <w:r>
        <w:rPr>
          <w:rFonts w:ascii="Arial" w:cs="Arial" w:eastAsia="Arial" w:hAnsi="Arial"/>
          <w:sz w:val="17"/>
          <w:szCs w:val="17"/>
          <w:color w:val="auto"/>
        </w:rPr>
        <w:t>Consolidated net income</w:t>
      </w:r>
    </w:p>
    <w:p>
      <w:pPr>
        <w:spacing w:after="0" w:line="30" w:lineRule="exact"/>
        <w:rPr>
          <w:sz w:val="20"/>
          <w:szCs w:val="20"/>
          <w:color w:val="auto"/>
        </w:rPr>
      </w:pPr>
    </w:p>
    <w:p>
      <w:pPr>
        <w:ind w:left="120" w:right="420"/>
        <w:spacing w:after="0" w:line="257" w:lineRule="auto"/>
        <w:rPr>
          <w:sz w:val="20"/>
          <w:szCs w:val="20"/>
          <w:color w:val="auto"/>
        </w:rPr>
      </w:pPr>
      <w:r>
        <w:rPr>
          <w:rFonts w:ascii="Arial" w:cs="Arial" w:eastAsia="Arial" w:hAnsi="Arial"/>
          <w:sz w:val="17"/>
          <w:szCs w:val="17"/>
          <w:color w:val="auto"/>
        </w:rPr>
        <w:t>Adjustments to reconcile consolidated net income to net cash provided by operating activities:</w:t>
      </w:r>
    </w:p>
    <w:p>
      <w:pPr>
        <w:spacing w:after="0" w:line="1" w:lineRule="exact"/>
        <w:rPr>
          <w:sz w:val="20"/>
          <w:szCs w:val="20"/>
          <w:color w:val="auto"/>
        </w:rPr>
      </w:pPr>
    </w:p>
    <w:p>
      <w:pPr>
        <w:ind w:left="240"/>
        <w:spacing w:after="0"/>
        <w:rPr>
          <w:sz w:val="20"/>
          <w:szCs w:val="20"/>
          <w:color w:val="auto"/>
        </w:rPr>
      </w:pPr>
      <w:r>
        <w:rPr>
          <w:rFonts w:ascii="Arial" w:cs="Arial" w:eastAsia="Arial" w:hAnsi="Arial"/>
          <w:sz w:val="17"/>
          <w:szCs w:val="17"/>
          <w:color w:val="auto"/>
        </w:rPr>
        <w:t>Depreciation and amortization</w:t>
      </w:r>
    </w:p>
    <w:p>
      <w:pPr>
        <w:spacing w:after="0" w:line="30" w:lineRule="exact"/>
        <w:rPr>
          <w:sz w:val="20"/>
          <w:szCs w:val="20"/>
          <w:color w:val="auto"/>
        </w:rPr>
      </w:pPr>
    </w:p>
    <w:p>
      <w:pPr>
        <w:ind w:left="240"/>
        <w:spacing w:after="0"/>
        <w:rPr>
          <w:sz w:val="20"/>
          <w:szCs w:val="20"/>
          <w:color w:val="auto"/>
        </w:rPr>
      </w:pPr>
      <w:r>
        <w:rPr>
          <w:rFonts w:ascii="Arial" w:cs="Arial" w:eastAsia="Arial" w:hAnsi="Arial"/>
          <w:sz w:val="17"/>
          <w:szCs w:val="17"/>
          <w:color w:val="auto"/>
        </w:rPr>
        <w:t>Stock-based compensation expense</w:t>
      </w:r>
    </w:p>
    <w:p>
      <w:pPr>
        <w:spacing w:after="0" w:line="30" w:lineRule="exact"/>
        <w:rPr>
          <w:sz w:val="20"/>
          <w:szCs w:val="20"/>
          <w:color w:val="auto"/>
        </w:rPr>
      </w:pPr>
    </w:p>
    <w:p>
      <w:pPr>
        <w:ind w:left="240"/>
        <w:spacing w:after="0"/>
        <w:rPr>
          <w:sz w:val="20"/>
          <w:szCs w:val="20"/>
          <w:color w:val="auto"/>
        </w:rPr>
      </w:pPr>
      <w:r>
        <w:rPr>
          <w:rFonts w:ascii="Arial" w:cs="Arial" w:eastAsia="Arial" w:hAnsi="Arial"/>
          <w:sz w:val="17"/>
          <w:szCs w:val="17"/>
          <w:color w:val="auto"/>
        </w:rPr>
        <w:t>Deferred income taxes</w:t>
      </w:r>
    </w:p>
    <w:p>
      <w:pPr>
        <w:spacing w:after="0" w:line="30" w:lineRule="exact"/>
        <w:rPr>
          <w:sz w:val="20"/>
          <w:szCs w:val="20"/>
          <w:color w:val="auto"/>
        </w:rPr>
      </w:pPr>
    </w:p>
    <w:p>
      <w:pPr>
        <w:ind w:left="240"/>
        <w:spacing w:after="0"/>
        <w:rPr>
          <w:sz w:val="20"/>
          <w:szCs w:val="20"/>
          <w:color w:val="auto"/>
        </w:rPr>
      </w:pPr>
      <w:r>
        <w:rPr>
          <w:rFonts w:ascii="Arial" w:cs="Arial" w:eastAsia="Arial" w:hAnsi="Arial"/>
          <w:sz w:val="17"/>
          <w:szCs w:val="17"/>
          <w:color w:val="auto"/>
        </w:rPr>
        <w:t>Gain on fair market value adjustment and gain on sale of equity investments</w:t>
      </w:r>
    </w:p>
    <w:p>
      <w:pPr>
        <w:spacing w:after="0" w:line="30" w:lineRule="exact"/>
        <w:rPr>
          <w:sz w:val="20"/>
          <w:szCs w:val="20"/>
          <w:color w:val="auto"/>
        </w:rPr>
      </w:pPr>
    </w:p>
    <w:p>
      <w:pPr>
        <w:ind w:left="240"/>
        <w:spacing w:after="0"/>
        <w:rPr>
          <w:sz w:val="20"/>
          <w:szCs w:val="20"/>
          <w:color w:val="auto"/>
        </w:rPr>
      </w:pPr>
      <w:r>
        <w:rPr>
          <w:rFonts w:ascii="Arial" w:cs="Arial" w:eastAsia="Arial" w:hAnsi="Arial"/>
          <w:sz w:val="17"/>
          <w:szCs w:val="17"/>
          <w:color w:val="auto"/>
        </w:rPr>
        <w:t>Changes in assets and liabilities, excluding effects of acquisitions:</w:t>
      </w:r>
    </w:p>
    <w:p>
      <w:pPr>
        <w:spacing w:after="0" w:line="30" w:lineRule="exact"/>
        <w:rPr>
          <w:sz w:val="20"/>
          <w:szCs w:val="20"/>
          <w:color w:val="auto"/>
        </w:rPr>
      </w:pPr>
    </w:p>
    <w:p>
      <w:pPr>
        <w:ind w:left="380"/>
        <w:spacing w:after="0"/>
        <w:rPr>
          <w:sz w:val="20"/>
          <w:szCs w:val="20"/>
          <w:color w:val="auto"/>
        </w:rPr>
      </w:pPr>
      <w:r>
        <w:rPr>
          <w:rFonts w:ascii="Arial" w:cs="Arial" w:eastAsia="Arial" w:hAnsi="Arial"/>
          <w:sz w:val="17"/>
          <w:szCs w:val="17"/>
          <w:color w:val="auto"/>
        </w:rPr>
        <w:t>Accounts receivable, net</w:t>
      </w:r>
    </w:p>
    <w:p>
      <w:pPr>
        <w:spacing w:after="0" w:line="30" w:lineRule="exact"/>
        <w:rPr>
          <w:sz w:val="20"/>
          <w:szCs w:val="20"/>
          <w:color w:val="auto"/>
        </w:rPr>
      </w:pPr>
    </w:p>
    <w:p>
      <w:pPr>
        <w:ind w:left="380"/>
        <w:spacing w:after="0"/>
        <w:rPr>
          <w:sz w:val="20"/>
          <w:szCs w:val="20"/>
          <w:color w:val="auto"/>
        </w:rPr>
      </w:pPr>
      <w:r>
        <w:rPr>
          <w:rFonts w:ascii="Arial" w:cs="Arial" w:eastAsia="Arial" w:hAnsi="Arial"/>
          <w:sz w:val="17"/>
          <w:szCs w:val="17"/>
          <w:color w:val="auto"/>
        </w:rPr>
        <w:t>Other assets, current and long-term</w:t>
      </w:r>
    </w:p>
    <w:p>
      <w:pPr>
        <w:spacing w:after="0" w:line="30" w:lineRule="exact"/>
        <w:rPr>
          <w:sz w:val="20"/>
          <w:szCs w:val="20"/>
          <w:color w:val="auto"/>
        </w:rPr>
      </w:pPr>
    </w:p>
    <w:p>
      <w:pPr>
        <w:ind w:left="380"/>
        <w:spacing w:after="0"/>
        <w:rPr>
          <w:sz w:val="20"/>
          <w:szCs w:val="20"/>
          <w:color w:val="auto"/>
        </w:rPr>
      </w:pPr>
      <w:r>
        <w:rPr>
          <w:rFonts w:ascii="Arial" w:cs="Arial" w:eastAsia="Arial" w:hAnsi="Arial"/>
          <w:sz w:val="17"/>
          <w:szCs w:val="17"/>
          <w:color w:val="auto"/>
        </w:rPr>
        <w:t>Current and long term liabilities, excluding debt</w:t>
      </w:r>
    </w:p>
    <w:p>
      <w:pPr>
        <w:spacing w:after="0" w:line="30" w:lineRule="exact"/>
        <w:rPr>
          <w:sz w:val="20"/>
          <w:szCs w:val="20"/>
          <w:color w:val="auto"/>
        </w:rPr>
      </w:pPr>
    </w:p>
    <w:p>
      <w:pPr>
        <w:ind w:left="60"/>
        <w:spacing w:after="0"/>
        <w:rPr>
          <w:sz w:val="20"/>
          <w:szCs w:val="20"/>
          <w:color w:val="auto"/>
        </w:rPr>
      </w:pPr>
      <w:r>
        <w:rPr>
          <w:rFonts w:ascii="Arial" w:cs="Arial" w:eastAsia="Arial" w:hAnsi="Arial"/>
          <w:sz w:val="17"/>
          <w:szCs w:val="17"/>
          <w:color w:val="auto"/>
        </w:rPr>
        <w:t>Cash provided by operating activities</w:t>
      </w:r>
    </w:p>
    <w:p>
      <w:pPr>
        <w:spacing w:after="0" w:line="30" w:lineRule="exact"/>
        <w:rPr>
          <w:sz w:val="20"/>
          <w:szCs w:val="20"/>
          <w:color w:val="auto"/>
        </w:rPr>
      </w:pPr>
    </w:p>
    <w:p>
      <w:pPr>
        <w:ind w:left="60"/>
        <w:spacing w:after="0"/>
        <w:rPr>
          <w:sz w:val="20"/>
          <w:szCs w:val="20"/>
          <w:color w:val="auto"/>
        </w:rPr>
      </w:pPr>
      <w:r>
        <w:rPr>
          <w:rFonts w:ascii="Arial" w:cs="Arial" w:eastAsia="Arial" w:hAnsi="Arial"/>
          <w:sz w:val="17"/>
          <w:szCs w:val="17"/>
          <w:color w:val="auto"/>
        </w:rPr>
        <w:t>Investing activities:</w:t>
      </w:r>
    </w:p>
    <w:p>
      <w:pPr>
        <w:spacing w:after="0" w:line="30" w:lineRule="exact"/>
        <w:rPr>
          <w:sz w:val="20"/>
          <w:szCs w:val="20"/>
          <w:color w:val="auto"/>
        </w:rPr>
      </w:pPr>
    </w:p>
    <w:p>
      <w:pPr>
        <w:ind w:left="120"/>
        <w:spacing w:after="0"/>
        <w:rPr>
          <w:sz w:val="20"/>
          <w:szCs w:val="20"/>
          <w:color w:val="auto"/>
        </w:rPr>
      </w:pPr>
      <w:r>
        <w:rPr>
          <w:rFonts w:ascii="Arial" w:cs="Arial" w:eastAsia="Arial" w:hAnsi="Arial"/>
          <w:sz w:val="17"/>
          <w:szCs w:val="17"/>
          <w:color w:val="auto"/>
        </w:rPr>
        <w:t>Capital expenditures</w:t>
      </w:r>
    </w:p>
    <w:p>
      <w:pPr>
        <w:spacing w:after="0" w:line="30" w:lineRule="exact"/>
        <w:rPr>
          <w:sz w:val="20"/>
          <w:szCs w:val="20"/>
          <w:color w:val="auto"/>
        </w:rPr>
      </w:pPr>
    </w:p>
    <w:p>
      <w:pPr>
        <w:ind w:left="120"/>
        <w:spacing w:after="0"/>
        <w:rPr>
          <w:sz w:val="20"/>
          <w:szCs w:val="20"/>
          <w:color w:val="auto"/>
        </w:rPr>
      </w:pPr>
      <w:r>
        <w:rPr>
          <w:rFonts w:ascii="Arial" w:cs="Arial" w:eastAsia="Arial" w:hAnsi="Arial"/>
          <w:sz w:val="17"/>
          <w:szCs w:val="17"/>
          <w:color w:val="auto"/>
        </w:rPr>
        <w:t>Acquisitions, net of cash acquired</w:t>
      </w:r>
    </w:p>
    <w:p>
      <w:pPr>
        <w:spacing w:after="0" w:line="30" w:lineRule="exact"/>
        <w:rPr>
          <w:sz w:val="20"/>
          <w:szCs w:val="20"/>
          <w:color w:val="auto"/>
        </w:rPr>
      </w:pPr>
    </w:p>
    <w:p>
      <w:pPr>
        <w:ind w:left="120"/>
        <w:spacing w:after="0"/>
        <w:rPr>
          <w:sz w:val="20"/>
          <w:szCs w:val="20"/>
          <w:color w:val="auto"/>
        </w:rPr>
      </w:pPr>
      <w:r>
        <w:rPr>
          <w:rFonts w:ascii="Arial" w:cs="Arial" w:eastAsia="Arial" w:hAnsi="Arial"/>
          <w:sz w:val="17"/>
          <w:szCs w:val="17"/>
          <w:color w:val="auto"/>
        </w:rPr>
        <w:t>Cash received from divestitures</w:t>
      </w:r>
    </w:p>
    <w:p>
      <w:pPr>
        <w:spacing w:after="0" w:line="165" w:lineRule="exact"/>
        <w:rPr>
          <w:sz w:val="20"/>
          <w:szCs w:val="20"/>
          <w:color w:val="auto"/>
        </w:rPr>
      </w:pPr>
    </w:p>
    <w:p>
      <w:pPr>
        <w:ind w:left="60"/>
        <w:spacing w:after="0"/>
        <w:rPr>
          <w:sz w:val="20"/>
          <w:szCs w:val="20"/>
          <w:color w:val="auto"/>
        </w:rPr>
      </w:pPr>
      <w:r>
        <w:rPr>
          <w:rFonts w:ascii="Arial" w:cs="Arial" w:eastAsia="Arial" w:hAnsi="Arial"/>
          <w:sz w:val="17"/>
          <w:szCs w:val="17"/>
          <w:color w:val="auto"/>
        </w:rPr>
        <w:t>Cash used in investing activities</w:t>
      </w:r>
    </w:p>
    <w:p>
      <w:pPr>
        <w:spacing w:after="0" w:line="30" w:lineRule="exact"/>
        <w:rPr>
          <w:sz w:val="20"/>
          <w:szCs w:val="20"/>
          <w:color w:val="auto"/>
        </w:rPr>
      </w:pPr>
    </w:p>
    <w:p>
      <w:pPr>
        <w:ind w:left="60"/>
        <w:spacing w:after="0"/>
        <w:rPr>
          <w:sz w:val="20"/>
          <w:szCs w:val="20"/>
          <w:color w:val="auto"/>
        </w:rPr>
      </w:pPr>
      <w:r>
        <w:rPr>
          <w:rFonts w:ascii="Arial" w:cs="Arial" w:eastAsia="Arial" w:hAnsi="Arial"/>
          <w:sz w:val="17"/>
          <w:szCs w:val="17"/>
          <w:color w:val="auto"/>
        </w:rPr>
        <w:t>Financing activities:</w:t>
      </w:r>
    </w:p>
    <w:p>
      <w:pPr>
        <w:spacing w:after="0" w:line="30" w:lineRule="exact"/>
        <w:rPr>
          <w:sz w:val="20"/>
          <w:szCs w:val="20"/>
          <w:color w:val="auto"/>
        </w:rPr>
      </w:pPr>
    </w:p>
    <w:p>
      <w:pPr>
        <w:ind w:left="120"/>
        <w:spacing w:after="0"/>
        <w:rPr>
          <w:sz w:val="20"/>
          <w:szCs w:val="20"/>
          <w:color w:val="auto"/>
        </w:rPr>
      </w:pPr>
      <w:r>
        <w:rPr>
          <w:rFonts w:ascii="Arial" w:cs="Arial" w:eastAsia="Arial" w:hAnsi="Arial"/>
          <w:sz w:val="17"/>
          <w:szCs w:val="17"/>
          <w:color w:val="auto"/>
        </w:rPr>
        <w:t>Net short-term borrowings</w:t>
      </w:r>
    </w:p>
    <w:p>
      <w:pPr>
        <w:spacing w:after="0" w:line="30" w:lineRule="exact"/>
        <w:rPr>
          <w:sz w:val="20"/>
          <w:szCs w:val="20"/>
          <w:color w:val="auto"/>
        </w:rPr>
      </w:pPr>
    </w:p>
    <w:p>
      <w:pPr>
        <w:ind w:left="120"/>
        <w:spacing w:after="0"/>
        <w:rPr>
          <w:sz w:val="20"/>
          <w:szCs w:val="20"/>
          <w:color w:val="auto"/>
        </w:rPr>
      </w:pPr>
      <w:r>
        <w:rPr>
          <w:rFonts w:ascii="Arial" w:cs="Arial" w:eastAsia="Arial" w:hAnsi="Arial"/>
          <w:sz w:val="17"/>
          <w:szCs w:val="17"/>
          <w:color w:val="auto"/>
        </w:rPr>
        <w:t>Payments on long-term debt</w:t>
      </w:r>
    </w:p>
    <w:p>
      <w:pPr>
        <w:spacing w:after="0" w:line="30" w:lineRule="exact"/>
        <w:rPr>
          <w:sz w:val="20"/>
          <w:szCs w:val="20"/>
          <w:color w:val="auto"/>
        </w:rPr>
      </w:pPr>
    </w:p>
    <w:p>
      <w:pPr>
        <w:ind w:left="120"/>
        <w:spacing w:after="0"/>
        <w:rPr>
          <w:sz w:val="20"/>
          <w:szCs w:val="20"/>
          <w:color w:val="auto"/>
        </w:rPr>
      </w:pPr>
      <w:r>
        <w:rPr>
          <w:rFonts w:ascii="Arial" w:cs="Arial" w:eastAsia="Arial" w:hAnsi="Arial"/>
          <w:sz w:val="17"/>
          <w:szCs w:val="17"/>
          <w:color w:val="auto"/>
        </w:rPr>
        <w:t>Borrowings on long-term debt</w:t>
      </w:r>
    </w:p>
    <w:p>
      <w:pPr>
        <w:spacing w:after="0" w:line="30" w:lineRule="exact"/>
        <w:rPr>
          <w:sz w:val="20"/>
          <w:szCs w:val="20"/>
          <w:color w:val="auto"/>
        </w:rPr>
      </w:pPr>
    </w:p>
    <w:p>
      <w:pPr>
        <w:ind w:left="120"/>
        <w:spacing w:after="0"/>
        <w:rPr>
          <w:sz w:val="20"/>
          <w:szCs w:val="20"/>
          <w:color w:val="auto"/>
        </w:rPr>
      </w:pPr>
      <w:r>
        <w:rPr>
          <w:rFonts w:ascii="Arial" w:cs="Arial" w:eastAsia="Arial" w:hAnsi="Arial"/>
          <w:sz w:val="17"/>
          <w:szCs w:val="17"/>
          <w:color w:val="auto"/>
        </w:rPr>
        <w:t>Dividends paid to Equifax shareholders</w:t>
      </w:r>
    </w:p>
    <w:p>
      <w:pPr>
        <w:spacing w:after="0" w:line="30" w:lineRule="exact"/>
        <w:rPr>
          <w:sz w:val="20"/>
          <w:szCs w:val="20"/>
          <w:color w:val="auto"/>
        </w:rPr>
      </w:pPr>
    </w:p>
    <w:p>
      <w:pPr>
        <w:ind w:left="120"/>
        <w:spacing w:after="0"/>
        <w:rPr>
          <w:sz w:val="20"/>
          <w:szCs w:val="20"/>
          <w:color w:val="auto"/>
        </w:rPr>
      </w:pPr>
      <w:r>
        <w:rPr>
          <w:rFonts w:ascii="Arial" w:cs="Arial" w:eastAsia="Arial" w:hAnsi="Arial"/>
          <w:sz w:val="17"/>
          <w:szCs w:val="17"/>
          <w:color w:val="auto"/>
        </w:rPr>
        <w:t>Dividends paid to noncontrolling interests</w:t>
      </w:r>
    </w:p>
    <w:p>
      <w:pPr>
        <w:spacing w:after="0" w:line="30" w:lineRule="exact"/>
        <w:rPr>
          <w:sz w:val="20"/>
          <w:szCs w:val="20"/>
          <w:color w:val="auto"/>
        </w:rPr>
      </w:pPr>
    </w:p>
    <w:p>
      <w:pPr>
        <w:ind w:left="120"/>
        <w:spacing w:after="0"/>
        <w:rPr>
          <w:sz w:val="20"/>
          <w:szCs w:val="20"/>
          <w:color w:val="auto"/>
        </w:rPr>
      </w:pPr>
      <w:r>
        <w:rPr>
          <w:rFonts w:ascii="Arial" w:cs="Arial" w:eastAsia="Arial" w:hAnsi="Arial"/>
          <w:sz w:val="17"/>
          <w:szCs w:val="17"/>
          <w:color w:val="auto"/>
        </w:rPr>
        <w:t>Proceeds from exercise of stock options and employee stock purchase plan</w:t>
      </w:r>
    </w:p>
    <w:p>
      <w:pPr>
        <w:spacing w:after="0" w:line="30" w:lineRule="exact"/>
        <w:rPr>
          <w:sz w:val="20"/>
          <w:szCs w:val="20"/>
          <w:color w:val="auto"/>
        </w:rPr>
      </w:pPr>
    </w:p>
    <w:p>
      <w:pPr>
        <w:ind w:left="120"/>
        <w:spacing w:after="0"/>
        <w:rPr>
          <w:sz w:val="20"/>
          <w:szCs w:val="20"/>
          <w:color w:val="auto"/>
        </w:rPr>
      </w:pPr>
      <w:r>
        <w:rPr>
          <w:rFonts w:ascii="Arial" w:cs="Arial" w:eastAsia="Arial" w:hAnsi="Arial"/>
          <w:sz w:val="17"/>
          <w:szCs w:val="17"/>
          <w:color w:val="auto"/>
        </w:rPr>
        <w:t>Payment of taxes related to settlement of equity awards</w:t>
      </w:r>
    </w:p>
    <w:p>
      <w:pPr>
        <w:spacing w:after="0" w:line="30" w:lineRule="exact"/>
        <w:rPr>
          <w:sz w:val="20"/>
          <w:szCs w:val="20"/>
          <w:color w:val="auto"/>
        </w:rPr>
      </w:pPr>
    </w:p>
    <w:p>
      <w:pPr>
        <w:ind w:left="120"/>
        <w:spacing w:after="0"/>
        <w:rPr>
          <w:sz w:val="20"/>
          <w:szCs w:val="20"/>
          <w:color w:val="auto"/>
        </w:rPr>
      </w:pPr>
      <w:r>
        <w:rPr>
          <w:rFonts w:ascii="Arial" w:cs="Arial" w:eastAsia="Arial" w:hAnsi="Arial"/>
          <w:sz w:val="17"/>
          <w:szCs w:val="17"/>
          <w:color w:val="auto"/>
        </w:rPr>
        <w:t>Debt issuance costs</w:t>
      </w:r>
    </w:p>
    <w:p>
      <w:pPr>
        <w:spacing w:after="0" w:line="30" w:lineRule="exact"/>
        <w:rPr>
          <w:sz w:val="20"/>
          <w:szCs w:val="20"/>
          <w:color w:val="auto"/>
        </w:rPr>
      </w:pPr>
    </w:p>
    <w:p>
      <w:pPr>
        <w:ind w:left="60"/>
        <w:spacing w:after="0"/>
        <w:rPr>
          <w:sz w:val="20"/>
          <w:szCs w:val="20"/>
          <w:color w:val="auto"/>
        </w:rPr>
      </w:pPr>
      <w:r>
        <w:rPr>
          <w:rFonts w:ascii="Arial" w:cs="Arial" w:eastAsia="Arial" w:hAnsi="Arial"/>
          <w:sz w:val="17"/>
          <w:szCs w:val="17"/>
          <w:color w:val="auto"/>
        </w:rPr>
        <w:t>Cash (used in) provided by financing activities</w:t>
      </w:r>
    </w:p>
    <w:p>
      <w:pPr>
        <w:spacing w:after="0" w:line="30" w:lineRule="exact"/>
        <w:rPr>
          <w:sz w:val="20"/>
          <w:szCs w:val="20"/>
          <w:color w:val="auto"/>
        </w:rPr>
      </w:pPr>
    </w:p>
    <w:p>
      <w:pPr>
        <w:ind w:left="60" w:right="1360"/>
        <w:spacing w:after="0" w:line="276" w:lineRule="auto"/>
        <w:rPr>
          <w:sz w:val="20"/>
          <w:szCs w:val="20"/>
          <w:color w:val="auto"/>
        </w:rPr>
      </w:pPr>
      <w:r>
        <w:rPr>
          <w:rFonts w:ascii="Arial" w:cs="Arial" w:eastAsia="Arial" w:hAnsi="Arial"/>
          <w:sz w:val="17"/>
          <w:szCs w:val="17"/>
          <w:color w:val="auto"/>
        </w:rPr>
        <w:t>Effect of foreign currency exchange rates on cash and cash equivalents Decrease in cash and cash equivalents</w:t>
      </w:r>
    </w:p>
    <w:p>
      <w:pPr>
        <w:ind w:left="60"/>
        <w:spacing w:after="0"/>
        <w:rPr>
          <w:sz w:val="20"/>
          <w:szCs w:val="20"/>
          <w:color w:val="auto"/>
        </w:rPr>
      </w:pPr>
      <w:r>
        <w:rPr>
          <w:rFonts w:ascii="Arial" w:cs="Arial" w:eastAsia="Arial" w:hAnsi="Arial"/>
          <w:sz w:val="17"/>
          <w:szCs w:val="17"/>
          <w:color w:val="auto"/>
        </w:rPr>
        <w:t>Cash and cash equivalents, beginning of period</w:t>
      </w:r>
    </w:p>
    <w:p>
      <w:pPr>
        <w:spacing w:after="0" w:line="255" w:lineRule="exact"/>
        <w:rPr>
          <w:sz w:val="20"/>
          <w:szCs w:val="20"/>
          <w:color w:val="auto"/>
        </w:rPr>
      </w:pPr>
    </w:p>
    <w:p>
      <w:pPr>
        <w:ind w:left="60"/>
        <w:spacing w:after="0"/>
        <w:rPr>
          <w:sz w:val="20"/>
          <w:szCs w:val="20"/>
          <w:color w:val="auto"/>
        </w:rPr>
      </w:pPr>
      <w:r>
        <w:rPr>
          <w:rFonts w:ascii="Arial" w:cs="Arial" w:eastAsia="Arial" w:hAnsi="Arial"/>
          <w:sz w:val="17"/>
          <w:szCs w:val="17"/>
          <w:color w:val="auto"/>
        </w:rPr>
        <w:t>Cash and cash equivalents, end of period</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7"/>
          <w:szCs w:val="17"/>
          <w:b w:val="1"/>
          <w:bCs w:val="1"/>
          <w:color w:val="auto"/>
        </w:rPr>
        <w:t>$</w:t>
      </w:r>
    </w:p>
    <w:p>
      <w:pPr>
        <w:spacing w:after="0" w:line="22" w:lineRule="exact"/>
        <w:rPr>
          <w:sz w:val="20"/>
          <w:szCs w:val="20"/>
          <w:color w:val="auto"/>
        </w:rPr>
      </w:pPr>
    </w:p>
    <w:p>
      <w:pPr>
        <w:ind w:left="520"/>
        <w:spacing w:after="0"/>
        <w:rPr>
          <w:sz w:val="20"/>
          <w:szCs w:val="20"/>
          <w:color w:val="auto"/>
        </w:rPr>
      </w:pPr>
      <w:r>
        <w:rPr>
          <w:rFonts w:ascii="Arial" w:cs="Arial" w:eastAsia="Arial" w:hAnsi="Arial"/>
          <w:sz w:val="15"/>
          <w:szCs w:val="15"/>
          <w:b w:val="1"/>
          <w:bCs w:val="1"/>
          <w:color w:val="auto"/>
        </w:rPr>
        <w:t>252.9</w:t>
      </w:r>
    </w:p>
    <w:p>
      <w:pPr>
        <w:spacing w:after="0" w:line="200" w:lineRule="exact"/>
        <w:rPr>
          <w:sz w:val="20"/>
          <w:szCs w:val="20"/>
          <w:color w:val="auto"/>
        </w:rPr>
      </w:pPr>
    </w:p>
    <w:p>
      <w:pPr>
        <w:spacing w:after="0" w:line="251" w:lineRule="exact"/>
        <w:rPr>
          <w:sz w:val="20"/>
          <w:szCs w:val="20"/>
          <w:color w:val="auto"/>
        </w:rPr>
      </w:pPr>
    </w:p>
    <w:p>
      <w:pPr>
        <w:jc w:val="right"/>
        <w:ind w:right="20"/>
        <w:spacing w:after="0"/>
        <w:rPr>
          <w:sz w:val="20"/>
          <w:szCs w:val="20"/>
          <w:color w:val="auto"/>
        </w:rPr>
      </w:pPr>
      <w:r>
        <w:rPr>
          <w:rFonts w:ascii="Arial" w:cs="Arial" w:eastAsia="Arial" w:hAnsi="Arial"/>
          <w:sz w:val="17"/>
          <w:szCs w:val="17"/>
          <w:b w:val="1"/>
          <w:bCs w:val="1"/>
          <w:color w:val="auto"/>
        </w:rPr>
        <w:t>304.3</w:t>
      </w:r>
    </w:p>
    <w:p>
      <w:pPr>
        <w:spacing w:after="0" w:line="36" w:lineRule="exact"/>
        <w:rPr>
          <w:sz w:val="20"/>
          <w:szCs w:val="20"/>
          <w:color w:val="auto"/>
        </w:rPr>
      </w:pPr>
    </w:p>
    <w:p>
      <w:pPr>
        <w:jc w:val="right"/>
        <w:ind w:right="20"/>
        <w:spacing w:after="0"/>
        <w:rPr>
          <w:sz w:val="20"/>
          <w:szCs w:val="20"/>
          <w:color w:val="auto"/>
        </w:rPr>
      </w:pPr>
      <w:r>
        <w:rPr>
          <w:rFonts w:ascii="Arial" w:cs="Arial" w:eastAsia="Arial" w:hAnsi="Arial"/>
          <w:sz w:val="17"/>
          <w:szCs w:val="17"/>
          <w:b w:val="1"/>
          <w:bCs w:val="1"/>
          <w:color w:val="auto"/>
        </w:rPr>
        <w:t>52.2</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b w:val="1"/>
          <w:bCs w:val="1"/>
          <w:color w:val="auto"/>
        </w:rPr>
        <w:t>(5.6)</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b w:val="1"/>
          <w:bCs w:val="1"/>
          <w:color w:val="auto"/>
        </w:rPr>
        <w:t>(13.6)</w:t>
      </w:r>
    </w:p>
    <w:p>
      <w:pPr>
        <w:spacing w:after="0" w:line="248" w:lineRule="exact"/>
        <w:rPr>
          <w:sz w:val="20"/>
          <w:szCs w:val="20"/>
          <w:color w:val="auto"/>
        </w:rPr>
      </w:pPr>
    </w:p>
    <w:p>
      <w:pPr>
        <w:ind w:left="520"/>
        <w:spacing w:after="0"/>
        <w:rPr>
          <w:sz w:val="20"/>
          <w:szCs w:val="20"/>
          <w:color w:val="auto"/>
        </w:rPr>
      </w:pPr>
      <w:r>
        <w:rPr>
          <w:rFonts w:ascii="Arial" w:cs="Arial" w:eastAsia="Arial" w:hAnsi="Arial"/>
          <w:sz w:val="15"/>
          <w:szCs w:val="15"/>
          <w:b w:val="1"/>
          <w:bCs w:val="1"/>
          <w:color w:val="auto"/>
        </w:rPr>
        <w:t>(75.3)</w:t>
      </w:r>
    </w:p>
    <w:p>
      <w:pPr>
        <w:spacing w:after="0" w:line="59" w:lineRule="exact"/>
        <w:rPr>
          <w:sz w:val="20"/>
          <w:szCs w:val="20"/>
          <w:color w:val="auto"/>
        </w:rPr>
      </w:pPr>
    </w:p>
    <w:p>
      <w:pPr>
        <w:ind w:left="520"/>
        <w:spacing w:after="0"/>
        <w:rPr>
          <w:sz w:val="20"/>
          <w:szCs w:val="20"/>
          <w:color w:val="auto"/>
        </w:rPr>
      </w:pPr>
      <w:r>
        <w:rPr>
          <w:rFonts w:ascii="Arial" w:cs="Arial" w:eastAsia="Arial" w:hAnsi="Arial"/>
          <w:sz w:val="15"/>
          <w:szCs w:val="15"/>
          <w:b w:val="1"/>
          <w:bCs w:val="1"/>
          <w:color w:val="auto"/>
        </w:rPr>
        <w:t>(10.0)</w:t>
      </w:r>
    </w:p>
    <w:p>
      <w:pPr>
        <w:spacing w:after="0" w:line="53" w:lineRule="exact"/>
        <w:rPr>
          <w:sz w:val="20"/>
          <w:szCs w:val="20"/>
          <w:color w:val="auto"/>
        </w:rPr>
      </w:pPr>
    </w:p>
    <w:p>
      <w:pPr>
        <w:ind w:left="520"/>
        <w:spacing w:after="0"/>
        <w:rPr>
          <w:sz w:val="20"/>
          <w:szCs w:val="20"/>
          <w:color w:val="auto"/>
        </w:rPr>
      </w:pPr>
      <w:r>
        <w:rPr>
          <w:rFonts w:ascii="Arial" w:cs="Arial" w:eastAsia="Arial" w:hAnsi="Arial"/>
          <w:sz w:val="15"/>
          <w:szCs w:val="15"/>
          <w:b w:val="1"/>
          <w:bCs w:val="1"/>
          <w:color w:val="auto"/>
        </w:rPr>
        <w:t>(91.9)</w:t>
      </w:r>
    </w:p>
    <w:p>
      <w:pPr>
        <w:spacing w:after="0" w:line="53" w:lineRule="exact"/>
        <w:rPr>
          <w:sz w:val="20"/>
          <w:szCs w:val="20"/>
          <w:color w:val="auto"/>
        </w:rPr>
      </w:pPr>
    </w:p>
    <w:p>
      <w:pPr>
        <w:ind w:left="520"/>
        <w:spacing w:after="0"/>
        <w:rPr>
          <w:sz w:val="20"/>
          <w:szCs w:val="20"/>
          <w:color w:val="auto"/>
        </w:rPr>
      </w:pPr>
      <w:r>
        <w:rPr>
          <w:rFonts w:ascii="Arial" w:cs="Arial" w:eastAsia="Arial" w:hAnsi="Arial"/>
          <w:sz w:val="15"/>
          <w:szCs w:val="15"/>
          <w:b w:val="1"/>
          <w:bCs w:val="1"/>
          <w:color w:val="auto"/>
        </w:rPr>
        <w:t>413.0</w:t>
      </w:r>
    </w:p>
    <w:p>
      <w:pPr>
        <w:spacing w:after="0" w:line="271" w:lineRule="exact"/>
        <w:rPr>
          <w:sz w:val="20"/>
          <w:szCs w:val="20"/>
          <w:color w:val="auto"/>
        </w:rPr>
      </w:pPr>
    </w:p>
    <w:p>
      <w:pPr>
        <w:jc w:val="right"/>
        <w:spacing w:after="0"/>
        <w:rPr>
          <w:sz w:val="20"/>
          <w:szCs w:val="20"/>
          <w:color w:val="auto"/>
        </w:rPr>
      </w:pPr>
      <w:r>
        <w:rPr>
          <w:rFonts w:ascii="Arial" w:cs="Arial" w:eastAsia="Arial" w:hAnsi="Arial"/>
          <w:sz w:val="17"/>
          <w:szCs w:val="17"/>
          <w:b w:val="1"/>
          <w:bCs w:val="1"/>
          <w:color w:val="auto"/>
        </w:rPr>
        <w:t>(321.3)</w:t>
      </w:r>
    </w:p>
    <w:p>
      <w:pPr>
        <w:spacing w:after="0" w:line="36" w:lineRule="exact"/>
        <w:rPr>
          <w:sz w:val="20"/>
          <w:szCs w:val="20"/>
          <w:color w:val="auto"/>
        </w:rPr>
      </w:pPr>
    </w:p>
    <w:p>
      <w:pPr>
        <w:jc w:val="right"/>
        <w:spacing w:after="0"/>
        <w:rPr>
          <w:sz w:val="20"/>
          <w:szCs w:val="20"/>
          <w:color w:val="auto"/>
        </w:rPr>
      </w:pPr>
      <w:r>
        <w:rPr>
          <w:rFonts w:ascii="Arial" w:cs="Arial" w:eastAsia="Arial" w:hAnsi="Arial"/>
          <w:sz w:val="17"/>
          <w:szCs w:val="17"/>
          <w:b w:val="1"/>
          <w:bCs w:val="1"/>
          <w:color w:val="auto"/>
        </w:rPr>
        <w:t>(4.3)</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b w:val="1"/>
          <w:bCs w:val="1"/>
          <w:color w:val="auto"/>
        </w:rPr>
        <w:t>6.9</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b w:val="1"/>
          <w:bCs w:val="1"/>
          <w:color w:val="auto"/>
        </w:rPr>
        <w:t>(318.7)</w:t>
      </w:r>
    </w:p>
    <w:p>
      <w:pPr>
        <w:spacing w:after="0" w:line="383" w:lineRule="exact"/>
        <w:rPr>
          <w:sz w:val="20"/>
          <w:szCs w:val="20"/>
          <w:color w:val="auto"/>
        </w:rPr>
      </w:pPr>
    </w:p>
    <w:p>
      <w:pPr>
        <w:jc w:val="right"/>
        <w:spacing w:after="0"/>
        <w:rPr>
          <w:sz w:val="20"/>
          <w:szCs w:val="20"/>
          <w:color w:val="auto"/>
        </w:rPr>
      </w:pPr>
      <w:r>
        <w:rPr>
          <w:rFonts w:ascii="Arial" w:cs="Arial" w:eastAsia="Arial" w:hAnsi="Arial"/>
          <w:sz w:val="17"/>
          <w:szCs w:val="17"/>
          <w:b w:val="1"/>
          <w:bCs w:val="1"/>
          <w:color w:val="auto"/>
        </w:rPr>
        <w:t>(411.2)</w:t>
      </w:r>
    </w:p>
    <w:p>
      <w:pPr>
        <w:spacing w:after="0" w:line="36" w:lineRule="exact"/>
        <w:rPr>
          <w:sz w:val="20"/>
          <w:szCs w:val="20"/>
          <w:color w:val="auto"/>
        </w:rPr>
      </w:pPr>
    </w:p>
    <w:p>
      <w:pPr>
        <w:jc w:val="right"/>
        <w:spacing w:after="0"/>
        <w:rPr>
          <w:sz w:val="20"/>
          <w:szCs w:val="20"/>
          <w:color w:val="auto"/>
        </w:rPr>
      </w:pPr>
      <w:r>
        <w:rPr>
          <w:rFonts w:ascii="Arial" w:cs="Arial" w:eastAsia="Arial" w:hAnsi="Arial"/>
          <w:sz w:val="17"/>
          <w:szCs w:val="17"/>
          <w:b w:val="1"/>
          <w:bCs w:val="1"/>
          <w:color w:val="auto"/>
        </w:rPr>
        <w:t>(575.0)</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b w:val="1"/>
          <w:bCs w:val="1"/>
          <w:color w:val="auto"/>
        </w:rPr>
        <w:t>872.9</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b w:val="1"/>
          <w:bCs w:val="1"/>
          <w:color w:val="auto"/>
        </w:rPr>
        <w:t>(95.6)</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b w:val="1"/>
          <w:bCs w:val="1"/>
          <w:color w:val="auto"/>
        </w:rPr>
        <w:t>(2.1)</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b w:val="1"/>
          <w:bCs w:val="1"/>
          <w:color w:val="auto"/>
        </w:rPr>
        <w:t>16.5</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b w:val="1"/>
          <w:bCs w:val="1"/>
          <w:color w:val="auto"/>
        </w:rPr>
        <w:t>(16.9)</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b w:val="1"/>
          <w:bCs w:val="1"/>
          <w:color w:val="auto"/>
        </w:rPr>
        <w:t>(5.8)</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b w:val="1"/>
          <w:bCs w:val="1"/>
          <w:color w:val="auto"/>
        </w:rPr>
        <w:t>(217.2)</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b w:val="1"/>
          <w:bCs w:val="1"/>
          <w:color w:val="auto"/>
        </w:rPr>
        <w:t>1.8</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b w:val="1"/>
          <w:bCs w:val="1"/>
          <w:color w:val="auto"/>
        </w:rPr>
        <w:t>(121.1)</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b w:val="1"/>
          <w:bCs w:val="1"/>
          <w:color w:val="auto"/>
        </w:rPr>
        <w:t>285.2</w:t>
      </w:r>
    </w:p>
    <w:p>
      <w:pPr>
        <w:spacing w:after="0" w:line="30"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w:t>
      </w:r>
    </w:p>
    <w:p>
      <w:pPr>
        <w:spacing w:after="0" w:line="15" w:lineRule="exact"/>
        <w:rPr>
          <w:sz w:val="20"/>
          <w:szCs w:val="20"/>
          <w:color w:val="auto"/>
        </w:rPr>
      </w:pPr>
    </w:p>
    <w:p>
      <w:pPr>
        <w:ind w:left="520"/>
        <w:spacing w:after="0"/>
        <w:rPr>
          <w:sz w:val="20"/>
          <w:szCs w:val="20"/>
          <w:color w:val="auto"/>
        </w:rPr>
      </w:pPr>
      <w:r>
        <w:rPr>
          <w:rFonts w:ascii="Arial" w:cs="Arial" w:eastAsia="Arial" w:hAnsi="Arial"/>
          <w:sz w:val="15"/>
          <w:szCs w:val="15"/>
          <w:b w:val="1"/>
          <w:bCs w:val="1"/>
          <w:color w:val="auto"/>
        </w:rPr>
        <w:t>164.1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-300990</wp:posOffset>
            </wp:positionH>
            <wp:positionV relativeFrom="paragraph">
              <wp:posOffset>23495</wp:posOffset>
            </wp:positionV>
            <wp:extent cx="914400" cy="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extLst>
                    </a:blip>
                    <a:srcRect/>
                    <a:stretch>
                      <a:fillRect/>
                    </a:stretch>
                  </pic:blipFill>
                  <pic:spPr bwMode="auto">
                    <a:xfrm>
                      <a:off x="0" y="0"/>
                      <a:ext cx="914400" cy="9525"/>
                    </a:xfrm>
                    <a:prstGeom prst="rect">
                      <a:avLst/>
                    </a:prstGeom>
                    <a:noFill/>
                  </pic:spPr>
                </pic:pic>
              </a:graphicData>
            </a:graphic>
          </wp:anchor>
        </w:drawing>
        <w:drawing>
          <wp:anchor simplePos="0" relativeHeight="251657728" behindDoc="1" locked="0" layoutInCell="0" allowOverlap="1">
            <wp:simplePos x="0" y="0"/>
            <wp:positionH relativeFrom="column">
              <wp:posOffset>-300990</wp:posOffset>
            </wp:positionH>
            <wp:positionV relativeFrom="paragraph">
              <wp:posOffset>52070</wp:posOffset>
            </wp:positionV>
            <wp:extent cx="914400" cy="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extLst>
                    </a:blip>
                    <a:srcRect/>
                    <a:stretch>
                      <a:fillRect/>
                    </a:stretch>
                  </pic:blipFill>
                  <pic:spPr bwMode="auto">
                    <a:xfrm>
                      <a:off x="0" y="0"/>
                      <a:ext cx="914400" cy="952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7"/>
          <w:szCs w:val="17"/>
          <w:color w:val="auto"/>
        </w:rPr>
        <w:t>$</w:t>
      </w:r>
    </w:p>
    <w:p>
      <w:pPr>
        <w:spacing w:after="0" w:line="20" w:lineRule="exact"/>
        <w:rPr>
          <w:sz w:val="20"/>
          <w:szCs w:val="20"/>
          <w:color w:val="auto"/>
        </w:rPr>
      </w:pPr>
    </w:p>
    <w:p>
      <w:pPr>
        <w:ind w:left="520"/>
        <w:spacing w:after="0"/>
        <w:rPr>
          <w:sz w:val="20"/>
          <w:szCs w:val="20"/>
          <w:color w:val="auto"/>
        </w:rPr>
      </w:pPr>
      <w:r>
        <w:rPr>
          <w:rFonts w:ascii="Arial" w:cs="Arial" w:eastAsia="Arial" w:hAnsi="Arial"/>
          <w:sz w:val="15"/>
          <w:szCs w:val="15"/>
          <w:color w:val="auto"/>
        </w:rPr>
        <w:t>424.2</w:t>
      </w:r>
    </w:p>
    <w:p>
      <w:pPr>
        <w:spacing w:after="0" w:line="200" w:lineRule="exact"/>
        <w:rPr>
          <w:sz w:val="20"/>
          <w:szCs w:val="20"/>
          <w:color w:val="auto"/>
        </w:rPr>
      </w:pPr>
    </w:p>
    <w:p>
      <w:pPr>
        <w:spacing w:after="0" w:line="253" w:lineRule="exact"/>
        <w:rPr>
          <w:sz w:val="20"/>
          <w:szCs w:val="20"/>
          <w:color w:val="auto"/>
        </w:rPr>
      </w:pPr>
    </w:p>
    <w:p>
      <w:pPr>
        <w:jc w:val="right"/>
        <w:ind w:right="20"/>
        <w:spacing w:after="0"/>
        <w:rPr>
          <w:sz w:val="20"/>
          <w:szCs w:val="20"/>
          <w:color w:val="auto"/>
        </w:rPr>
      </w:pPr>
      <w:r>
        <w:rPr>
          <w:rFonts w:ascii="Arial" w:cs="Arial" w:eastAsia="Arial" w:hAnsi="Arial"/>
          <w:sz w:val="17"/>
          <w:szCs w:val="17"/>
          <w:color w:val="auto"/>
        </w:rPr>
        <w:t>281.2</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color w:val="auto"/>
        </w:rPr>
        <w:t>36.7</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color w:val="auto"/>
        </w:rPr>
        <w:t>26.7</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color w:val="auto"/>
        </w:rPr>
        <w:t>(2.4)</w:t>
      </w:r>
    </w:p>
    <w:p>
      <w:pPr>
        <w:spacing w:after="0" w:line="255" w:lineRule="exact"/>
        <w:rPr>
          <w:sz w:val="20"/>
          <w:szCs w:val="20"/>
          <w:color w:val="auto"/>
        </w:rPr>
      </w:pPr>
    </w:p>
    <w:p>
      <w:pPr>
        <w:jc w:val="right"/>
        <w:spacing w:after="0"/>
        <w:rPr>
          <w:sz w:val="20"/>
          <w:szCs w:val="20"/>
          <w:color w:val="auto"/>
        </w:rPr>
      </w:pPr>
      <w:r>
        <w:rPr>
          <w:rFonts w:ascii="Arial" w:cs="Arial" w:eastAsia="Arial" w:hAnsi="Arial"/>
          <w:sz w:val="17"/>
          <w:szCs w:val="17"/>
          <w:color w:val="auto"/>
        </w:rPr>
        <w:t>(170.5)</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color w:val="auto"/>
        </w:rPr>
        <w:t>(43.4)</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color w:val="auto"/>
        </w:rPr>
        <w:t>(475.7)</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color w:val="auto"/>
        </w:rPr>
        <w:t>76.8</w:t>
      </w:r>
    </w:p>
    <w:p>
      <w:pPr>
        <w:spacing w:after="0" w:line="255" w:lineRule="exact"/>
        <w:rPr>
          <w:sz w:val="20"/>
          <w:szCs w:val="20"/>
          <w:color w:val="auto"/>
        </w:rPr>
      </w:pPr>
    </w:p>
    <w:p>
      <w:pPr>
        <w:jc w:val="right"/>
        <w:spacing w:after="0"/>
        <w:rPr>
          <w:sz w:val="20"/>
          <w:szCs w:val="20"/>
          <w:color w:val="auto"/>
        </w:rPr>
      </w:pPr>
      <w:r>
        <w:rPr>
          <w:rFonts w:ascii="Arial" w:cs="Arial" w:eastAsia="Arial" w:hAnsi="Arial"/>
          <w:sz w:val="17"/>
          <w:szCs w:val="17"/>
          <w:color w:val="auto"/>
        </w:rPr>
        <w:t>(315.4)</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color w:val="auto"/>
        </w:rPr>
        <w:t>(111.4)</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color w:val="auto"/>
        </w:rPr>
        <w:t>98.1</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color w:val="auto"/>
        </w:rPr>
        <w:t>(328.7)</w:t>
      </w:r>
    </w:p>
    <w:p>
      <w:pPr>
        <w:spacing w:after="0" w:line="390" w:lineRule="exact"/>
        <w:rPr>
          <w:sz w:val="20"/>
          <w:szCs w:val="20"/>
          <w:color w:val="auto"/>
        </w:rPr>
      </w:pPr>
    </w:p>
    <w:p>
      <w:pPr>
        <w:jc w:val="right"/>
        <w:ind w:right="20"/>
        <w:spacing w:after="0"/>
        <w:rPr>
          <w:sz w:val="20"/>
          <w:szCs w:val="20"/>
          <w:color w:val="auto"/>
        </w:rPr>
      </w:pPr>
      <w:r>
        <w:rPr>
          <w:rFonts w:ascii="Arial" w:cs="Arial" w:eastAsia="Arial" w:hAnsi="Arial"/>
          <w:sz w:val="17"/>
          <w:szCs w:val="17"/>
          <w:color w:val="auto"/>
        </w:rPr>
        <w:t>386.7</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color w:val="auto"/>
        </w:rPr>
        <w:t>—</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color w:val="auto"/>
        </w:rPr>
        <w:t>—</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color w:val="auto"/>
        </w:rPr>
        <w:t>(95.7)</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color w:val="auto"/>
        </w:rPr>
        <w:t>(2.4)</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color w:val="auto"/>
        </w:rPr>
        <w:t>8.7</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color w:val="auto"/>
        </w:rPr>
        <w:t>(32.3)</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color w:val="auto"/>
        </w:rPr>
        <w:t>—</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color w:val="auto"/>
        </w:rPr>
        <w:t>265.0</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color w:val="auto"/>
        </w:rPr>
        <w:t>(14.2)</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color w:val="auto"/>
        </w:rPr>
        <w:t>(1.1)</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color w:val="auto"/>
        </w:rPr>
        <w:t>224.7</w:t>
      </w:r>
    </w:p>
    <w:p>
      <w:pPr>
        <w:spacing w:after="0" w:line="30" w:lineRule="exact"/>
        <w:rPr>
          <w:sz w:val="20"/>
          <w:szCs w:val="20"/>
          <w:color w:val="auto"/>
        </w:rPr>
      </w:pPr>
    </w:p>
    <w:p>
      <w:pPr>
        <w:spacing w:after="0"/>
        <w:rPr>
          <w:sz w:val="20"/>
          <w:szCs w:val="20"/>
          <w:color w:val="auto"/>
        </w:rPr>
      </w:pPr>
      <w:r>
        <w:rPr>
          <w:rFonts w:ascii="Arial" w:cs="Arial" w:eastAsia="Arial" w:hAnsi="Arial"/>
          <w:sz w:val="17"/>
          <w:szCs w:val="17"/>
          <w:color w:val="auto"/>
        </w:rPr>
        <w:t>$</w:t>
      </w:r>
    </w:p>
    <w:p>
      <w:pPr>
        <w:spacing w:after="0" w:line="20" w:lineRule="exact"/>
        <w:rPr>
          <w:sz w:val="20"/>
          <w:szCs w:val="20"/>
          <w:color w:val="auto"/>
        </w:rPr>
      </w:pPr>
    </w:p>
    <w:p>
      <w:pPr>
        <w:ind w:left="520"/>
        <w:spacing w:after="0"/>
        <w:rPr>
          <w:sz w:val="20"/>
          <w:szCs w:val="20"/>
          <w:color w:val="auto"/>
        </w:rPr>
      </w:pPr>
      <w:r>
        <w:rPr>
          <w:rFonts w:ascii="Arial" w:cs="Arial" w:eastAsia="Arial" w:hAnsi="Arial"/>
          <w:sz w:val="15"/>
          <w:szCs w:val="15"/>
          <w:color w:val="auto"/>
        </w:rPr>
        <w:t>223.6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-313690</wp:posOffset>
            </wp:positionH>
            <wp:positionV relativeFrom="paragraph">
              <wp:posOffset>23495</wp:posOffset>
            </wp:positionV>
            <wp:extent cx="923925" cy="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extLst>
                    </a:blip>
                    <a:srcRect/>
                    <a:stretch>
                      <a:fillRect/>
                    </a:stretch>
                  </pic:blipFill>
                  <pic:spPr bwMode="auto">
                    <a:xfrm>
                      <a:off x="0" y="0"/>
                      <a:ext cx="923925" cy="9525"/>
                    </a:xfrm>
                    <a:prstGeom prst="rect">
                      <a:avLst/>
                    </a:prstGeom>
                    <a:noFill/>
                  </pic:spPr>
                </pic:pic>
              </a:graphicData>
            </a:graphic>
          </wp:anchor>
        </w:drawing>
        <w:drawing>
          <wp:anchor simplePos="0" relativeHeight="251657728" behindDoc="1" locked="0" layoutInCell="0" allowOverlap="1">
            <wp:simplePos x="0" y="0"/>
            <wp:positionH relativeFrom="column">
              <wp:posOffset>-313690</wp:posOffset>
            </wp:positionH>
            <wp:positionV relativeFrom="paragraph">
              <wp:posOffset>52070</wp:posOffset>
            </wp:positionV>
            <wp:extent cx="923925" cy="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a:extLst>
                        <a:ext uri="{28A0092B-C50C-407E-A947-70E740481C1C}"/>
                      </a:extLst>
                    </a:blip>
                    <a:srcRect/>
                    <a:stretch>
                      <a:fillRect/>
                    </a:stretch>
                  </pic:blipFill>
                  <pic:spPr bwMode="auto">
                    <a:xfrm>
                      <a:off x="0" y="0"/>
                      <a:ext cx="923925" cy="9525"/>
                    </a:xfrm>
                    <a:prstGeom prst="rect">
                      <a:avLst/>
                    </a:prstGeom>
                    <a:noFill/>
                  </pic:spPr>
                </pic:pic>
              </a:graphicData>
            </a:graphic>
          </wp:anchor>
        </w:drawing>
      </w:r>
    </w:p>
    <w:p>
      <w:pPr>
        <w:spacing w:after="0" w:line="232" w:lineRule="exact"/>
        <w:rPr>
          <w:sz w:val="20"/>
          <w:szCs w:val="20"/>
          <w:color w:val="auto"/>
        </w:rPr>
      </w:pPr>
    </w:p>
    <w:p>
      <w:pPr>
        <w:sectPr>
          <w:pgSz w:w="12240" w:h="15840" w:orient="portrait"/>
          <w:cols w:equalWidth="0" w:num="3">
            <w:col w:w="6640" w:space="720"/>
            <w:col w:w="940" w:space="580"/>
            <w:col w:w="940"/>
          </w:cols>
          <w:pgMar w:left="1200" w:top="1075" w:right="122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Common Questions &amp; Answers (Unaudited)</w:t>
      </w:r>
    </w:p>
    <w:p>
      <w:pPr>
        <w:spacing w:after="0" w:line="43" w:lineRule="exact"/>
        <w:rPr>
          <w:sz w:val="20"/>
          <w:szCs w:val="20"/>
          <w:color w:val="auto"/>
        </w:rPr>
      </w:pPr>
    </w:p>
    <w:p>
      <w:pPr>
        <w:spacing w:after="0"/>
        <w:rPr>
          <w:sz w:val="20"/>
          <w:szCs w:val="20"/>
          <w:color w:val="auto"/>
        </w:rPr>
      </w:pPr>
      <w:r>
        <w:rPr>
          <w:rFonts w:ascii="Arial" w:cs="Arial" w:eastAsia="Arial" w:hAnsi="Arial"/>
          <w:sz w:val="24"/>
          <w:szCs w:val="24"/>
          <w:color w:val="auto"/>
        </w:rPr>
        <w:t>(Dollars in millions)</w:t>
      </w:r>
    </w:p>
    <w:p>
      <w:pPr>
        <w:spacing w:after="0" w:line="21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1. Can you provide a further analysis of operating revenue by operating segment?</w:t>
      </w:r>
    </w:p>
    <w:p>
      <w:pPr>
        <w:spacing w:after="0" w:line="253" w:lineRule="exact"/>
        <w:rPr>
          <w:sz w:val="20"/>
          <w:szCs w:val="20"/>
          <w:color w:val="auto"/>
        </w:rPr>
      </w:pPr>
    </w:p>
    <w:p>
      <w:pPr>
        <w:spacing w:after="0"/>
        <w:rPr>
          <w:sz w:val="20"/>
          <w:szCs w:val="20"/>
          <w:color w:val="auto"/>
        </w:rPr>
      </w:pPr>
      <w:r>
        <w:rPr>
          <w:rFonts w:ascii="Arial" w:cs="Arial" w:eastAsia="Arial" w:hAnsi="Arial"/>
          <w:sz w:val="24"/>
          <w:szCs w:val="24"/>
          <w:color w:val="auto"/>
        </w:rPr>
        <w:t>Operating revenue consists of the following components:</w:t>
      </w:r>
    </w:p>
    <w:p>
      <w:pPr>
        <w:sectPr>
          <w:pgSz w:w="12240" w:h="15840" w:orient="portrait"/>
          <w:cols w:equalWidth="0" w:num="1">
            <w:col w:w="9820"/>
          </w:cols>
          <w:pgMar w:left="1200" w:top="1075" w:right="1220" w:bottom="1440" w:gutter="0" w:footer="0" w:header="0"/>
          <w:type w:val="continuous"/>
        </w:sectPr>
      </w:pPr>
    </w:p>
    <w:bookmarkStart w:id="8" w:name="page9"/>
    <w:bookmarkEnd w:id="8"/>
    <w:tbl>
      <w:tblPr>
        <w:tblLayout w:type="fixed"/>
        <w:tblInd w:w="60" w:type="dxa"/>
        <w:tblCellMar>
          <w:top w:w="0" w:type="dxa"/>
          <w:left w:w="0" w:type="dxa"/>
          <w:bottom w:w="0" w:type="dxa"/>
          <w:right w:w="0" w:type="dxa"/>
        </w:tblCellMar>
      </w:tblPr>
      <w:tr>
        <w:trPr>
          <w:trHeight w:val="231"/>
        </w:trPr>
        <w:tc>
          <w:tcPr>
            <w:tcW w:w="2400" w:type="dxa"/>
            <w:vAlign w:val="bottom"/>
          </w:tcPr>
          <w:p>
            <w:pPr>
              <w:spacing w:after="0"/>
              <w:rPr>
                <w:sz w:val="20"/>
                <w:szCs w:val="20"/>
                <w:color w:val="auto"/>
              </w:rPr>
            </w:pPr>
            <w:r>
              <w:rPr>
                <w:rFonts w:ascii="Arial" w:cs="Arial" w:eastAsia="Arial" w:hAnsi="Arial"/>
                <w:sz w:val="17"/>
                <w:szCs w:val="17"/>
                <w:i w:val="1"/>
                <w:iCs w:val="1"/>
                <w:color w:val="auto"/>
              </w:rPr>
              <w:t>(In millions)</w:t>
            </w:r>
          </w:p>
        </w:tc>
        <w:tc>
          <w:tcPr>
            <w:tcW w:w="2860" w:type="dxa"/>
            <w:vAlign w:val="bottom"/>
            <w:gridSpan w:val="3"/>
          </w:tcPr>
          <w:p>
            <w:pPr>
              <w:jc w:val="right"/>
              <w:ind w:right="240"/>
              <w:spacing w:after="0"/>
              <w:rPr>
                <w:sz w:val="20"/>
                <w:szCs w:val="20"/>
                <w:color w:val="auto"/>
              </w:rPr>
            </w:pPr>
            <w:r>
              <w:rPr>
                <w:rFonts w:ascii="Arial" w:cs="Arial" w:eastAsia="Arial" w:hAnsi="Arial"/>
                <w:sz w:val="17"/>
                <w:szCs w:val="17"/>
                <w:b w:val="1"/>
                <w:bCs w:val="1"/>
                <w:color w:val="auto"/>
              </w:rPr>
              <w:t>Three Months Ended June 30,</w:t>
            </w:r>
          </w:p>
        </w:tc>
        <w:tc>
          <w:tcPr>
            <w:tcW w:w="140" w:type="dxa"/>
            <w:vAlign w:val="bottom"/>
          </w:tcPr>
          <w:p>
            <w:pPr>
              <w:spacing w:after="0"/>
              <w:rPr>
                <w:sz w:val="20"/>
                <w:szCs w:val="20"/>
                <w:color w:val="auto"/>
              </w:rPr>
            </w:pPr>
          </w:p>
        </w:tc>
        <w:tc>
          <w:tcPr>
            <w:tcW w:w="112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020" w:type="dxa"/>
            <w:vAlign w:val="bottom"/>
            <w:vMerge w:val="restart"/>
          </w:tcPr>
          <w:p>
            <w:pPr>
              <w:jc w:val="center"/>
              <w:spacing w:after="0"/>
              <w:rPr>
                <w:sz w:val="20"/>
                <w:szCs w:val="20"/>
                <w:color w:val="auto"/>
              </w:rPr>
            </w:pPr>
            <w:r>
              <w:rPr>
                <w:rFonts w:ascii="Arial" w:cs="Arial" w:eastAsia="Arial" w:hAnsi="Arial"/>
                <w:sz w:val="17"/>
                <w:szCs w:val="17"/>
                <w:b w:val="1"/>
                <w:bCs w:val="1"/>
                <w:color w:val="auto"/>
                <w:w w:val="96"/>
              </w:rPr>
              <w:t>Organic</w:t>
            </w:r>
          </w:p>
        </w:tc>
        <w:tc>
          <w:tcPr>
            <w:tcW w:w="0" w:type="dxa"/>
            <w:vAlign w:val="bottom"/>
          </w:tcPr>
          <w:p>
            <w:pPr>
              <w:spacing w:after="0"/>
              <w:rPr>
                <w:sz w:val="1"/>
                <w:szCs w:val="1"/>
                <w:color w:val="auto"/>
              </w:rPr>
            </w:pPr>
          </w:p>
        </w:tc>
      </w:tr>
      <w:tr>
        <w:trPr>
          <w:trHeight w:val="189"/>
        </w:trPr>
        <w:tc>
          <w:tcPr>
            <w:tcW w:w="2400" w:type="dxa"/>
            <w:vAlign w:val="bottom"/>
          </w:tcPr>
          <w:p>
            <w:pPr>
              <w:spacing w:after="0"/>
              <w:rPr>
                <w:sz w:val="16"/>
                <w:szCs w:val="16"/>
                <w:color w:val="auto"/>
              </w:rPr>
            </w:pPr>
          </w:p>
        </w:tc>
        <w:tc>
          <w:tcPr>
            <w:tcW w:w="13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3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12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1160" w:type="dxa"/>
            <w:vAlign w:val="bottom"/>
          </w:tcPr>
          <w:p>
            <w:pPr>
              <w:spacing w:after="0"/>
              <w:rPr>
                <w:sz w:val="16"/>
                <w:szCs w:val="16"/>
                <w:color w:val="auto"/>
              </w:rPr>
            </w:pPr>
          </w:p>
        </w:tc>
        <w:tc>
          <w:tcPr>
            <w:tcW w:w="102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95"/>
        </w:trPr>
        <w:tc>
          <w:tcPr>
            <w:tcW w:w="2400" w:type="dxa"/>
            <w:vAlign w:val="bottom"/>
          </w:tcPr>
          <w:p>
            <w:pPr>
              <w:spacing w:after="0"/>
              <w:rPr>
                <w:sz w:val="16"/>
                <w:szCs w:val="16"/>
                <w:color w:val="auto"/>
              </w:rPr>
            </w:pPr>
          </w:p>
        </w:tc>
        <w:tc>
          <w:tcPr>
            <w:tcW w:w="13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3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12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1160" w:type="dxa"/>
            <w:vAlign w:val="bottom"/>
          </w:tcPr>
          <w:p>
            <w:pPr>
              <w:jc w:val="center"/>
              <w:spacing w:after="0"/>
              <w:rPr>
                <w:sz w:val="20"/>
                <w:szCs w:val="20"/>
                <w:color w:val="auto"/>
              </w:rPr>
            </w:pPr>
            <w:r>
              <w:rPr>
                <w:rFonts w:ascii="Arial" w:cs="Arial" w:eastAsia="Arial" w:hAnsi="Arial"/>
                <w:sz w:val="17"/>
                <w:szCs w:val="17"/>
                <w:b w:val="1"/>
                <w:bCs w:val="1"/>
                <w:color w:val="auto"/>
                <w:w w:val="98"/>
              </w:rPr>
              <w:t>Local</w:t>
            </w:r>
          </w:p>
        </w:tc>
        <w:tc>
          <w:tcPr>
            <w:tcW w:w="1020" w:type="dxa"/>
            <w:vAlign w:val="bottom"/>
          </w:tcPr>
          <w:p>
            <w:pPr>
              <w:jc w:val="center"/>
              <w:spacing w:after="0"/>
              <w:rPr>
                <w:sz w:val="20"/>
                <w:szCs w:val="20"/>
                <w:color w:val="auto"/>
              </w:rPr>
            </w:pPr>
            <w:r>
              <w:rPr>
                <w:rFonts w:ascii="Arial" w:cs="Arial" w:eastAsia="Arial" w:hAnsi="Arial"/>
                <w:sz w:val="17"/>
                <w:szCs w:val="17"/>
                <w:b w:val="1"/>
                <w:bCs w:val="1"/>
                <w:color w:val="auto"/>
                <w:w w:val="98"/>
              </w:rPr>
              <w:t>Local</w:t>
            </w:r>
          </w:p>
        </w:tc>
        <w:tc>
          <w:tcPr>
            <w:tcW w:w="0" w:type="dxa"/>
            <w:vAlign w:val="bottom"/>
          </w:tcPr>
          <w:p>
            <w:pPr>
              <w:spacing w:after="0"/>
              <w:rPr>
                <w:sz w:val="1"/>
                <w:szCs w:val="1"/>
                <w:color w:val="auto"/>
              </w:rPr>
            </w:pPr>
          </w:p>
        </w:tc>
      </w:tr>
      <w:tr>
        <w:trPr>
          <w:trHeight w:val="225"/>
        </w:trPr>
        <w:tc>
          <w:tcPr>
            <w:tcW w:w="2400" w:type="dxa"/>
            <w:vAlign w:val="bottom"/>
          </w:tcPr>
          <w:p>
            <w:pPr>
              <w:spacing w:after="0"/>
              <w:rPr>
                <w:sz w:val="19"/>
                <w:szCs w:val="19"/>
                <w:color w:val="auto"/>
              </w:rPr>
            </w:pPr>
          </w:p>
        </w:tc>
        <w:tc>
          <w:tcPr>
            <w:tcW w:w="136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36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1160" w:type="dxa"/>
            <w:vAlign w:val="bottom"/>
          </w:tcPr>
          <w:p>
            <w:pPr>
              <w:jc w:val="center"/>
              <w:spacing w:after="0"/>
              <w:rPr>
                <w:sz w:val="20"/>
                <w:szCs w:val="20"/>
                <w:color w:val="auto"/>
              </w:rPr>
            </w:pPr>
            <w:r>
              <w:rPr>
                <w:rFonts w:ascii="Arial" w:cs="Arial" w:eastAsia="Arial" w:hAnsi="Arial"/>
                <w:sz w:val="17"/>
                <w:szCs w:val="17"/>
                <w:b w:val="1"/>
                <w:bCs w:val="1"/>
                <w:color w:val="auto"/>
                <w:w w:val="96"/>
              </w:rPr>
              <w:t>Currency</w:t>
            </w:r>
          </w:p>
        </w:tc>
        <w:tc>
          <w:tcPr>
            <w:tcW w:w="1020" w:type="dxa"/>
            <w:vAlign w:val="bottom"/>
          </w:tcPr>
          <w:p>
            <w:pPr>
              <w:jc w:val="center"/>
              <w:spacing w:after="0"/>
              <w:rPr>
                <w:sz w:val="20"/>
                <w:szCs w:val="20"/>
                <w:color w:val="auto"/>
              </w:rPr>
            </w:pPr>
            <w:r>
              <w:rPr>
                <w:rFonts w:ascii="Arial" w:cs="Arial" w:eastAsia="Arial" w:hAnsi="Arial"/>
                <w:sz w:val="17"/>
                <w:szCs w:val="17"/>
                <w:b w:val="1"/>
                <w:bCs w:val="1"/>
                <w:color w:val="auto"/>
                <w:w w:val="96"/>
              </w:rPr>
              <w:t>Currency</w:t>
            </w:r>
          </w:p>
        </w:tc>
        <w:tc>
          <w:tcPr>
            <w:tcW w:w="0" w:type="dxa"/>
            <w:vAlign w:val="bottom"/>
          </w:tcPr>
          <w:p>
            <w:pPr>
              <w:spacing w:after="0"/>
              <w:rPr>
                <w:sz w:val="1"/>
                <w:szCs w:val="1"/>
                <w:color w:val="auto"/>
              </w:rPr>
            </w:pPr>
          </w:p>
        </w:tc>
      </w:tr>
      <w:tr>
        <w:trPr>
          <w:trHeight w:val="216"/>
        </w:trPr>
        <w:tc>
          <w:tcPr>
            <w:tcW w:w="2400" w:type="dxa"/>
            <w:vAlign w:val="bottom"/>
          </w:tcPr>
          <w:p>
            <w:pPr>
              <w:spacing w:after="0"/>
              <w:rPr>
                <w:sz w:val="18"/>
                <w:szCs w:val="18"/>
                <w:color w:val="auto"/>
              </w:rPr>
            </w:pPr>
          </w:p>
        </w:tc>
        <w:tc>
          <w:tcPr>
            <w:tcW w:w="136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36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120" w:type="dxa"/>
            <w:vAlign w:val="bottom"/>
          </w:tcPr>
          <w:p>
            <w:pPr>
              <w:spacing w:after="0"/>
              <w:rPr>
                <w:sz w:val="18"/>
                <w:szCs w:val="18"/>
                <w:color w:val="auto"/>
              </w:rPr>
            </w:pPr>
          </w:p>
        </w:tc>
        <w:tc>
          <w:tcPr>
            <w:tcW w:w="1080" w:type="dxa"/>
            <w:vAlign w:val="bottom"/>
          </w:tcPr>
          <w:p>
            <w:pPr>
              <w:jc w:val="right"/>
              <w:ind w:right="358"/>
              <w:spacing w:after="0"/>
              <w:rPr>
                <w:sz w:val="20"/>
                <w:szCs w:val="20"/>
                <w:color w:val="auto"/>
              </w:rPr>
            </w:pPr>
            <w:r>
              <w:rPr>
                <w:rFonts w:ascii="Arial" w:cs="Arial" w:eastAsia="Arial" w:hAnsi="Arial"/>
                <w:sz w:val="17"/>
                <w:szCs w:val="17"/>
                <w:b w:val="1"/>
                <w:bCs w:val="1"/>
                <w:color w:val="auto"/>
              </w:rPr>
              <w:t>%</w:t>
            </w:r>
          </w:p>
        </w:tc>
        <w:tc>
          <w:tcPr>
            <w:tcW w:w="1160" w:type="dxa"/>
            <w:vAlign w:val="bottom"/>
          </w:tcPr>
          <w:p>
            <w:pPr>
              <w:jc w:val="center"/>
              <w:spacing w:after="0"/>
              <w:rPr>
                <w:sz w:val="20"/>
                <w:szCs w:val="20"/>
                <w:color w:val="auto"/>
              </w:rPr>
            </w:pPr>
            <w:r>
              <w:rPr>
                <w:rFonts w:ascii="Arial" w:cs="Arial" w:eastAsia="Arial" w:hAnsi="Arial"/>
                <w:sz w:val="17"/>
                <w:szCs w:val="17"/>
                <w:b w:val="1"/>
                <w:bCs w:val="1"/>
                <w:color w:val="auto"/>
                <w:w w:val="97"/>
              </w:rPr>
              <w:t>% Change</w:t>
            </w:r>
          </w:p>
        </w:tc>
        <w:tc>
          <w:tcPr>
            <w:tcW w:w="1020" w:type="dxa"/>
            <w:vAlign w:val="bottom"/>
          </w:tcPr>
          <w:p>
            <w:pPr>
              <w:jc w:val="center"/>
              <w:spacing w:after="0"/>
              <w:rPr>
                <w:sz w:val="20"/>
                <w:szCs w:val="20"/>
                <w:color w:val="auto"/>
              </w:rPr>
            </w:pPr>
            <w:r>
              <w:rPr>
                <w:rFonts w:ascii="Arial" w:cs="Arial" w:eastAsia="Arial" w:hAnsi="Arial"/>
                <w:sz w:val="17"/>
                <w:szCs w:val="17"/>
                <w:b w:val="1"/>
                <w:bCs w:val="1"/>
                <w:color w:val="auto"/>
                <w:w w:val="97"/>
              </w:rPr>
              <w:t>% Change</w:t>
            </w:r>
          </w:p>
        </w:tc>
        <w:tc>
          <w:tcPr>
            <w:tcW w:w="0" w:type="dxa"/>
            <w:vAlign w:val="bottom"/>
          </w:tcPr>
          <w:p>
            <w:pPr>
              <w:spacing w:after="0"/>
              <w:rPr>
                <w:sz w:val="1"/>
                <w:szCs w:val="1"/>
                <w:color w:val="auto"/>
              </w:rPr>
            </w:pPr>
          </w:p>
        </w:tc>
      </w:tr>
      <w:tr>
        <w:trPr>
          <w:trHeight w:val="249"/>
        </w:trPr>
        <w:tc>
          <w:tcPr>
            <w:tcW w:w="2400" w:type="dxa"/>
            <w:vAlign w:val="bottom"/>
          </w:tcPr>
          <w:p>
            <w:pPr>
              <w:spacing w:after="0"/>
              <w:rPr>
                <w:sz w:val="20"/>
                <w:szCs w:val="20"/>
                <w:color w:val="auto"/>
              </w:rPr>
            </w:pPr>
            <w:r>
              <w:rPr>
                <w:rFonts w:ascii="Arial" w:cs="Arial" w:eastAsia="Arial" w:hAnsi="Arial"/>
                <w:sz w:val="17"/>
                <w:szCs w:val="17"/>
                <w:b w:val="1"/>
                <w:bCs w:val="1"/>
                <w:color w:val="auto"/>
              </w:rPr>
              <w:t>Operating revenue:</w:t>
            </w:r>
          </w:p>
        </w:tc>
        <w:tc>
          <w:tcPr>
            <w:tcW w:w="1360" w:type="dxa"/>
            <w:vAlign w:val="bottom"/>
          </w:tcPr>
          <w:p>
            <w:pPr>
              <w:jc w:val="right"/>
              <w:ind w:right="458"/>
              <w:spacing w:after="0"/>
              <w:rPr>
                <w:sz w:val="20"/>
                <w:szCs w:val="20"/>
                <w:color w:val="auto"/>
              </w:rPr>
            </w:pPr>
            <w:r>
              <w:rPr>
                <w:rFonts w:ascii="Arial" w:cs="Arial" w:eastAsia="Arial" w:hAnsi="Arial"/>
                <w:sz w:val="17"/>
                <w:szCs w:val="17"/>
                <w:b w:val="1"/>
                <w:bCs w:val="1"/>
                <w:color w:val="auto"/>
              </w:rPr>
              <w:t>2023</w:t>
            </w:r>
          </w:p>
        </w:tc>
        <w:tc>
          <w:tcPr>
            <w:tcW w:w="1500" w:type="dxa"/>
            <w:vAlign w:val="bottom"/>
            <w:gridSpan w:val="2"/>
          </w:tcPr>
          <w:p>
            <w:pPr>
              <w:jc w:val="right"/>
              <w:ind w:right="540"/>
              <w:spacing w:after="0"/>
              <w:rPr>
                <w:sz w:val="20"/>
                <w:szCs w:val="20"/>
                <w:color w:val="auto"/>
              </w:rPr>
            </w:pPr>
            <w:r>
              <w:rPr>
                <w:rFonts w:ascii="Arial" w:cs="Arial" w:eastAsia="Arial" w:hAnsi="Arial"/>
                <w:sz w:val="17"/>
                <w:szCs w:val="17"/>
                <w:b w:val="1"/>
                <w:bCs w:val="1"/>
                <w:color w:val="auto"/>
              </w:rPr>
              <w:t>2022</w:t>
            </w:r>
          </w:p>
        </w:tc>
        <w:tc>
          <w:tcPr>
            <w:tcW w:w="140" w:type="dxa"/>
            <w:vAlign w:val="bottom"/>
          </w:tcPr>
          <w:p>
            <w:pPr>
              <w:spacing w:after="0"/>
              <w:rPr>
                <w:sz w:val="21"/>
                <w:szCs w:val="21"/>
                <w:color w:val="auto"/>
              </w:rPr>
            </w:pPr>
          </w:p>
        </w:tc>
        <w:tc>
          <w:tcPr>
            <w:tcW w:w="1120" w:type="dxa"/>
            <w:vAlign w:val="bottom"/>
          </w:tcPr>
          <w:p>
            <w:pPr>
              <w:jc w:val="right"/>
              <w:ind w:right="78"/>
              <w:spacing w:after="0"/>
              <w:rPr>
                <w:sz w:val="20"/>
                <w:szCs w:val="20"/>
                <w:color w:val="auto"/>
              </w:rPr>
            </w:pPr>
            <w:r>
              <w:rPr>
                <w:rFonts w:ascii="Arial" w:cs="Arial" w:eastAsia="Arial" w:hAnsi="Arial"/>
                <w:sz w:val="17"/>
                <w:szCs w:val="17"/>
                <w:b w:val="1"/>
                <w:bCs w:val="1"/>
                <w:color w:val="auto"/>
              </w:rPr>
              <w:t>$ Change</w:t>
            </w:r>
          </w:p>
        </w:tc>
        <w:tc>
          <w:tcPr>
            <w:tcW w:w="1080" w:type="dxa"/>
            <w:vAlign w:val="bottom"/>
          </w:tcPr>
          <w:p>
            <w:pPr>
              <w:jc w:val="right"/>
              <w:ind w:right="118"/>
              <w:spacing w:after="0"/>
              <w:rPr>
                <w:sz w:val="20"/>
                <w:szCs w:val="20"/>
                <w:color w:val="auto"/>
              </w:rPr>
            </w:pPr>
            <w:r>
              <w:rPr>
                <w:rFonts w:ascii="Arial" w:cs="Arial" w:eastAsia="Arial" w:hAnsi="Arial"/>
                <w:sz w:val="17"/>
                <w:szCs w:val="17"/>
                <w:b w:val="1"/>
                <w:bCs w:val="1"/>
                <w:color w:val="auto"/>
              </w:rPr>
              <w:t>Change</w:t>
            </w:r>
          </w:p>
        </w:tc>
        <w:tc>
          <w:tcPr>
            <w:tcW w:w="1160" w:type="dxa"/>
            <w:vAlign w:val="bottom"/>
          </w:tcPr>
          <w:p>
            <w:pPr>
              <w:jc w:val="center"/>
              <w:spacing w:after="0"/>
              <w:rPr>
                <w:sz w:val="20"/>
                <w:szCs w:val="20"/>
                <w:color w:val="auto"/>
              </w:rPr>
            </w:pPr>
            <w:r>
              <w:rPr>
                <w:rFonts w:ascii="Arial" w:cs="Arial" w:eastAsia="Arial" w:hAnsi="Arial"/>
                <w:sz w:val="14"/>
                <w:szCs w:val="14"/>
                <w:b w:val="1"/>
                <w:bCs w:val="1"/>
                <w:color w:val="auto"/>
                <w:w w:val="93"/>
              </w:rPr>
              <w:t>(1)</w:t>
            </w:r>
          </w:p>
        </w:tc>
        <w:tc>
          <w:tcPr>
            <w:tcW w:w="1020" w:type="dxa"/>
            <w:vAlign w:val="bottom"/>
          </w:tcPr>
          <w:p>
            <w:pPr>
              <w:jc w:val="center"/>
              <w:spacing w:after="0"/>
              <w:rPr>
                <w:sz w:val="20"/>
                <w:szCs w:val="20"/>
                <w:color w:val="auto"/>
              </w:rPr>
            </w:pPr>
            <w:r>
              <w:rPr>
                <w:rFonts w:ascii="Arial" w:cs="Arial" w:eastAsia="Arial" w:hAnsi="Arial"/>
                <w:sz w:val="14"/>
                <w:szCs w:val="14"/>
                <w:b w:val="1"/>
                <w:bCs w:val="1"/>
                <w:color w:val="auto"/>
                <w:w w:val="93"/>
              </w:rPr>
              <w:t>(2)</w:t>
            </w:r>
          </w:p>
        </w:tc>
        <w:tc>
          <w:tcPr>
            <w:tcW w:w="0" w:type="dxa"/>
            <w:vAlign w:val="bottom"/>
          </w:tcPr>
          <w:p>
            <w:pPr>
              <w:spacing w:after="0"/>
              <w:rPr>
                <w:sz w:val="1"/>
                <w:szCs w:val="1"/>
                <w:color w:val="auto"/>
              </w:rPr>
            </w:pPr>
          </w:p>
        </w:tc>
      </w:tr>
      <w:tr>
        <w:trPr>
          <w:trHeight w:val="195"/>
        </w:trPr>
        <w:tc>
          <w:tcPr>
            <w:tcW w:w="2400" w:type="dxa"/>
            <w:vAlign w:val="bottom"/>
          </w:tcPr>
          <w:p>
            <w:pPr>
              <w:spacing w:after="0"/>
              <w:rPr>
                <w:sz w:val="16"/>
                <w:szCs w:val="16"/>
                <w:color w:val="auto"/>
              </w:rPr>
            </w:pPr>
          </w:p>
        </w:tc>
        <w:tc>
          <w:tcPr>
            <w:tcW w:w="1360" w:type="dxa"/>
            <w:vAlign w:val="bottom"/>
          </w:tcPr>
          <w:p>
            <w:pPr>
              <w:jc w:val="right"/>
              <w:ind w:right="698"/>
              <w:spacing w:after="0"/>
              <w:rPr>
                <w:sz w:val="20"/>
                <w:szCs w:val="20"/>
                <w:color w:val="auto"/>
              </w:rPr>
            </w:pPr>
            <w:r>
              <w:rPr>
                <w:rFonts w:ascii="Arial" w:cs="Arial" w:eastAsia="Arial" w:hAnsi="Arial"/>
                <w:sz w:val="17"/>
                <w:szCs w:val="17"/>
                <w:b w:val="1"/>
                <w:bCs w:val="1"/>
                <w:color w:val="auto"/>
              </w:rPr>
              <w:t>$</w:t>
            </w:r>
          </w:p>
        </w:tc>
        <w:tc>
          <w:tcPr>
            <w:tcW w:w="1500" w:type="dxa"/>
            <w:vAlign w:val="bottom"/>
            <w:gridSpan w:val="2"/>
          </w:tcPr>
          <w:p>
            <w:pPr>
              <w:jc w:val="right"/>
              <w:ind w:right="780"/>
              <w:spacing w:after="0"/>
              <w:rPr>
                <w:sz w:val="20"/>
                <w:szCs w:val="20"/>
                <w:color w:val="auto"/>
              </w:rPr>
            </w:pPr>
            <w:r>
              <w:rPr>
                <w:rFonts w:ascii="Arial" w:cs="Arial" w:eastAsia="Arial" w:hAnsi="Arial"/>
                <w:sz w:val="17"/>
                <w:szCs w:val="17"/>
                <w:color w:val="auto"/>
              </w:rPr>
              <w:t>$</w:t>
            </w:r>
          </w:p>
        </w:tc>
        <w:tc>
          <w:tcPr>
            <w:tcW w:w="1260" w:type="dxa"/>
            <w:vAlign w:val="bottom"/>
            <w:gridSpan w:val="2"/>
          </w:tcPr>
          <w:p>
            <w:pPr>
              <w:jc w:val="right"/>
              <w:ind w:right="458"/>
              <w:spacing w:after="0"/>
              <w:rPr>
                <w:sz w:val="20"/>
                <w:szCs w:val="20"/>
                <w:color w:val="auto"/>
              </w:rPr>
            </w:pPr>
            <w:r>
              <w:rPr>
                <w:rFonts w:ascii="Arial" w:cs="Arial" w:eastAsia="Arial" w:hAnsi="Arial"/>
                <w:sz w:val="17"/>
                <w:szCs w:val="17"/>
                <w:color w:val="auto"/>
              </w:rPr>
              <w:t>$</w:t>
            </w:r>
          </w:p>
        </w:tc>
        <w:tc>
          <w:tcPr>
            <w:tcW w:w="1080" w:type="dxa"/>
            <w:vAlign w:val="bottom"/>
          </w:tcPr>
          <w:p>
            <w:pPr>
              <w:spacing w:after="0"/>
              <w:rPr>
                <w:sz w:val="16"/>
                <w:szCs w:val="16"/>
                <w:color w:val="auto"/>
              </w:rPr>
            </w:pPr>
          </w:p>
        </w:tc>
        <w:tc>
          <w:tcPr>
            <w:tcW w:w="1160" w:type="dxa"/>
            <w:vAlign w:val="bottom"/>
          </w:tcPr>
          <w:p>
            <w:pPr>
              <w:spacing w:after="0"/>
              <w:rPr>
                <w:sz w:val="16"/>
                <w:szCs w:val="16"/>
                <w:color w:val="auto"/>
              </w:rPr>
            </w:pPr>
          </w:p>
        </w:tc>
        <w:tc>
          <w:tcPr>
            <w:tcW w:w="10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25"/>
        </w:trPr>
        <w:tc>
          <w:tcPr>
            <w:tcW w:w="2400" w:type="dxa"/>
            <w:vAlign w:val="bottom"/>
          </w:tcPr>
          <w:p>
            <w:pPr>
              <w:spacing w:after="0"/>
              <w:rPr>
                <w:sz w:val="20"/>
                <w:szCs w:val="20"/>
                <w:color w:val="auto"/>
              </w:rPr>
            </w:pPr>
            <w:r>
              <w:rPr>
                <w:rFonts w:ascii="Arial" w:cs="Arial" w:eastAsia="Arial" w:hAnsi="Arial"/>
                <w:sz w:val="17"/>
                <w:szCs w:val="17"/>
                <w:color w:val="auto"/>
              </w:rPr>
              <w:t>Verification Services</w:t>
            </w:r>
          </w:p>
        </w:tc>
        <w:tc>
          <w:tcPr>
            <w:tcW w:w="1360" w:type="dxa"/>
            <w:vAlign w:val="bottom"/>
          </w:tcPr>
          <w:p>
            <w:pPr>
              <w:jc w:val="right"/>
              <w:ind w:right="58"/>
              <w:spacing w:after="0"/>
              <w:rPr>
                <w:sz w:val="20"/>
                <w:szCs w:val="20"/>
                <w:color w:val="auto"/>
              </w:rPr>
            </w:pPr>
            <w:r>
              <w:rPr>
                <w:rFonts w:ascii="Arial" w:cs="Arial" w:eastAsia="Arial" w:hAnsi="Arial"/>
                <w:sz w:val="17"/>
                <w:szCs w:val="17"/>
                <w:b w:val="1"/>
                <w:bCs w:val="1"/>
                <w:color w:val="auto"/>
              </w:rPr>
              <w:t>474.0</w:t>
            </w:r>
          </w:p>
        </w:tc>
        <w:tc>
          <w:tcPr>
            <w:tcW w:w="1500" w:type="dxa"/>
            <w:vAlign w:val="bottom"/>
            <w:gridSpan w:val="2"/>
          </w:tcPr>
          <w:p>
            <w:pPr>
              <w:jc w:val="right"/>
              <w:ind w:right="140"/>
              <w:spacing w:after="0"/>
              <w:rPr>
                <w:sz w:val="20"/>
                <w:szCs w:val="20"/>
                <w:color w:val="auto"/>
              </w:rPr>
            </w:pPr>
            <w:r>
              <w:rPr>
                <w:rFonts w:ascii="Arial" w:cs="Arial" w:eastAsia="Arial" w:hAnsi="Arial"/>
                <w:sz w:val="17"/>
                <w:szCs w:val="17"/>
                <w:color w:val="auto"/>
              </w:rPr>
              <w:t>504.5</w:t>
            </w:r>
          </w:p>
        </w:tc>
        <w:tc>
          <w:tcPr>
            <w:tcW w:w="1260" w:type="dxa"/>
            <w:vAlign w:val="bottom"/>
            <w:gridSpan w:val="2"/>
          </w:tcPr>
          <w:p>
            <w:pPr>
              <w:jc w:val="right"/>
              <w:spacing w:after="0"/>
              <w:rPr>
                <w:sz w:val="20"/>
                <w:szCs w:val="20"/>
                <w:color w:val="auto"/>
              </w:rPr>
            </w:pPr>
            <w:r>
              <w:rPr>
                <w:rFonts w:ascii="Arial" w:cs="Arial" w:eastAsia="Arial" w:hAnsi="Arial"/>
                <w:sz w:val="17"/>
                <w:szCs w:val="17"/>
                <w:color w:val="auto"/>
              </w:rPr>
              <w:t>(30.5)</w:t>
            </w:r>
          </w:p>
        </w:tc>
        <w:tc>
          <w:tcPr>
            <w:tcW w:w="1080" w:type="dxa"/>
            <w:vAlign w:val="bottom"/>
          </w:tcPr>
          <w:p>
            <w:pPr>
              <w:jc w:val="right"/>
              <w:ind w:right="58"/>
              <w:spacing w:after="0"/>
              <w:rPr>
                <w:sz w:val="20"/>
                <w:szCs w:val="20"/>
                <w:color w:val="auto"/>
              </w:rPr>
            </w:pPr>
            <w:r>
              <w:rPr>
                <w:rFonts w:ascii="Arial" w:cs="Arial" w:eastAsia="Arial" w:hAnsi="Arial"/>
                <w:sz w:val="17"/>
                <w:szCs w:val="17"/>
                <w:color w:val="auto"/>
              </w:rPr>
              <w:t>(6) %</w:t>
            </w:r>
          </w:p>
        </w:tc>
        <w:tc>
          <w:tcPr>
            <w:tcW w:w="1160" w:type="dxa"/>
            <w:vAlign w:val="bottom"/>
          </w:tcPr>
          <w:p>
            <w:pPr>
              <w:spacing w:after="0"/>
              <w:rPr>
                <w:sz w:val="19"/>
                <w:szCs w:val="19"/>
                <w:color w:val="auto"/>
              </w:rPr>
            </w:pPr>
          </w:p>
        </w:tc>
        <w:tc>
          <w:tcPr>
            <w:tcW w:w="1020" w:type="dxa"/>
            <w:vAlign w:val="bottom"/>
          </w:tcPr>
          <w:p>
            <w:pPr>
              <w:jc w:val="right"/>
              <w:spacing w:after="0"/>
              <w:rPr>
                <w:sz w:val="20"/>
                <w:szCs w:val="20"/>
                <w:color w:val="auto"/>
              </w:rPr>
            </w:pPr>
            <w:r>
              <w:rPr>
                <w:rFonts w:ascii="Arial" w:cs="Arial" w:eastAsia="Arial" w:hAnsi="Arial"/>
                <w:sz w:val="17"/>
                <w:szCs w:val="17"/>
                <w:color w:val="auto"/>
              </w:rPr>
              <w:t>(6) %</w:t>
            </w:r>
          </w:p>
        </w:tc>
        <w:tc>
          <w:tcPr>
            <w:tcW w:w="0" w:type="dxa"/>
            <w:vAlign w:val="bottom"/>
          </w:tcPr>
          <w:p>
            <w:pPr>
              <w:spacing w:after="0"/>
              <w:rPr>
                <w:sz w:val="1"/>
                <w:szCs w:val="1"/>
                <w:color w:val="auto"/>
              </w:rPr>
            </w:pPr>
          </w:p>
        </w:tc>
      </w:tr>
      <w:tr>
        <w:trPr>
          <w:trHeight w:val="225"/>
        </w:trPr>
        <w:tc>
          <w:tcPr>
            <w:tcW w:w="2400" w:type="dxa"/>
            <w:vAlign w:val="bottom"/>
          </w:tcPr>
          <w:p>
            <w:pPr>
              <w:spacing w:after="0"/>
              <w:rPr>
                <w:sz w:val="20"/>
                <w:szCs w:val="20"/>
                <w:color w:val="auto"/>
              </w:rPr>
            </w:pPr>
            <w:r>
              <w:rPr>
                <w:rFonts w:ascii="Arial" w:cs="Arial" w:eastAsia="Arial" w:hAnsi="Arial"/>
                <w:sz w:val="17"/>
                <w:szCs w:val="17"/>
                <w:color w:val="auto"/>
              </w:rPr>
              <w:t>Employer Services</w:t>
            </w:r>
          </w:p>
        </w:tc>
        <w:tc>
          <w:tcPr>
            <w:tcW w:w="1360" w:type="dxa"/>
            <w:vAlign w:val="bottom"/>
          </w:tcPr>
          <w:p>
            <w:pPr>
              <w:jc w:val="right"/>
              <w:ind w:right="58"/>
              <w:spacing w:after="0"/>
              <w:rPr>
                <w:sz w:val="20"/>
                <w:szCs w:val="20"/>
                <w:color w:val="auto"/>
              </w:rPr>
            </w:pPr>
            <w:r>
              <w:rPr>
                <w:rFonts w:ascii="Arial" w:cs="Arial" w:eastAsia="Arial" w:hAnsi="Arial"/>
                <w:sz w:val="17"/>
                <w:szCs w:val="17"/>
                <w:b w:val="1"/>
                <w:bCs w:val="1"/>
                <w:color w:val="auto"/>
              </w:rPr>
              <w:t>108.8</w:t>
            </w:r>
          </w:p>
        </w:tc>
        <w:tc>
          <w:tcPr>
            <w:tcW w:w="1500" w:type="dxa"/>
            <w:vAlign w:val="bottom"/>
            <w:gridSpan w:val="2"/>
          </w:tcPr>
          <w:p>
            <w:pPr>
              <w:jc w:val="right"/>
              <w:ind w:right="140"/>
              <w:spacing w:after="0"/>
              <w:rPr>
                <w:sz w:val="20"/>
                <w:szCs w:val="20"/>
                <w:color w:val="auto"/>
              </w:rPr>
            </w:pPr>
            <w:r>
              <w:rPr>
                <w:rFonts w:ascii="Arial" w:cs="Arial" w:eastAsia="Arial" w:hAnsi="Arial"/>
                <w:sz w:val="17"/>
                <w:szCs w:val="17"/>
                <w:color w:val="auto"/>
              </w:rPr>
              <w:t>104.7</w:t>
            </w:r>
          </w:p>
        </w:tc>
        <w:tc>
          <w:tcPr>
            <w:tcW w:w="1260" w:type="dxa"/>
            <w:vAlign w:val="bottom"/>
            <w:gridSpan w:val="2"/>
          </w:tcPr>
          <w:p>
            <w:pPr>
              <w:jc w:val="right"/>
              <w:ind w:right="58"/>
              <w:spacing w:after="0"/>
              <w:rPr>
                <w:sz w:val="20"/>
                <w:szCs w:val="20"/>
                <w:color w:val="auto"/>
              </w:rPr>
            </w:pPr>
            <w:r>
              <w:rPr>
                <w:rFonts w:ascii="Arial" w:cs="Arial" w:eastAsia="Arial" w:hAnsi="Arial"/>
                <w:sz w:val="17"/>
                <w:szCs w:val="17"/>
                <w:color w:val="auto"/>
              </w:rPr>
              <w:t>4.1</w:t>
            </w:r>
          </w:p>
        </w:tc>
        <w:tc>
          <w:tcPr>
            <w:tcW w:w="1080" w:type="dxa"/>
            <w:vAlign w:val="bottom"/>
          </w:tcPr>
          <w:p>
            <w:pPr>
              <w:jc w:val="right"/>
              <w:ind w:right="58"/>
              <w:spacing w:after="0"/>
              <w:rPr>
                <w:sz w:val="20"/>
                <w:szCs w:val="20"/>
                <w:color w:val="auto"/>
              </w:rPr>
            </w:pPr>
            <w:r>
              <w:rPr>
                <w:rFonts w:ascii="Arial" w:cs="Arial" w:eastAsia="Arial" w:hAnsi="Arial"/>
                <w:sz w:val="17"/>
                <w:szCs w:val="17"/>
                <w:color w:val="auto"/>
              </w:rPr>
              <w:t>4 %</w:t>
            </w:r>
          </w:p>
        </w:tc>
        <w:tc>
          <w:tcPr>
            <w:tcW w:w="1160" w:type="dxa"/>
            <w:vAlign w:val="bottom"/>
          </w:tcPr>
          <w:p>
            <w:pPr>
              <w:spacing w:after="0"/>
              <w:rPr>
                <w:sz w:val="19"/>
                <w:szCs w:val="19"/>
                <w:color w:val="auto"/>
              </w:rPr>
            </w:pPr>
          </w:p>
        </w:tc>
        <w:tc>
          <w:tcPr>
            <w:tcW w:w="1020" w:type="dxa"/>
            <w:vAlign w:val="bottom"/>
          </w:tcPr>
          <w:p>
            <w:pPr>
              <w:jc w:val="right"/>
              <w:spacing w:after="0"/>
              <w:rPr>
                <w:sz w:val="20"/>
                <w:szCs w:val="20"/>
                <w:color w:val="auto"/>
              </w:rPr>
            </w:pPr>
            <w:r>
              <w:rPr>
                <w:rFonts w:ascii="Arial" w:cs="Arial" w:eastAsia="Arial" w:hAnsi="Arial"/>
                <w:sz w:val="17"/>
                <w:szCs w:val="17"/>
                <w:color w:val="auto"/>
              </w:rPr>
              <w:t>(2) %</w:t>
            </w:r>
          </w:p>
        </w:tc>
        <w:tc>
          <w:tcPr>
            <w:tcW w:w="0" w:type="dxa"/>
            <w:vAlign w:val="bottom"/>
          </w:tcPr>
          <w:p>
            <w:pPr>
              <w:spacing w:after="0"/>
              <w:rPr>
                <w:sz w:val="1"/>
                <w:szCs w:val="1"/>
                <w:color w:val="auto"/>
              </w:rPr>
            </w:pPr>
          </w:p>
        </w:tc>
      </w:tr>
      <w:tr>
        <w:trPr>
          <w:trHeight w:val="225"/>
        </w:trPr>
        <w:tc>
          <w:tcPr>
            <w:tcW w:w="2400" w:type="dxa"/>
            <w:vAlign w:val="bottom"/>
          </w:tcPr>
          <w:p>
            <w:pPr>
              <w:ind w:left="60"/>
              <w:spacing w:after="0"/>
              <w:rPr>
                <w:sz w:val="20"/>
                <w:szCs w:val="20"/>
                <w:color w:val="auto"/>
              </w:rPr>
            </w:pPr>
            <w:r>
              <w:rPr>
                <w:rFonts w:ascii="Arial" w:cs="Arial" w:eastAsia="Arial" w:hAnsi="Arial"/>
                <w:sz w:val="17"/>
                <w:szCs w:val="17"/>
                <w:color w:val="auto"/>
              </w:rPr>
              <w:t>Total Workforce Solutions</w:t>
            </w:r>
          </w:p>
        </w:tc>
        <w:tc>
          <w:tcPr>
            <w:tcW w:w="1360" w:type="dxa"/>
            <w:vAlign w:val="bottom"/>
          </w:tcPr>
          <w:p>
            <w:pPr>
              <w:jc w:val="right"/>
              <w:ind w:right="58"/>
              <w:spacing w:after="0"/>
              <w:rPr>
                <w:sz w:val="20"/>
                <w:szCs w:val="20"/>
                <w:color w:val="auto"/>
              </w:rPr>
            </w:pPr>
            <w:r>
              <w:rPr>
                <w:rFonts w:ascii="Arial" w:cs="Arial" w:eastAsia="Arial" w:hAnsi="Arial"/>
                <w:sz w:val="17"/>
                <w:szCs w:val="17"/>
                <w:b w:val="1"/>
                <w:bCs w:val="1"/>
                <w:color w:val="auto"/>
              </w:rPr>
              <w:t>582.8</w:t>
            </w:r>
          </w:p>
        </w:tc>
        <w:tc>
          <w:tcPr>
            <w:tcW w:w="1500" w:type="dxa"/>
            <w:vAlign w:val="bottom"/>
            <w:gridSpan w:val="2"/>
          </w:tcPr>
          <w:p>
            <w:pPr>
              <w:jc w:val="right"/>
              <w:ind w:right="140"/>
              <w:spacing w:after="0"/>
              <w:rPr>
                <w:sz w:val="20"/>
                <w:szCs w:val="20"/>
                <w:color w:val="auto"/>
              </w:rPr>
            </w:pPr>
            <w:r>
              <w:rPr>
                <w:rFonts w:ascii="Arial" w:cs="Arial" w:eastAsia="Arial" w:hAnsi="Arial"/>
                <w:sz w:val="17"/>
                <w:szCs w:val="17"/>
                <w:color w:val="auto"/>
              </w:rPr>
              <w:t>609.2</w:t>
            </w:r>
          </w:p>
        </w:tc>
        <w:tc>
          <w:tcPr>
            <w:tcW w:w="1260" w:type="dxa"/>
            <w:vAlign w:val="bottom"/>
            <w:gridSpan w:val="2"/>
          </w:tcPr>
          <w:p>
            <w:pPr>
              <w:jc w:val="right"/>
              <w:spacing w:after="0"/>
              <w:rPr>
                <w:sz w:val="20"/>
                <w:szCs w:val="20"/>
                <w:color w:val="auto"/>
              </w:rPr>
            </w:pPr>
            <w:r>
              <w:rPr>
                <w:rFonts w:ascii="Arial" w:cs="Arial" w:eastAsia="Arial" w:hAnsi="Arial"/>
                <w:sz w:val="17"/>
                <w:szCs w:val="17"/>
                <w:color w:val="auto"/>
              </w:rPr>
              <w:t>(26.4)</w:t>
            </w:r>
          </w:p>
        </w:tc>
        <w:tc>
          <w:tcPr>
            <w:tcW w:w="1080" w:type="dxa"/>
            <w:vAlign w:val="bottom"/>
          </w:tcPr>
          <w:p>
            <w:pPr>
              <w:jc w:val="right"/>
              <w:ind w:right="58"/>
              <w:spacing w:after="0"/>
              <w:rPr>
                <w:sz w:val="20"/>
                <w:szCs w:val="20"/>
                <w:color w:val="auto"/>
              </w:rPr>
            </w:pPr>
            <w:r>
              <w:rPr>
                <w:rFonts w:ascii="Arial" w:cs="Arial" w:eastAsia="Arial" w:hAnsi="Arial"/>
                <w:sz w:val="17"/>
                <w:szCs w:val="17"/>
                <w:color w:val="auto"/>
              </w:rPr>
              <w:t>(4) %</w:t>
            </w:r>
          </w:p>
        </w:tc>
        <w:tc>
          <w:tcPr>
            <w:tcW w:w="1160" w:type="dxa"/>
            <w:vAlign w:val="bottom"/>
          </w:tcPr>
          <w:p>
            <w:pPr>
              <w:spacing w:after="0"/>
              <w:rPr>
                <w:sz w:val="19"/>
                <w:szCs w:val="19"/>
                <w:color w:val="auto"/>
              </w:rPr>
            </w:pPr>
          </w:p>
        </w:tc>
        <w:tc>
          <w:tcPr>
            <w:tcW w:w="1020" w:type="dxa"/>
            <w:vAlign w:val="bottom"/>
          </w:tcPr>
          <w:p>
            <w:pPr>
              <w:jc w:val="right"/>
              <w:spacing w:after="0"/>
              <w:rPr>
                <w:sz w:val="20"/>
                <w:szCs w:val="20"/>
                <w:color w:val="auto"/>
              </w:rPr>
            </w:pPr>
            <w:r>
              <w:rPr>
                <w:rFonts w:ascii="Arial" w:cs="Arial" w:eastAsia="Arial" w:hAnsi="Arial"/>
                <w:sz w:val="17"/>
                <w:szCs w:val="17"/>
                <w:color w:val="auto"/>
              </w:rPr>
              <w:t>(5) %</w:t>
            </w:r>
          </w:p>
        </w:tc>
        <w:tc>
          <w:tcPr>
            <w:tcW w:w="0" w:type="dxa"/>
            <w:vAlign w:val="bottom"/>
          </w:tcPr>
          <w:p>
            <w:pPr>
              <w:spacing w:after="0"/>
              <w:rPr>
                <w:sz w:val="1"/>
                <w:szCs w:val="1"/>
                <w:color w:val="auto"/>
              </w:rPr>
            </w:pPr>
          </w:p>
        </w:tc>
      </w:tr>
      <w:tr>
        <w:trPr>
          <w:trHeight w:val="225"/>
        </w:trPr>
        <w:tc>
          <w:tcPr>
            <w:tcW w:w="2400" w:type="dxa"/>
            <w:vAlign w:val="bottom"/>
          </w:tcPr>
          <w:p>
            <w:pPr>
              <w:spacing w:after="0"/>
              <w:rPr>
                <w:sz w:val="20"/>
                <w:szCs w:val="20"/>
                <w:color w:val="auto"/>
              </w:rPr>
            </w:pPr>
            <w:r>
              <w:rPr>
                <w:rFonts w:ascii="Arial" w:cs="Arial" w:eastAsia="Arial" w:hAnsi="Arial"/>
                <w:sz w:val="17"/>
                <w:szCs w:val="17"/>
                <w:color w:val="auto"/>
              </w:rPr>
              <w:t>Online Information Solutions</w:t>
            </w:r>
          </w:p>
        </w:tc>
        <w:tc>
          <w:tcPr>
            <w:tcW w:w="1360" w:type="dxa"/>
            <w:vAlign w:val="bottom"/>
          </w:tcPr>
          <w:p>
            <w:pPr>
              <w:jc w:val="right"/>
              <w:ind w:right="58"/>
              <w:spacing w:after="0"/>
              <w:rPr>
                <w:sz w:val="20"/>
                <w:szCs w:val="20"/>
                <w:color w:val="auto"/>
              </w:rPr>
            </w:pPr>
            <w:r>
              <w:rPr>
                <w:rFonts w:ascii="Arial" w:cs="Arial" w:eastAsia="Arial" w:hAnsi="Arial"/>
                <w:sz w:val="17"/>
                <w:szCs w:val="17"/>
                <w:b w:val="1"/>
                <w:bCs w:val="1"/>
                <w:color w:val="auto"/>
              </w:rPr>
              <w:t>358.6</w:t>
            </w:r>
          </w:p>
        </w:tc>
        <w:tc>
          <w:tcPr>
            <w:tcW w:w="1500" w:type="dxa"/>
            <w:vAlign w:val="bottom"/>
            <w:gridSpan w:val="2"/>
          </w:tcPr>
          <w:p>
            <w:pPr>
              <w:jc w:val="right"/>
              <w:ind w:right="140"/>
              <w:spacing w:after="0"/>
              <w:rPr>
                <w:sz w:val="20"/>
                <w:szCs w:val="20"/>
                <w:color w:val="auto"/>
              </w:rPr>
            </w:pPr>
            <w:r>
              <w:rPr>
                <w:rFonts w:ascii="Arial" w:cs="Arial" w:eastAsia="Arial" w:hAnsi="Arial"/>
                <w:sz w:val="17"/>
                <w:szCs w:val="17"/>
                <w:color w:val="auto"/>
              </w:rPr>
              <w:t>329.2</w:t>
            </w:r>
          </w:p>
        </w:tc>
        <w:tc>
          <w:tcPr>
            <w:tcW w:w="1260" w:type="dxa"/>
            <w:vAlign w:val="bottom"/>
            <w:gridSpan w:val="2"/>
          </w:tcPr>
          <w:p>
            <w:pPr>
              <w:jc w:val="right"/>
              <w:ind w:right="58"/>
              <w:spacing w:after="0"/>
              <w:rPr>
                <w:sz w:val="20"/>
                <w:szCs w:val="20"/>
                <w:color w:val="auto"/>
              </w:rPr>
            </w:pPr>
            <w:r>
              <w:rPr>
                <w:rFonts w:ascii="Arial" w:cs="Arial" w:eastAsia="Arial" w:hAnsi="Arial"/>
                <w:sz w:val="17"/>
                <w:szCs w:val="17"/>
                <w:color w:val="auto"/>
              </w:rPr>
              <w:t>29.4</w:t>
            </w:r>
          </w:p>
        </w:tc>
        <w:tc>
          <w:tcPr>
            <w:tcW w:w="1080" w:type="dxa"/>
            <w:vAlign w:val="bottom"/>
          </w:tcPr>
          <w:p>
            <w:pPr>
              <w:jc w:val="right"/>
              <w:ind w:right="58"/>
              <w:spacing w:after="0"/>
              <w:rPr>
                <w:sz w:val="20"/>
                <w:szCs w:val="20"/>
                <w:color w:val="auto"/>
              </w:rPr>
            </w:pPr>
            <w:r>
              <w:rPr>
                <w:rFonts w:ascii="Arial" w:cs="Arial" w:eastAsia="Arial" w:hAnsi="Arial"/>
                <w:sz w:val="17"/>
                <w:szCs w:val="17"/>
                <w:color w:val="auto"/>
              </w:rPr>
              <w:t>9 %</w:t>
            </w:r>
          </w:p>
        </w:tc>
        <w:tc>
          <w:tcPr>
            <w:tcW w:w="1160" w:type="dxa"/>
            <w:vAlign w:val="bottom"/>
          </w:tcPr>
          <w:p>
            <w:pPr>
              <w:spacing w:after="0"/>
              <w:rPr>
                <w:sz w:val="19"/>
                <w:szCs w:val="19"/>
                <w:color w:val="auto"/>
              </w:rPr>
            </w:pPr>
          </w:p>
        </w:tc>
        <w:tc>
          <w:tcPr>
            <w:tcW w:w="1020" w:type="dxa"/>
            <w:vAlign w:val="bottom"/>
          </w:tcPr>
          <w:p>
            <w:pPr>
              <w:jc w:val="right"/>
              <w:spacing w:after="0"/>
              <w:rPr>
                <w:sz w:val="20"/>
                <w:szCs w:val="20"/>
                <w:color w:val="auto"/>
              </w:rPr>
            </w:pPr>
            <w:r>
              <w:rPr>
                <w:rFonts w:ascii="Arial" w:cs="Arial" w:eastAsia="Arial" w:hAnsi="Arial"/>
                <w:sz w:val="17"/>
                <w:szCs w:val="17"/>
                <w:color w:val="auto"/>
              </w:rPr>
              <w:t>5 %</w:t>
            </w:r>
          </w:p>
        </w:tc>
        <w:tc>
          <w:tcPr>
            <w:tcW w:w="0" w:type="dxa"/>
            <w:vAlign w:val="bottom"/>
          </w:tcPr>
          <w:p>
            <w:pPr>
              <w:spacing w:after="0"/>
              <w:rPr>
                <w:sz w:val="1"/>
                <w:szCs w:val="1"/>
                <w:color w:val="auto"/>
              </w:rPr>
            </w:pPr>
          </w:p>
        </w:tc>
      </w:tr>
      <w:tr>
        <w:trPr>
          <w:trHeight w:val="225"/>
        </w:trPr>
        <w:tc>
          <w:tcPr>
            <w:tcW w:w="2400" w:type="dxa"/>
            <w:vAlign w:val="bottom"/>
          </w:tcPr>
          <w:p>
            <w:pPr>
              <w:spacing w:after="0"/>
              <w:rPr>
                <w:sz w:val="20"/>
                <w:szCs w:val="20"/>
                <w:color w:val="auto"/>
              </w:rPr>
            </w:pPr>
            <w:r>
              <w:rPr>
                <w:rFonts w:ascii="Arial" w:cs="Arial" w:eastAsia="Arial" w:hAnsi="Arial"/>
                <w:sz w:val="17"/>
                <w:szCs w:val="17"/>
                <w:color w:val="auto"/>
              </w:rPr>
              <w:t>Mortgage Solutions</w:t>
            </w:r>
          </w:p>
        </w:tc>
        <w:tc>
          <w:tcPr>
            <w:tcW w:w="1360" w:type="dxa"/>
            <w:vAlign w:val="bottom"/>
          </w:tcPr>
          <w:p>
            <w:pPr>
              <w:jc w:val="right"/>
              <w:ind w:right="58"/>
              <w:spacing w:after="0"/>
              <w:rPr>
                <w:sz w:val="20"/>
                <w:szCs w:val="20"/>
                <w:color w:val="auto"/>
              </w:rPr>
            </w:pPr>
            <w:r>
              <w:rPr>
                <w:rFonts w:ascii="Arial" w:cs="Arial" w:eastAsia="Arial" w:hAnsi="Arial"/>
                <w:sz w:val="17"/>
                <w:szCs w:val="17"/>
                <w:b w:val="1"/>
                <w:bCs w:val="1"/>
                <w:color w:val="auto"/>
              </w:rPr>
              <w:t>30.3</w:t>
            </w:r>
          </w:p>
        </w:tc>
        <w:tc>
          <w:tcPr>
            <w:tcW w:w="1500" w:type="dxa"/>
            <w:vAlign w:val="bottom"/>
            <w:gridSpan w:val="2"/>
          </w:tcPr>
          <w:p>
            <w:pPr>
              <w:jc w:val="right"/>
              <w:ind w:right="140"/>
              <w:spacing w:after="0"/>
              <w:rPr>
                <w:sz w:val="20"/>
                <w:szCs w:val="20"/>
                <w:color w:val="auto"/>
              </w:rPr>
            </w:pPr>
            <w:r>
              <w:rPr>
                <w:rFonts w:ascii="Arial" w:cs="Arial" w:eastAsia="Arial" w:hAnsi="Arial"/>
                <w:sz w:val="17"/>
                <w:szCs w:val="17"/>
                <w:color w:val="auto"/>
              </w:rPr>
              <w:t>36.8</w:t>
            </w:r>
          </w:p>
        </w:tc>
        <w:tc>
          <w:tcPr>
            <w:tcW w:w="1260" w:type="dxa"/>
            <w:vAlign w:val="bottom"/>
            <w:gridSpan w:val="2"/>
          </w:tcPr>
          <w:p>
            <w:pPr>
              <w:jc w:val="right"/>
              <w:ind w:right="18"/>
              <w:spacing w:after="0"/>
              <w:rPr>
                <w:sz w:val="20"/>
                <w:szCs w:val="20"/>
                <w:color w:val="auto"/>
              </w:rPr>
            </w:pPr>
            <w:r>
              <w:rPr>
                <w:rFonts w:ascii="Arial" w:cs="Arial" w:eastAsia="Arial" w:hAnsi="Arial"/>
                <w:sz w:val="17"/>
                <w:szCs w:val="17"/>
                <w:color w:val="auto"/>
              </w:rPr>
              <w:t>(6.5)</w:t>
            </w:r>
          </w:p>
        </w:tc>
        <w:tc>
          <w:tcPr>
            <w:tcW w:w="1080" w:type="dxa"/>
            <w:vAlign w:val="bottom"/>
          </w:tcPr>
          <w:p>
            <w:pPr>
              <w:jc w:val="right"/>
              <w:ind w:right="58"/>
              <w:spacing w:after="0"/>
              <w:rPr>
                <w:sz w:val="20"/>
                <w:szCs w:val="20"/>
                <w:color w:val="auto"/>
              </w:rPr>
            </w:pPr>
            <w:r>
              <w:rPr>
                <w:rFonts w:ascii="Arial" w:cs="Arial" w:eastAsia="Arial" w:hAnsi="Arial"/>
                <w:sz w:val="17"/>
                <w:szCs w:val="17"/>
                <w:color w:val="auto"/>
              </w:rPr>
              <w:t>(18) %</w:t>
            </w:r>
          </w:p>
        </w:tc>
        <w:tc>
          <w:tcPr>
            <w:tcW w:w="1160" w:type="dxa"/>
            <w:vAlign w:val="bottom"/>
          </w:tcPr>
          <w:p>
            <w:pPr>
              <w:spacing w:after="0"/>
              <w:rPr>
                <w:sz w:val="19"/>
                <w:szCs w:val="19"/>
                <w:color w:val="auto"/>
              </w:rPr>
            </w:pPr>
          </w:p>
        </w:tc>
        <w:tc>
          <w:tcPr>
            <w:tcW w:w="1020" w:type="dxa"/>
            <w:vAlign w:val="bottom"/>
          </w:tcPr>
          <w:p>
            <w:pPr>
              <w:jc w:val="right"/>
              <w:spacing w:after="0"/>
              <w:rPr>
                <w:sz w:val="20"/>
                <w:szCs w:val="20"/>
                <w:color w:val="auto"/>
              </w:rPr>
            </w:pPr>
            <w:r>
              <w:rPr>
                <w:rFonts w:ascii="Arial" w:cs="Arial" w:eastAsia="Arial" w:hAnsi="Arial"/>
                <w:sz w:val="17"/>
                <w:szCs w:val="17"/>
                <w:color w:val="auto"/>
              </w:rPr>
              <w:t>(18) %</w:t>
            </w:r>
          </w:p>
        </w:tc>
        <w:tc>
          <w:tcPr>
            <w:tcW w:w="0" w:type="dxa"/>
            <w:vAlign w:val="bottom"/>
          </w:tcPr>
          <w:p>
            <w:pPr>
              <w:spacing w:after="0"/>
              <w:rPr>
                <w:sz w:val="1"/>
                <w:szCs w:val="1"/>
                <w:color w:val="auto"/>
              </w:rPr>
            </w:pPr>
          </w:p>
        </w:tc>
      </w:tr>
      <w:tr>
        <w:trPr>
          <w:trHeight w:val="227"/>
        </w:trPr>
        <w:tc>
          <w:tcPr>
            <w:tcW w:w="2400" w:type="dxa"/>
            <w:vAlign w:val="bottom"/>
          </w:tcPr>
          <w:p>
            <w:pPr>
              <w:spacing w:after="0"/>
              <w:rPr>
                <w:sz w:val="20"/>
                <w:szCs w:val="20"/>
                <w:color w:val="auto"/>
              </w:rPr>
            </w:pPr>
            <w:r>
              <w:rPr>
                <w:rFonts w:ascii="Arial" w:cs="Arial" w:eastAsia="Arial" w:hAnsi="Arial"/>
                <w:sz w:val="17"/>
                <w:szCs w:val="17"/>
                <w:color w:val="auto"/>
              </w:rPr>
              <w:t>Financial Marketing Services</w:t>
            </w:r>
          </w:p>
        </w:tc>
        <w:tc>
          <w:tcPr>
            <w:tcW w:w="1360" w:type="dxa"/>
            <w:vAlign w:val="bottom"/>
          </w:tcPr>
          <w:p>
            <w:pPr>
              <w:jc w:val="right"/>
              <w:ind w:right="58"/>
              <w:spacing w:after="0"/>
              <w:rPr>
                <w:sz w:val="20"/>
                <w:szCs w:val="20"/>
                <w:color w:val="auto"/>
              </w:rPr>
            </w:pPr>
            <w:r>
              <w:rPr>
                <w:rFonts w:ascii="Arial" w:cs="Arial" w:eastAsia="Arial" w:hAnsi="Arial"/>
                <w:sz w:val="17"/>
                <w:szCs w:val="17"/>
                <w:b w:val="1"/>
                <w:bCs w:val="1"/>
                <w:color w:val="auto"/>
              </w:rPr>
              <w:t>56.1</w:t>
            </w:r>
          </w:p>
        </w:tc>
        <w:tc>
          <w:tcPr>
            <w:tcW w:w="1500" w:type="dxa"/>
            <w:vAlign w:val="bottom"/>
            <w:gridSpan w:val="2"/>
          </w:tcPr>
          <w:p>
            <w:pPr>
              <w:jc w:val="right"/>
              <w:ind w:right="140"/>
              <w:spacing w:after="0"/>
              <w:rPr>
                <w:sz w:val="20"/>
                <w:szCs w:val="20"/>
                <w:color w:val="auto"/>
              </w:rPr>
            </w:pPr>
            <w:r>
              <w:rPr>
                <w:rFonts w:ascii="Arial" w:cs="Arial" w:eastAsia="Arial" w:hAnsi="Arial"/>
                <w:sz w:val="17"/>
                <w:szCs w:val="17"/>
                <w:color w:val="auto"/>
              </w:rPr>
              <w:t>55.4</w:t>
            </w:r>
          </w:p>
        </w:tc>
        <w:tc>
          <w:tcPr>
            <w:tcW w:w="1260" w:type="dxa"/>
            <w:vAlign w:val="bottom"/>
            <w:gridSpan w:val="2"/>
          </w:tcPr>
          <w:p>
            <w:pPr>
              <w:jc w:val="right"/>
              <w:ind w:right="58"/>
              <w:spacing w:after="0"/>
              <w:rPr>
                <w:sz w:val="20"/>
                <w:szCs w:val="20"/>
                <w:color w:val="auto"/>
              </w:rPr>
            </w:pPr>
            <w:r>
              <w:rPr>
                <w:rFonts w:ascii="Arial" w:cs="Arial" w:eastAsia="Arial" w:hAnsi="Arial"/>
                <w:sz w:val="17"/>
                <w:szCs w:val="17"/>
                <w:color w:val="auto"/>
              </w:rPr>
              <w:t>0.7</w:t>
            </w:r>
          </w:p>
        </w:tc>
        <w:tc>
          <w:tcPr>
            <w:tcW w:w="1080" w:type="dxa"/>
            <w:vAlign w:val="bottom"/>
          </w:tcPr>
          <w:p>
            <w:pPr>
              <w:jc w:val="right"/>
              <w:ind w:right="58"/>
              <w:spacing w:after="0"/>
              <w:rPr>
                <w:sz w:val="20"/>
                <w:szCs w:val="20"/>
                <w:color w:val="auto"/>
              </w:rPr>
            </w:pPr>
            <w:r>
              <w:rPr>
                <w:rFonts w:ascii="Arial" w:cs="Arial" w:eastAsia="Arial" w:hAnsi="Arial"/>
                <w:sz w:val="17"/>
                <w:szCs w:val="17"/>
                <w:color w:val="auto"/>
              </w:rPr>
              <w:t>1 %</w:t>
            </w:r>
          </w:p>
        </w:tc>
        <w:tc>
          <w:tcPr>
            <w:tcW w:w="1160" w:type="dxa"/>
            <w:vAlign w:val="bottom"/>
          </w:tcPr>
          <w:p>
            <w:pPr>
              <w:spacing w:after="0"/>
              <w:rPr>
                <w:sz w:val="19"/>
                <w:szCs w:val="19"/>
                <w:color w:val="auto"/>
              </w:rPr>
            </w:pPr>
          </w:p>
        </w:tc>
        <w:tc>
          <w:tcPr>
            <w:tcW w:w="1020" w:type="dxa"/>
            <w:vAlign w:val="bottom"/>
          </w:tcPr>
          <w:p>
            <w:pPr>
              <w:jc w:val="right"/>
              <w:spacing w:after="0"/>
              <w:rPr>
                <w:sz w:val="20"/>
                <w:szCs w:val="20"/>
                <w:color w:val="auto"/>
              </w:rPr>
            </w:pPr>
            <w:r>
              <w:rPr>
                <w:rFonts w:ascii="Arial" w:cs="Arial" w:eastAsia="Arial" w:hAnsi="Arial"/>
                <w:sz w:val="17"/>
                <w:szCs w:val="17"/>
                <w:color w:val="auto"/>
              </w:rPr>
              <w:t>1 %</w:t>
            </w:r>
          </w:p>
        </w:tc>
        <w:tc>
          <w:tcPr>
            <w:tcW w:w="0" w:type="dxa"/>
            <w:vAlign w:val="bottom"/>
          </w:tcPr>
          <w:p>
            <w:pPr>
              <w:spacing w:after="0"/>
              <w:rPr>
                <w:sz w:val="1"/>
                <w:szCs w:val="1"/>
                <w:color w:val="auto"/>
              </w:rPr>
            </w:pPr>
          </w:p>
        </w:tc>
      </w:tr>
      <w:tr>
        <w:trPr>
          <w:trHeight w:val="195"/>
        </w:trPr>
        <w:tc>
          <w:tcPr>
            <w:tcW w:w="2400" w:type="dxa"/>
            <w:vAlign w:val="bottom"/>
          </w:tcPr>
          <w:p>
            <w:pPr>
              <w:ind w:left="100"/>
              <w:spacing w:after="0"/>
              <w:rPr>
                <w:sz w:val="20"/>
                <w:szCs w:val="20"/>
                <w:color w:val="auto"/>
              </w:rPr>
            </w:pPr>
            <w:r>
              <w:rPr>
                <w:rFonts w:ascii="Arial" w:cs="Arial" w:eastAsia="Arial" w:hAnsi="Arial"/>
                <w:sz w:val="17"/>
                <w:szCs w:val="17"/>
                <w:color w:val="auto"/>
              </w:rPr>
              <w:t>Total U.S. Information</w:t>
            </w:r>
          </w:p>
        </w:tc>
        <w:tc>
          <w:tcPr>
            <w:tcW w:w="1360" w:type="dxa"/>
            <w:vAlign w:val="bottom"/>
            <w:vMerge w:val="restart"/>
          </w:tcPr>
          <w:p>
            <w:pPr>
              <w:jc w:val="right"/>
              <w:ind w:right="58"/>
              <w:spacing w:after="0"/>
              <w:rPr>
                <w:sz w:val="20"/>
                <w:szCs w:val="20"/>
                <w:color w:val="auto"/>
              </w:rPr>
            </w:pPr>
            <w:r>
              <w:rPr>
                <w:rFonts w:ascii="Arial" w:cs="Arial" w:eastAsia="Arial" w:hAnsi="Arial"/>
                <w:sz w:val="17"/>
                <w:szCs w:val="17"/>
                <w:b w:val="1"/>
                <w:bCs w:val="1"/>
                <w:color w:val="auto"/>
              </w:rPr>
              <w:t>445.0</w:t>
            </w:r>
          </w:p>
        </w:tc>
        <w:tc>
          <w:tcPr>
            <w:tcW w:w="140" w:type="dxa"/>
            <w:vAlign w:val="bottom"/>
          </w:tcPr>
          <w:p>
            <w:pPr>
              <w:spacing w:after="0"/>
              <w:rPr>
                <w:sz w:val="16"/>
                <w:szCs w:val="16"/>
                <w:color w:val="auto"/>
              </w:rPr>
            </w:pPr>
          </w:p>
        </w:tc>
        <w:tc>
          <w:tcPr>
            <w:tcW w:w="13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12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1160" w:type="dxa"/>
            <w:vAlign w:val="bottom"/>
          </w:tcPr>
          <w:p>
            <w:pPr>
              <w:spacing w:after="0"/>
              <w:rPr>
                <w:sz w:val="16"/>
                <w:szCs w:val="16"/>
                <w:color w:val="auto"/>
              </w:rPr>
            </w:pPr>
          </w:p>
        </w:tc>
        <w:tc>
          <w:tcPr>
            <w:tcW w:w="10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23"/>
        </w:trPr>
        <w:tc>
          <w:tcPr>
            <w:tcW w:w="2400" w:type="dxa"/>
            <w:vAlign w:val="bottom"/>
          </w:tcPr>
          <w:p>
            <w:pPr>
              <w:ind w:left="100"/>
              <w:spacing w:after="0"/>
              <w:rPr>
                <w:sz w:val="20"/>
                <w:szCs w:val="20"/>
                <w:color w:val="auto"/>
              </w:rPr>
            </w:pPr>
            <w:r>
              <w:rPr>
                <w:rFonts w:ascii="Arial" w:cs="Arial" w:eastAsia="Arial" w:hAnsi="Arial"/>
                <w:sz w:val="17"/>
                <w:szCs w:val="17"/>
                <w:color w:val="auto"/>
              </w:rPr>
              <w:t>Solutions</w:t>
            </w:r>
          </w:p>
        </w:tc>
        <w:tc>
          <w:tcPr>
            <w:tcW w:w="1360" w:type="dxa"/>
            <w:vAlign w:val="bottom"/>
            <w:vMerge w:val="continue"/>
          </w:tcPr>
          <w:p>
            <w:pPr>
              <w:spacing w:after="0"/>
              <w:rPr>
                <w:sz w:val="19"/>
                <w:szCs w:val="19"/>
                <w:color w:val="auto"/>
              </w:rPr>
            </w:pPr>
          </w:p>
        </w:tc>
        <w:tc>
          <w:tcPr>
            <w:tcW w:w="1500" w:type="dxa"/>
            <w:vAlign w:val="bottom"/>
            <w:gridSpan w:val="2"/>
          </w:tcPr>
          <w:p>
            <w:pPr>
              <w:jc w:val="right"/>
              <w:ind w:right="140"/>
              <w:spacing w:after="0"/>
              <w:rPr>
                <w:sz w:val="20"/>
                <w:szCs w:val="20"/>
                <w:color w:val="auto"/>
              </w:rPr>
            </w:pPr>
            <w:r>
              <w:rPr>
                <w:rFonts w:ascii="Arial" w:cs="Arial" w:eastAsia="Arial" w:hAnsi="Arial"/>
                <w:sz w:val="17"/>
                <w:szCs w:val="17"/>
                <w:color w:val="auto"/>
              </w:rPr>
              <w:t>421.4</w:t>
            </w:r>
          </w:p>
        </w:tc>
        <w:tc>
          <w:tcPr>
            <w:tcW w:w="1260" w:type="dxa"/>
            <w:vAlign w:val="bottom"/>
            <w:gridSpan w:val="2"/>
          </w:tcPr>
          <w:p>
            <w:pPr>
              <w:jc w:val="right"/>
              <w:ind w:right="58"/>
              <w:spacing w:after="0"/>
              <w:rPr>
                <w:sz w:val="20"/>
                <w:szCs w:val="20"/>
                <w:color w:val="auto"/>
              </w:rPr>
            </w:pPr>
            <w:r>
              <w:rPr>
                <w:rFonts w:ascii="Arial" w:cs="Arial" w:eastAsia="Arial" w:hAnsi="Arial"/>
                <w:sz w:val="17"/>
                <w:szCs w:val="17"/>
                <w:color w:val="auto"/>
              </w:rPr>
              <w:t>23.6</w:t>
            </w:r>
          </w:p>
        </w:tc>
        <w:tc>
          <w:tcPr>
            <w:tcW w:w="1080" w:type="dxa"/>
            <w:vAlign w:val="bottom"/>
          </w:tcPr>
          <w:p>
            <w:pPr>
              <w:jc w:val="right"/>
              <w:ind w:right="58"/>
              <w:spacing w:after="0"/>
              <w:rPr>
                <w:sz w:val="20"/>
                <w:szCs w:val="20"/>
                <w:color w:val="auto"/>
              </w:rPr>
            </w:pPr>
            <w:r>
              <w:rPr>
                <w:rFonts w:ascii="Arial" w:cs="Arial" w:eastAsia="Arial" w:hAnsi="Arial"/>
                <w:sz w:val="17"/>
                <w:szCs w:val="17"/>
                <w:color w:val="auto"/>
              </w:rPr>
              <w:t>6 %</w:t>
            </w:r>
          </w:p>
        </w:tc>
        <w:tc>
          <w:tcPr>
            <w:tcW w:w="1160" w:type="dxa"/>
            <w:vAlign w:val="bottom"/>
          </w:tcPr>
          <w:p>
            <w:pPr>
              <w:spacing w:after="0"/>
              <w:rPr>
                <w:sz w:val="19"/>
                <w:szCs w:val="19"/>
                <w:color w:val="auto"/>
              </w:rPr>
            </w:pPr>
          </w:p>
        </w:tc>
        <w:tc>
          <w:tcPr>
            <w:tcW w:w="1020" w:type="dxa"/>
            <w:vAlign w:val="bottom"/>
          </w:tcPr>
          <w:p>
            <w:pPr>
              <w:jc w:val="right"/>
              <w:spacing w:after="0"/>
              <w:rPr>
                <w:sz w:val="20"/>
                <w:szCs w:val="20"/>
                <w:color w:val="auto"/>
              </w:rPr>
            </w:pPr>
            <w:r>
              <w:rPr>
                <w:rFonts w:ascii="Arial" w:cs="Arial" w:eastAsia="Arial" w:hAnsi="Arial"/>
                <w:sz w:val="17"/>
                <w:szCs w:val="17"/>
                <w:color w:val="auto"/>
              </w:rPr>
              <w:t>3 %</w:t>
            </w:r>
          </w:p>
        </w:tc>
        <w:tc>
          <w:tcPr>
            <w:tcW w:w="0" w:type="dxa"/>
            <w:vAlign w:val="bottom"/>
          </w:tcPr>
          <w:p>
            <w:pPr>
              <w:spacing w:after="0"/>
              <w:rPr>
                <w:sz w:val="1"/>
                <w:szCs w:val="1"/>
                <w:color w:val="auto"/>
              </w:rPr>
            </w:pPr>
          </w:p>
        </w:tc>
      </w:tr>
      <w:tr>
        <w:trPr>
          <w:trHeight w:val="225"/>
        </w:trPr>
        <w:tc>
          <w:tcPr>
            <w:tcW w:w="2400" w:type="dxa"/>
            <w:vAlign w:val="bottom"/>
          </w:tcPr>
          <w:p>
            <w:pPr>
              <w:spacing w:after="0"/>
              <w:rPr>
                <w:sz w:val="20"/>
                <w:szCs w:val="20"/>
                <w:color w:val="auto"/>
              </w:rPr>
            </w:pPr>
            <w:r>
              <w:rPr>
                <w:rFonts w:ascii="Arial" w:cs="Arial" w:eastAsia="Arial" w:hAnsi="Arial"/>
                <w:sz w:val="17"/>
                <w:szCs w:val="17"/>
                <w:color w:val="auto"/>
              </w:rPr>
              <w:t>Asia Pacific</w:t>
            </w:r>
          </w:p>
        </w:tc>
        <w:tc>
          <w:tcPr>
            <w:tcW w:w="1360" w:type="dxa"/>
            <w:vAlign w:val="bottom"/>
          </w:tcPr>
          <w:p>
            <w:pPr>
              <w:jc w:val="right"/>
              <w:ind w:right="58"/>
              <w:spacing w:after="0"/>
              <w:rPr>
                <w:sz w:val="20"/>
                <w:szCs w:val="20"/>
                <w:color w:val="auto"/>
              </w:rPr>
            </w:pPr>
            <w:r>
              <w:rPr>
                <w:rFonts w:ascii="Arial" w:cs="Arial" w:eastAsia="Arial" w:hAnsi="Arial"/>
                <w:sz w:val="17"/>
                <w:szCs w:val="17"/>
                <w:b w:val="1"/>
                <w:bCs w:val="1"/>
                <w:color w:val="auto"/>
              </w:rPr>
              <w:t>87.7</w:t>
            </w:r>
          </w:p>
        </w:tc>
        <w:tc>
          <w:tcPr>
            <w:tcW w:w="1500" w:type="dxa"/>
            <w:vAlign w:val="bottom"/>
            <w:gridSpan w:val="2"/>
          </w:tcPr>
          <w:p>
            <w:pPr>
              <w:jc w:val="right"/>
              <w:ind w:right="140"/>
              <w:spacing w:after="0"/>
              <w:rPr>
                <w:sz w:val="20"/>
                <w:szCs w:val="20"/>
                <w:color w:val="auto"/>
              </w:rPr>
            </w:pPr>
            <w:r>
              <w:rPr>
                <w:rFonts w:ascii="Arial" w:cs="Arial" w:eastAsia="Arial" w:hAnsi="Arial"/>
                <w:sz w:val="17"/>
                <w:szCs w:val="17"/>
                <w:color w:val="auto"/>
              </w:rPr>
              <w:t>90.1</w:t>
            </w:r>
          </w:p>
        </w:tc>
        <w:tc>
          <w:tcPr>
            <w:tcW w:w="1260" w:type="dxa"/>
            <w:vAlign w:val="bottom"/>
            <w:gridSpan w:val="2"/>
          </w:tcPr>
          <w:p>
            <w:pPr>
              <w:jc w:val="right"/>
              <w:ind w:right="18"/>
              <w:spacing w:after="0"/>
              <w:rPr>
                <w:sz w:val="20"/>
                <w:szCs w:val="20"/>
                <w:color w:val="auto"/>
              </w:rPr>
            </w:pPr>
            <w:r>
              <w:rPr>
                <w:rFonts w:ascii="Arial" w:cs="Arial" w:eastAsia="Arial" w:hAnsi="Arial"/>
                <w:sz w:val="17"/>
                <w:szCs w:val="17"/>
                <w:color w:val="auto"/>
              </w:rPr>
              <w:t>(2.4)</w:t>
            </w:r>
          </w:p>
        </w:tc>
        <w:tc>
          <w:tcPr>
            <w:tcW w:w="1080" w:type="dxa"/>
            <w:vAlign w:val="bottom"/>
          </w:tcPr>
          <w:p>
            <w:pPr>
              <w:jc w:val="right"/>
              <w:ind w:right="58"/>
              <w:spacing w:after="0"/>
              <w:rPr>
                <w:sz w:val="20"/>
                <w:szCs w:val="20"/>
                <w:color w:val="auto"/>
              </w:rPr>
            </w:pPr>
            <w:r>
              <w:rPr>
                <w:rFonts w:ascii="Arial" w:cs="Arial" w:eastAsia="Arial" w:hAnsi="Arial"/>
                <w:sz w:val="17"/>
                <w:szCs w:val="17"/>
                <w:color w:val="auto"/>
              </w:rPr>
              <w:t>(3) %</w:t>
            </w:r>
          </w:p>
        </w:tc>
        <w:tc>
          <w:tcPr>
            <w:tcW w:w="1160" w:type="dxa"/>
            <w:vAlign w:val="bottom"/>
          </w:tcPr>
          <w:p>
            <w:pPr>
              <w:jc w:val="right"/>
              <w:ind w:right="79"/>
              <w:spacing w:after="0"/>
              <w:rPr>
                <w:sz w:val="20"/>
                <w:szCs w:val="20"/>
                <w:color w:val="auto"/>
              </w:rPr>
            </w:pPr>
            <w:r>
              <w:rPr>
                <w:rFonts w:ascii="Arial" w:cs="Arial" w:eastAsia="Arial" w:hAnsi="Arial"/>
                <w:sz w:val="17"/>
                <w:szCs w:val="17"/>
                <w:color w:val="auto"/>
              </w:rPr>
              <w:t>4 %</w:t>
            </w:r>
          </w:p>
        </w:tc>
        <w:tc>
          <w:tcPr>
            <w:tcW w:w="1020" w:type="dxa"/>
            <w:vAlign w:val="bottom"/>
          </w:tcPr>
          <w:p>
            <w:pPr>
              <w:jc w:val="right"/>
              <w:spacing w:after="0"/>
              <w:rPr>
                <w:sz w:val="20"/>
                <w:szCs w:val="20"/>
                <w:color w:val="auto"/>
              </w:rPr>
            </w:pPr>
            <w:r>
              <w:rPr>
                <w:rFonts w:ascii="Arial" w:cs="Arial" w:eastAsia="Arial" w:hAnsi="Arial"/>
                <w:sz w:val="17"/>
                <w:szCs w:val="17"/>
                <w:color w:val="auto"/>
              </w:rPr>
              <w:t>4 %</w:t>
            </w:r>
          </w:p>
        </w:tc>
        <w:tc>
          <w:tcPr>
            <w:tcW w:w="0" w:type="dxa"/>
            <w:vAlign w:val="bottom"/>
          </w:tcPr>
          <w:p>
            <w:pPr>
              <w:spacing w:after="0"/>
              <w:rPr>
                <w:sz w:val="1"/>
                <w:szCs w:val="1"/>
                <w:color w:val="auto"/>
              </w:rPr>
            </w:pPr>
          </w:p>
        </w:tc>
      </w:tr>
      <w:tr>
        <w:trPr>
          <w:trHeight w:val="225"/>
        </w:trPr>
        <w:tc>
          <w:tcPr>
            <w:tcW w:w="2400" w:type="dxa"/>
            <w:vAlign w:val="bottom"/>
          </w:tcPr>
          <w:p>
            <w:pPr>
              <w:spacing w:after="0"/>
              <w:rPr>
                <w:sz w:val="20"/>
                <w:szCs w:val="20"/>
                <w:color w:val="auto"/>
              </w:rPr>
            </w:pPr>
            <w:r>
              <w:rPr>
                <w:rFonts w:ascii="Arial" w:cs="Arial" w:eastAsia="Arial" w:hAnsi="Arial"/>
                <w:sz w:val="17"/>
                <w:szCs w:val="17"/>
                <w:color w:val="auto"/>
              </w:rPr>
              <w:t>Europe</w:t>
            </w:r>
          </w:p>
        </w:tc>
        <w:tc>
          <w:tcPr>
            <w:tcW w:w="1360" w:type="dxa"/>
            <w:vAlign w:val="bottom"/>
          </w:tcPr>
          <w:p>
            <w:pPr>
              <w:jc w:val="right"/>
              <w:ind w:right="58"/>
              <w:spacing w:after="0"/>
              <w:rPr>
                <w:sz w:val="20"/>
                <w:szCs w:val="20"/>
                <w:color w:val="auto"/>
              </w:rPr>
            </w:pPr>
            <w:r>
              <w:rPr>
                <w:rFonts w:ascii="Arial" w:cs="Arial" w:eastAsia="Arial" w:hAnsi="Arial"/>
                <w:sz w:val="17"/>
                <w:szCs w:val="17"/>
                <w:b w:val="1"/>
                <w:bCs w:val="1"/>
                <w:color w:val="auto"/>
              </w:rPr>
              <w:t>78.7</w:t>
            </w:r>
          </w:p>
        </w:tc>
        <w:tc>
          <w:tcPr>
            <w:tcW w:w="1500" w:type="dxa"/>
            <w:vAlign w:val="bottom"/>
            <w:gridSpan w:val="2"/>
          </w:tcPr>
          <w:p>
            <w:pPr>
              <w:jc w:val="right"/>
              <w:ind w:right="140"/>
              <w:spacing w:after="0"/>
              <w:rPr>
                <w:sz w:val="20"/>
                <w:szCs w:val="20"/>
                <w:color w:val="auto"/>
              </w:rPr>
            </w:pPr>
            <w:r>
              <w:rPr>
                <w:rFonts w:ascii="Arial" w:cs="Arial" w:eastAsia="Arial" w:hAnsi="Arial"/>
                <w:sz w:val="17"/>
                <w:szCs w:val="17"/>
                <w:color w:val="auto"/>
              </w:rPr>
              <w:t>79.8</w:t>
            </w:r>
          </w:p>
        </w:tc>
        <w:tc>
          <w:tcPr>
            <w:tcW w:w="1260" w:type="dxa"/>
            <w:vAlign w:val="bottom"/>
            <w:gridSpan w:val="2"/>
          </w:tcPr>
          <w:p>
            <w:pPr>
              <w:jc w:val="right"/>
              <w:ind w:right="18"/>
              <w:spacing w:after="0"/>
              <w:rPr>
                <w:sz w:val="20"/>
                <w:szCs w:val="20"/>
                <w:color w:val="auto"/>
              </w:rPr>
            </w:pPr>
            <w:r>
              <w:rPr>
                <w:rFonts w:ascii="Arial" w:cs="Arial" w:eastAsia="Arial" w:hAnsi="Arial"/>
                <w:sz w:val="17"/>
                <w:szCs w:val="17"/>
                <w:color w:val="auto"/>
              </w:rPr>
              <w:t>(1.1)</w:t>
            </w:r>
          </w:p>
        </w:tc>
        <w:tc>
          <w:tcPr>
            <w:tcW w:w="1080" w:type="dxa"/>
            <w:vAlign w:val="bottom"/>
          </w:tcPr>
          <w:p>
            <w:pPr>
              <w:jc w:val="right"/>
              <w:ind w:right="58"/>
              <w:spacing w:after="0"/>
              <w:rPr>
                <w:sz w:val="20"/>
                <w:szCs w:val="20"/>
                <w:color w:val="auto"/>
              </w:rPr>
            </w:pPr>
            <w:r>
              <w:rPr>
                <w:rFonts w:ascii="Arial" w:cs="Arial" w:eastAsia="Arial" w:hAnsi="Arial"/>
                <w:sz w:val="17"/>
                <w:szCs w:val="17"/>
                <w:color w:val="auto"/>
              </w:rPr>
              <w:t>(1) %</w:t>
            </w:r>
          </w:p>
        </w:tc>
        <w:tc>
          <w:tcPr>
            <w:tcW w:w="1160" w:type="dxa"/>
            <w:vAlign w:val="bottom"/>
          </w:tcPr>
          <w:p>
            <w:pPr>
              <w:jc w:val="right"/>
              <w:ind w:right="59"/>
              <w:spacing w:after="0"/>
              <w:rPr>
                <w:sz w:val="20"/>
                <w:szCs w:val="20"/>
                <w:color w:val="auto"/>
              </w:rPr>
            </w:pPr>
            <w:r>
              <w:rPr>
                <w:rFonts w:ascii="Arial" w:cs="Arial" w:eastAsia="Arial" w:hAnsi="Arial"/>
                <w:sz w:val="17"/>
                <w:szCs w:val="17"/>
                <w:color w:val="auto"/>
              </w:rPr>
              <w:t>(2) %</w:t>
            </w:r>
          </w:p>
        </w:tc>
        <w:tc>
          <w:tcPr>
            <w:tcW w:w="1020" w:type="dxa"/>
            <w:vAlign w:val="bottom"/>
          </w:tcPr>
          <w:p>
            <w:pPr>
              <w:jc w:val="right"/>
              <w:spacing w:after="0"/>
              <w:rPr>
                <w:sz w:val="20"/>
                <w:szCs w:val="20"/>
                <w:color w:val="auto"/>
              </w:rPr>
            </w:pPr>
            <w:r>
              <w:rPr>
                <w:rFonts w:ascii="Arial" w:cs="Arial" w:eastAsia="Arial" w:hAnsi="Arial"/>
                <w:sz w:val="17"/>
                <w:szCs w:val="17"/>
                <w:color w:val="auto"/>
              </w:rPr>
              <w:t>(2) %</w:t>
            </w:r>
          </w:p>
        </w:tc>
        <w:tc>
          <w:tcPr>
            <w:tcW w:w="0" w:type="dxa"/>
            <w:vAlign w:val="bottom"/>
          </w:tcPr>
          <w:p>
            <w:pPr>
              <w:spacing w:after="0"/>
              <w:rPr>
                <w:sz w:val="1"/>
                <w:szCs w:val="1"/>
                <w:color w:val="auto"/>
              </w:rPr>
            </w:pPr>
          </w:p>
        </w:tc>
      </w:tr>
      <w:tr>
        <w:trPr>
          <w:trHeight w:val="225"/>
        </w:trPr>
        <w:tc>
          <w:tcPr>
            <w:tcW w:w="2400" w:type="dxa"/>
            <w:vAlign w:val="bottom"/>
          </w:tcPr>
          <w:p>
            <w:pPr>
              <w:spacing w:after="0"/>
              <w:rPr>
                <w:sz w:val="20"/>
                <w:szCs w:val="20"/>
                <w:color w:val="auto"/>
              </w:rPr>
            </w:pPr>
            <w:r>
              <w:rPr>
                <w:rFonts w:ascii="Arial" w:cs="Arial" w:eastAsia="Arial" w:hAnsi="Arial"/>
                <w:sz w:val="17"/>
                <w:szCs w:val="17"/>
                <w:color w:val="auto"/>
              </w:rPr>
              <w:t>Canada</w:t>
            </w:r>
          </w:p>
        </w:tc>
        <w:tc>
          <w:tcPr>
            <w:tcW w:w="1360" w:type="dxa"/>
            <w:vAlign w:val="bottom"/>
          </w:tcPr>
          <w:p>
            <w:pPr>
              <w:jc w:val="right"/>
              <w:ind w:right="58"/>
              <w:spacing w:after="0"/>
              <w:rPr>
                <w:sz w:val="20"/>
                <w:szCs w:val="20"/>
                <w:color w:val="auto"/>
              </w:rPr>
            </w:pPr>
            <w:r>
              <w:rPr>
                <w:rFonts w:ascii="Arial" w:cs="Arial" w:eastAsia="Arial" w:hAnsi="Arial"/>
                <w:sz w:val="17"/>
                <w:szCs w:val="17"/>
                <w:b w:val="1"/>
                <w:bCs w:val="1"/>
                <w:color w:val="auto"/>
              </w:rPr>
              <w:t>66.5</w:t>
            </w:r>
          </w:p>
        </w:tc>
        <w:tc>
          <w:tcPr>
            <w:tcW w:w="1500" w:type="dxa"/>
            <w:vAlign w:val="bottom"/>
            <w:gridSpan w:val="2"/>
          </w:tcPr>
          <w:p>
            <w:pPr>
              <w:jc w:val="right"/>
              <w:ind w:right="140"/>
              <w:spacing w:after="0"/>
              <w:rPr>
                <w:sz w:val="20"/>
                <w:szCs w:val="20"/>
                <w:color w:val="auto"/>
              </w:rPr>
            </w:pPr>
            <w:r>
              <w:rPr>
                <w:rFonts w:ascii="Arial" w:cs="Arial" w:eastAsia="Arial" w:hAnsi="Arial"/>
                <w:sz w:val="17"/>
                <w:szCs w:val="17"/>
                <w:color w:val="auto"/>
              </w:rPr>
              <w:t>64.0</w:t>
            </w:r>
          </w:p>
        </w:tc>
        <w:tc>
          <w:tcPr>
            <w:tcW w:w="1260" w:type="dxa"/>
            <w:vAlign w:val="bottom"/>
            <w:gridSpan w:val="2"/>
          </w:tcPr>
          <w:p>
            <w:pPr>
              <w:jc w:val="right"/>
              <w:ind w:right="58"/>
              <w:spacing w:after="0"/>
              <w:rPr>
                <w:sz w:val="20"/>
                <w:szCs w:val="20"/>
                <w:color w:val="auto"/>
              </w:rPr>
            </w:pPr>
            <w:r>
              <w:rPr>
                <w:rFonts w:ascii="Arial" w:cs="Arial" w:eastAsia="Arial" w:hAnsi="Arial"/>
                <w:sz w:val="17"/>
                <w:szCs w:val="17"/>
                <w:color w:val="auto"/>
              </w:rPr>
              <w:t>2.5</w:t>
            </w:r>
          </w:p>
        </w:tc>
        <w:tc>
          <w:tcPr>
            <w:tcW w:w="1080" w:type="dxa"/>
            <w:vAlign w:val="bottom"/>
          </w:tcPr>
          <w:p>
            <w:pPr>
              <w:jc w:val="right"/>
              <w:ind w:right="58"/>
              <w:spacing w:after="0"/>
              <w:rPr>
                <w:sz w:val="20"/>
                <w:szCs w:val="20"/>
                <w:color w:val="auto"/>
              </w:rPr>
            </w:pPr>
            <w:r>
              <w:rPr>
                <w:rFonts w:ascii="Arial" w:cs="Arial" w:eastAsia="Arial" w:hAnsi="Arial"/>
                <w:sz w:val="17"/>
                <w:szCs w:val="17"/>
                <w:color w:val="auto"/>
              </w:rPr>
              <w:t>4 %</w:t>
            </w:r>
          </w:p>
        </w:tc>
        <w:tc>
          <w:tcPr>
            <w:tcW w:w="1160" w:type="dxa"/>
            <w:vAlign w:val="bottom"/>
          </w:tcPr>
          <w:p>
            <w:pPr>
              <w:jc w:val="right"/>
              <w:ind w:right="79"/>
              <w:spacing w:after="0"/>
              <w:rPr>
                <w:sz w:val="20"/>
                <w:szCs w:val="20"/>
                <w:color w:val="auto"/>
              </w:rPr>
            </w:pPr>
            <w:r>
              <w:rPr>
                <w:rFonts w:ascii="Arial" w:cs="Arial" w:eastAsia="Arial" w:hAnsi="Arial"/>
                <w:sz w:val="17"/>
                <w:szCs w:val="17"/>
                <w:color w:val="auto"/>
              </w:rPr>
              <w:t>8 %</w:t>
            </w:r>
          </w:p>
        </w:tc>
        <w:tc>
          <w:tcPr>
            <w:tcW w:w="1020" w:type="dxa"/>
            <w:vAlign w:val="bottom"/>
          </w:tcPr>
          <w:p>
            <w:pPr>
              <w:jc w:val="right"/>
              <w:spacing w:after="0"/>
              <w:rPr>
                <w:sz w:val="20"/>
                <w:szCs w:val="20"/>
                <w:color w:val="auto"/>
              </w:rPr>
            </w:pPr>
            <w:r>
              <w:rPr>
                <w:rFonts w:ascii="Arial" w:cs="Arial" w:eastAsia="Arial" w:hAnsi="Arial"/>
                <w:sz w:val="17"/>
                <w:szCs w:val="17"/>
                <w:color w:val="auto"/>
              </w:rPr>
              <w:t>7 %</w:t>
            </w:r>
          </w:p>
        </w:tc>
        <w:tc>
          <w:tcPr>
            <w:tcW w:w="0" w:type="dxa"/>
            <w:vAlign w:val="bottom"/>
          </w:tcPr>
          <w:p>
            <w:pPr>
              <w:spacing w:after="0"/>
              <w:rPr>
                <w:sz w:val="1"/>
                <w:szCs w:val="1"/>
                <w:color w:val="auto"/>
              </w:rPr>
            </w:pPr>
          </w:p>
        </w:tc>
      </w:tr>
      <w:tr>
        <w:trPr>
          <w:trHeight w:val="225"/>
        </w:trPr>
        <w:tc>
          <w:tcPr>
            <w:tcW w:w="2400" w:type="dxa"/>
            <w:vAlign w:val="bottom"/>
          </w:tcPr>
          <w:p>
            <w:pPr>
              <w:spacing w:after="0"/>
              <w:rPr>
                <w:sz w:val="20"/>
                <w:szCs w:val="20"/>
                <w:color w:val="auto"/>
              </w:rPr>
            </w:pPr>
            <w:r>
              <w:rPr>
                <w:rFonts w:ascii="Arial" w:cs="Arial" w:eastAsia="Arial" w:hAnsi="Arial"/>
                <w:sz w:val="17"/>
                <w:szCs w:val="17"/>
                <w:color w:val="auto"/>
              </w:rPr>
              <w:t>Latin America</w:t>
            </w:r>
          </w:p>
        </w:tc>
        <w:tc>
          <w:tcPr>
            <w:tcW w:w="1360" w:type="dxa"/>
            <w:vAlign w:val="bottom"/>
          </w:tcPr>
          <w:p>
            <w:pPr>
              <w:jc w:val="right"/>
              <w:ind w:right="58"/>
              <w:spacing w:after="0"/>
              <w:rPr>
                <w:sz w:val="20"/>
                <w:szCs w:val="20"/>
                <w:color w:val="auto"/>
              </w:rPr>
            </w:pPr>
            <w:r>
              <w:rPr>
                <w:rFonts w:ascii="Arial" w:cs="Arial" w:eastAsia="Arial" w:hAnsi="Arial"/>
                <w:sz w:val="17"/>
                <w:szCs w:val="17"/>
                <w:b w:val="1"/>
                <w:bCs w:val="1"/>
                <w:color w:val="auto"/>
              </w:rPr>
              <w:t>56.9</w:t>
            </w:r>
          </w:p>
        </w:tc>
        <w:tc>
          <w:tcPr>
            <w:tcW w:w="1500" w:type="dxa"/>
            <w:vAlign w:val="bottom"/>
            <w:gridSpan w:val="2"/>
          </w:tcPr>
          <w:p>
            <w:pPr>
              <w:jc w:val="right"/>
              <w:ind w:right="140"/>
              <w:spacing w:after="0"/>
              <w:rPr>
                <w:sz w:val="20"/>
                <w:szCs w:val="20"/>
                <w:color w:val="auto"/>
              </w:rPr>
            </w:pPr>
            <w:r>
              <w:rPr>
                <w:rFonts w:ascii="Arial" w:cs="Arial" w:eastAsia="Arial" w:hAnsi="Arial"/>
                <w:sz w:val="17"/>
                <w:szCs w:val="17"/>
                <w:color w:val="auto"/>
              </w:rPr>
              <w:t>52.2</w:t>
            </w:r>
          </w:p>
        </w:tc>
        <w:tc>
          <w:tcPr>
            <w:tcW w:w="1260" w:type="dxa"/>
            <w:vAlign w:val="bottom"/>
            <w:gridSpan w:val="2"/>
          </w:tcPr>
          <w:p>
            <w:pPr>
              <w:jc w:val="right"/>
              <w:ind w:right="58"/>
              <w:spacing w:after="0"/>
              <w:rPr>
                <w:sz w:val="20"/>
                <w:szCs w:val="20"/>
                <w:color w:val="auto"/>
              </w:rPr>
            </w:pPr>
            <w:r>
              <w:rPr>
                <w:rFonts w:ascii="Arial" w:cs="Arial" w:eastAsia="Arial" w:hAnsi="Arial"/>
                <w:sz w:val="17"/>
                <w:szCs w:val="17"/>
                <w:color w:val="auto"/>
              </w:rPr>
              <w:t>4.7</w:t>
            </w:r>
          </w:p>
        </w:tc>
        <w:tc>
          <w:tcPr>
            <w:tcW w:w="1080" w:type="dxa"/>
            <w:vAlign w:val="bottom"/>
          </w:tcPr>
          <w:p>
            <w:pPr>
              <w:jc w:val="right"/>
              <w:ind w:right="58"/>
              <w:spacing w:after="0"/>
              <w:rPr>
                <w:sz w:val="20"/>
                <w:szCs w:val="20"/>
                <w:color w:val="auto"/>
              </w:rPr>
            </w:pPr>
            <w:r>
              <w:rPr>
                <w:rFonts w:ascii="Arial" w:cs="Arial" w:eastAsia="Arial" w:hAnsi="Arial"/>
                <w:sz w:val="17"/>
                <w:szCs w:val="17"/>
                <w:color w:val="auto"/>
              </w:rPr>
              <w:t>9 %</w:t>
            </w:r>
          </w:p>
        </w:tc>
        <w:tc>
          <w:tcPr>
            <w:tcW w:w="1160" w:type="dxa"/>
            <w:vAlign w:val="bottom"/>
          </w:tcPr>
          <w:p>
            <w:pPr>
              <w:jc w:val="right"/>
              <w:ind w:right="79"/>
              <w:spacing w:after="0"/>
              <w:rPr>
                <w:sz w:val="20"/>
                <w:szCs w:val="20"/>
                <w:color w:val="auto"/>
              </w:rPr>
            </w:pPr>
            <w:r>
              <w:rPr>
                <w:rFonts w:ascii="Arial" w:cs="Arial" w:eastAsia="Arial" w:hAnsi="Arial"/>
                <w:sz w:val="17"/>
                <w:szCs w:val="17"/>
                <w:color w:val="auto"/>
              </w:rPr>
              <w:t>23 %</w:t>
            </w:r>
          </w:p>
        </w:tc>
        <w:tc>
          <w:tcPr>
            <w:tcW w:w="1020" w:type="dxa"/>
            <w:vAlign w:val="bottom"/>
          </w:tcPr>
          <w:p>
            <w:pPr>
              <w:jc w:val="right"/>
              <w:spacing w:after="0"/>
              <w:rPr>
                <w:sz w:val="20"/>
                <w:szCs w:val="20"/>
                <w:color w:val="auto"/>
              </w:rPr>
            </w:pPr>
            <w:r>
              <w:rPr>
                <w:rFonts w:ascii="Arial" w:cs="Arial" w:eastAsia="Arial" w:hAnsi="Arial"/>
                <w:sz w:val="17"/>
                <w:szCs w:val="17"/>
                <w:color w:val="auto"/>
              </w:rPr>
              <w:t>23 %</w:t>
            </w:r>
          </w:p>
        </w:tc>
        <w:tc>
          <w:tcPr>
            <w:tcW w:w="0" w:type="dxa"/>
            <w:vAlign w:val="bottom"/>
          </w:tcPr>
          <w:p>
            <w:pPr>
              <w:spacing w:after="0"/>
              <w:rPr>
                <w:sz w:val="1"/>
                <w:szCs w:val="1"/>
                <w:color w:val="auto"/>
              </w:rPr>
            </w:pPr>
          </w:p>
        </w:tc>
      </w:tr>
      <w:tr>
        <w:trPr>
          <w:trHeight w:val="225"/>
        </w:trPr>
        <w:tc>
          <w:tcPr>
            <w:tcW w:w="2400" w:type="dxa"/>
            <w:vAlign w:val="bottom"/>
          </w:tcPr>
          <w:p>
            <w:pPr>
              <w:ind w:left="100"/>
              <w:spacing w:after="0"/>
              <w:rPr>
                <w:sz w:val="20"/>
                <w:szCs w:val="20"/>
                <w:color w:val="auto"/>
              </w:rPr>
            </w:pPr>
            <w:r>
              <w:rPr>
                <w:rFonts w:ascii="Arial" w:cs="Arial" w:eastAsia="Arial" w:hAnsi="Arial"/>
                <w:sz w:val="17"/>
                <w:szCs w:val="17"/>
                <w:color w:val="auto"/>
              </w:rPr>
              <w:t>Total International</w:t>
            </w:r>
          </w:p>
        </w:tc>
        <w:tc>
          <w:tcPr>
            <w:tcW w:w="1360" w:type="dxa"/>
            <w:vAlign w:val="bottom"/>
          </w:tcPr>
          <w:p>
            <w:pPr>
              <w:jc w:val="right"/>
              <w:ind w:right="58"/>
              <w:spacing w:after="0"/>
              <w:rPr>
                <w:sz w:val="20"/>
                <w:szCs w:val="20"/>
                <w:color w:val="auto"/>
              </w:rPr>
            </w:pPr>
            <w:r>
              <w:rPr>
                <w:rFonts w:ascii="Arial" w:cs="Arial" w:eastAsia="Arial" w:hAnsi="Arial"/>
                <w:sz w:val="17"/>
                <w:szCs w:val="17"/>
                <w:b w:val="1"/>
                <w:bCs w:val="1"/>
                <w:color w:val="auto"/>
              </w:rPr>
              <w:t>289.8</w:t>
            </w:r>
          </w:p>
        </w:tc>
        <w:tc>
          <w:tcPr>
            <w:tcW w:w="1500" w:type="dxa"/>
            <w:vAlign w:val="bottom"/>
            <w:gridSpan w:val="2"/>
          </w:tcPr>
          <w:p>
            <w:pPr>
              <w:jc w:val="right"/>
              <w:ind w:right="140"/>
              <w:spacing w:after="0"/>
              <w:rPr>
                <w:sz w:val="20"/>
                <w:szCs w:val="20"/>
                <w:color w:val="auto"/>
              </w:rPr>
            </w:pPr>
            <w:r>
              <w:rPr>
                <w:rFonts w:ascii="Arial" w:cs="Arial" w:eastAsia="Arial" w:hAnsi="Arial"/>
                <w:sz w:val="17"/>
                <w:szCs w:val="17"/>
                <w:color w:val="auto"/>
              </w:rPr>
              <w:t>286.1</w:t>
            </w:r>
          </w:p>
        </w:tc>
        <w:tc>
          <w:tcPr>
            <w:tcW w:w="1260" w:type="dxa"/>
            <w:vAlign w:val="bottom"/>
            <w:gridSpan w:val="2"/>
          </w:tcPr>
          <w:p>
            <w:pPr>
              <w:jc w:val="right"/>
              <w:ind w:right="58"/>
              <w:spacing w:after="0"/>
              <w:rPr>
                <w:sz w:val="20"/>
                <w:szCs w:val="20"/>
                <w:color w:val="auto"/>
              </w:rPr>
            </w:pPr>
            <w:r>
              <w:rPr>
                <w:rFonts w:ascii="Arial" w:cs="Arial" w:eastAsia="Arial" w:hAnsi="Arial"/>
                <w:sz w:val="17"/>
                <w:szCs w:val="17"/>
                <w:color w:val="auto"/>
              </w:rPr>
              <w:t>3.7</w:t>
            </w:r>
          </w:p>
        </w:tc>
        <w:tc>
          <w:tcPr>
            <w:tcW w:w="1080" w:type="dxa"/>
            <w:vAlign w:val="bottom"/>
          </w:tcPr>
          <w:p>
            <w:pPr>
              <w:jc w:val="right"/>
              <w:ind w:right="58"/>
              <w:spacing w:after="0"/>
              <w:rPr>
                <w:sz w:val="20"/>
                <w:szCs w:val="20"/>
                <w:color w:val="auto"/>
              </w:rPr>
            </w:pPr>
            <w:r>
              <w:rPr>
                <w:rFonts w:ascii="Arial" w:cs="Arial" w:eastAsia="Arial" w:hAnsi="Arial"/>
                <w:sz w:val="17"/>
                <w:szCs w:val="17"/>
                <w:color w:val="auto"/>
              </w:rPr>
              <w:t>1 %</w:t>
            </w:r>
          </w:p>
        </w:tc>
        <w:tc>
          <w:tcPr>
            <w:tcW w:w="1160" w:type="dxa"/>
            <w:vAlign w:val="bottom"/>
          </w:tcPr>
          <w:p>
            <w:pPr>
              <w:jc w:val="right"/>
              <w:ind w:right="79"/>
              <w:spacing w:after="0"/>
              <w:rPr>
                <w:sz w:val="20"/>
                <w:szCs w:val="20"/>
                <w:color w:val="auto"/>
              </w:rPr>
            </w:pPr>
            <w:r>
              <w:rPr>
                <w:rFonts w:ascii="Arial" w:cs="Arial" w:eastAsia="Arial" w:hAnsi="Arial"/>
                <w:sz w:val="17"/>
                <w:szCs w:val="17"/>
                <w:color w:val="auto"/>
              </w:rPr>
              <w:t>7 %</w:t>
            </w:r>
          </w:p>
        </w:tc>
        <w:tc>
          <w:tcPr>
            <w:tcW w:w="1020" w:type="dxa"/>
            <w:vAlign w:val="bottom"/>
          </w:tcPr>
          <w:p>
            <w:pPr>
              <w:jc w:val="right"/>
              <w:spacing w:after="0"/>
              <w:rPr>
                <w:sz w:val="20"/>
                <w:szCs w:val="20"/>
                <w:color w:val="auto"/>
              </w:rPr>
            </w:pPr>
            <w:r>
              <w:rPr>
                <w:rFonts w:ascii="Arial" w:cs="Arial" w:eastAsia="Arial" w:hAnsi="Arial"/>
                <w:sz w:val="17"/>
                <w:szCs w:val="17"/>
                <w:color w:val="auto"/>
              </w:rPr>
              <w:t>7 %</w:t>
            </w:r>
          </w:p>
        </w:tc>
        <w:tc>
          <w:tcPr>
            <w:tcW w:w="0" w:type="dxa"/>
            <w:vAlign w:val="bottom"/>
          </w:tcPr>
          <w:p>
            <w:pPr>
              <w:spacing w:after="0"/>
              <w:rPr>
                <w:sz w:val="1"/>
                <w:szCs w:val="1"/>
                <w:color w:val="auto"/>
              </w:rPr>
            </w:pPr>
          </w:p>
        </w:tc>
      </w:tr>
      <w:tr>
        <w:trPr>
          <w:trHeight w:val="195"/>
        </w:trPr>
        <w:tc>
          <w:tcPr>
            <w:tcW w:w="2400" w:type="dxa"/>
            <w:vAlign w:val="bottom"/>
          </w:tcPr>
          <w:p>
            <w:pPr>
              <w:spacing w:after="0"/>
              <w:rPr>
                <w:sz w:val="16"/>
                <w:szCs w:val="16"/>
                <w:color w:val="auto"/>
              </w:rPr>
            </w:pPr>
          </w:p>
        </w:tc>
        <w:tc>
          <w:tcPr>
            <w:tcW w:w="1360" w:type="dxa"/>
            <w:vAlign w:val="bottom"/>
          </w:tcPr>
          <w:p>
            <w:pPr>
              <w:jc w:val="right"/>
              <w:ind w:right="618"/>
              <w:spacing w:after="0"/>
              <w:rPr>
                <w:sz w:val="20"/>
                <w:szCs w:val="20"/>
                <w:color w:val="auto"/>
              </w:rPr>
            </w:pPr>
            <w:r>
              <w:rPr>
                <w:rFonts w:ascii="Arial" w:cs="Arial" w:eastAsia="Arial" w:hAnsi="Arial"/>
                <w:sz w:val="17"/>
                <w:szCs w:val="17"/>
                <w:b w:val="1"/>
                <w:bCs w:val="1"/>
                <w:color w:val="auto"/>
              </w:rPr>
              <w:t>$</w:t>
            </w:r>
          </w:p>
        </w:tc>
        <w:tc>
          <w:tcPr>
            <w:tcW w:w="1500" w:type="dxa"/>
            <w:vAlign w:val="bottom"/>
            <w:gridSpan w:val="2"/>
          </w:tcPr>
          <w:p>
            <w:pPr>
              <w:jc w:val="right"/>
              <w:ind w:right="700"/>
              <w:spacing w:after="0"/>
              <w:rPr>
                <w:sz w:val="20"/>
                <w:szCs w:val="20"/>
                <w:color w:val="auto"/>
              </w:rPr>
            </w:pPr>
            <w:r>
              <w:rPr>
                <w:rFonts w:ascii="Arial" w:cs="Arial" w:eastAsia="Arial" w:hAnsi="Arial"/>
                <w:sz w:val="17"/>
                <w:szCs w:val="17"/>
                <w:color w:val="auto"/>
              </w:rPr>
              <w:t>$</w:t>
            </w:r>
          </w:p>
        </w:tc>
        <w:tc>
          <w:tcPr>
            <w:tcW w:w="1260" w:type="dxa"/>
            <w:vAlign w:val="bottom"/>
            <w:gridSpan w:val="2"/>
          </w:tcPr>
          <w:p>
            <w:pPr>
              <w:jc w:val="right"/>
              <w:ind w:right="698"/>
              <w:spacing w:after="0"/>
              <w:rPr>
                <w:sz w:val="20"/>
                <w:szCs w:val="20"/>
                <w:color w:val="auto"/>
              </w:rPr>
            </w:pPr>
            <w:r>
              <w:rPr>
                <w:rFonts w:ascii="Arial" w:cs="Arial" w:eastAsia="Arial" w:hAnsi="Arial"/>
                <w:sz w:val="17"/>
                <w:szCs w:val="17"/>
                <w:color w:val="auto"/>
              </w:rPr>
              <w:t>$</w:t>
            </w:r>
          </w:p>
        </w:tc>
        <w:tc>
          <w:tcPr>
            <w:tcW w:w="1080" w:type="dxa"/>
            <w:vAlign w:val="bottom"/>
          </w:tcPr>
          <w:p>
            <w:pPr>
              <w:spacing w:after="0"/>
              <w:rPr>
                <w:sz w:val="16"/>
                <w:szCs w:val="16"/>
                <w:color w:val="auto"/>
              </w:rPr>
            </w:pPr>
          </w:p>
        </w:tc>
        <w:tc>
          <w:tcPr>
            <w:tcW w:w="1160" w:type="dxa"/>
            <w:vAlign w:val="bottom"/>
          </w:tcPr>
          <w:p>
            <w:pPr>
              <w:spacing w:after="0"/>
              <w:rPr>
                <w:sz w:val="16"/>
                <w:szCs w:val="16"/>
                <w:color w:val="auto"/>
              </w:rPr>
            </w:pPr>
          </w:p>
        </w:tc>
        <w:tc>
          <w:tcPr>
            <w:tcW w:w="10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31"/>
        </w:trPr>
        <w:tc>
          <w:tcPr>
            <w:tcW w:w="2400" w:type="dxa"/>
            <w:vAlign w:val="bottom"/>
          </w:tcPr>
          <w:p>
            <w:pPr>
              <w:ind w:left="180"/>
              <w:spacing w:after="0"/>
              <w:rPr>
                <w:sz w:val="20"/>
                <w:szCs w:val="20"/>
                <w:color w:val="auto"/>
              </w:rPr>
            </w:pPr>
            <w:r>
              <w:rPr>
                <w:rFonts w:ascii="Arial" w:cs="Arial" w:eastAsia="Arial" w:hAnsi="Arial"/>
                <w:sz w:val="17"/>
                <w:szCs w:val="17"/>
                <w:color w:val="auto"/>
              </w:rPr>
              <w:t>Total operating revenue</w:t>
            </w:r>
          </w:p>
        </w:tc>
        <w:tc>
          <w:tcPr>
            <w:tcW w:w="1360" w:type="dxa"/>
            <w:vAlign w:val="bottom"/>
          </w:tcPr>
          <w:p>
            <w:pPr>
              <w:jc w:val="right"/>
              <w:ind w:right="78"/>
              <w:spacing w:after="0"/>
              <w:rPr>
                <w:sz w:val="20"/>
                <w:szCs w:val="20"/>
                <w:color w:val="auto"/>
              </w:rPr>
            </w:pPr>
            <w:r>
              <w:rPr>
                <w:rFonts w:ascii="Arial" w:cs="Arial" w:eastAsia="Arial" w:hAnsi="Arial"/>
                <w:sz w:val="17"/>
                <w:szCs w:val="17"/>
                <w:b w:val="1"/>
                <w:bCs w:val="1"/>
                <w:color w:val="auto"/>
              </w:rPr>
              <w:t>1,317.6</w:t>
            </w:r>
          </w:p>
        </w:tc>
        <w:tc>
          <w:tcPr>
            <w:tcW w:w="1500" w:type="dxa"/>
            <w:vAlign w:val="bottom"/>
            <w:gridSpan w:val="2"/>
          </w:tcPr>
          <w:p>
            <w:pPr>
              <w:jc w:val="right"/>
              <w:ind w:right="160"/>
              <w:spacing w:after="0"/>
              <w:rPr>
                <w:sz w:val="20"/>
                <w:szCs w:val="20"/>
                <w:color w:val="auto"/>
              </w:rPr>
            </w:pPr>
            <w:r>
              <w:rPr>
                <w:rFonts w:ascii="Arial" w:cs="Arial" w:eastAsia="Arial" w:hAnsi="Arial"/>
                <w:sz w:val="17"/>
                <w:szCs w:val="17"/>
                <w:color w:val="auto"/>
              </w:rPr>
              <w:t>1,316.7</w:t>
            </w:r>
          </w:p>
        </w:tc>
        <w:tc>
          <w:tcPr>
            <w:tcW w:w="1260" w:type="dxa"/>
            <w:vAlign w:val="bottom"/>
            <w:gridSpan w:val="2"/>
          </w:tcPr>
          <w:p>
            <w:pPr>
              <w:jc w:val="right"/>
              <w:ind w:right="58"/>
              <w:spacing w:after="0"/>
              <w:rPr>
                <w:sz w:val="20"/>
                <w:szCs w:val="20"/>
                <w:color w:val="auto"/>
              </w:rPr>
            </w:pPr>
            <w:r>
              <w:rPr>
                <w:rFonts w:ascii="Arial" w:cs="Arial" w:eastAsia="Arial" w:hAnsi="Arial"/>
                <w:sz w:val="17"/>
                <w:szCs w:val="17"/>
                <w:color w:val="auto"/>
              </w:rPr>
              <w:t>0.9</w:t>
            </w:r>
          </w:p>
        </w:tc>
        <w:tc>
          <w:tcPr>
            <w:tcW w:w="1080" w:type="dxa"/>
            <w:vAlign w:val="bottom"/>
          </w:tcPr>
          <w:p>
            <w:pPr>
              <w:jc w:val="right"/>
              <w:ind w:right="58"/>
              <w:spacing w:after="0"/>
              <w:rPr>
                <w:sz w:val="20"/>
                <w:szCs w:val="20"/>
                <w:color w:val="auto"/>
              </w:rPr>
            </w:pPr>
            <w:r>
              <w:rPr>
                <w:rFonts w:ascii="Arial" w:cs="Arial" w:eastAsia="Arial" w:hAnsi="Arial"/>
                <w:sz w:val="17"/>
                <w:szCs w:val="17"/>
                <w:color w:val="auto"/>
              </w:rPr>
              <w:t>— %</w:t>
            </w:r>
          </w:p>
        </w:tc>
        <w:tc>
          <w:tcPr>
            <w:tcW w:w="1160" w:type="dxa"/>
            <w:vAlign w:val="bottom"/>
          </w:tcPr>
          <w:p>
            <w:pPr>
              <w:jc w:val="right"/>
              <w:ind w:right="79"/>
              <w:spacing w:after="0"/>
              <w:rPr>
                <w:sz w:val="20"/>
                <w:szCs w:val="20"/>
                <w:color w:val="auto"/>
              </w:rPr>
            </w:pPr>
            <w:r>
              <w:rPr>
                <w:rFonts w:ascii="Arial" w:cs="Arial" w:eastAsia="Arial" w:hAnsi="Arial"/>
                <w:sz w:val="17"/>
                <w:szCs w:val="17"/>
                <w:color w:val="auto"/>
              </w:rPr>
              <w:t>1 %</w:t>
            </w:r>
          </w:p>
        </w:tc>
        <w:tc>
          <w:tcPr>
            <w:tcW w:w="1020" w:type="dxa"/>
            <w:vAlign w:val="bottom"/>
          </w:tcPr>
          <w:p>
            <w:pPr>
              <w:jc w:val="right"/>
              <w:spacing w:after="0"/>
              <w:rPr>
                <w:sz w:val="20"/>
                <w:szCs w:val="20"/>
                <w:color w:val="auto"/>
              </w:rPr>
            </w:pPr>
            <w:r>
              <w:rPr>
                <w:rFonts w:ascii="Arial" w:cs="Arial" w:eastAsia="Arial" w:hAnsi="Arial"/>
                <w:sz w:val="17"/>
                <w:szCs w:val="17"/>
                <w:color w:val="auto"/>
              </w:rPr>
              <w:t>— %</w:t>
            </w:r>
          </w:p>
        </w:tc>
        <w:tc>
          <w:tcPr>
            <w:tcW w:w="0" w:type="dxa"/>
            <w:vAlign w:val="bottom"/>
          </w:tcPr>
          <w:p>
            <w:pPr>
              <w:spacing w:after="0"/>
              <w:rPr>
                <w:sz w:val="1"/>
                <w:szCs w:val="1"/>
                <w:color w:val="auto"/>
              </w:rPr>
            </w:pPr>
          </w:p>
        </w:tc>
      </w:tr>
      <w:tr>
        <w:trPr>
          <w:trHeight w:val="25"/>
        </w:trPr>
        <w:tc>
          <w:tcPr>
            <w:tcW w:w="2400" w:type="dxa"/>
            <w:vAlign w:val="bottom"/>
          </w:tcPr>
          <w:p>
            <w:pPr>
              <w:spacing w:after="0"/>
              <w:rPr>
                <w:sz w:val="2"/>
                <w:szCs w:val="2"/>
                <w:color w:val="auto"/>
              </w:rPr>
            </w:pPr>
          </w:p>
        </w:tc>
        <w:tc>
          <w:tcPr>
            <w:tcW w:w="1360" w:type="dxa"/>
            <w:vAlign w:val="bottom"/>
            <w:tcBorders>
              <w:top w:val="single" w:sz="8" w:color="auto"/>
              <w:bottom w:val="single" w:sz="8" w:color="auto"/>
            </w:tcBorders>
          </w:tcPr>
          <w:p>
            <w:pPr>
              <w:spacing w:after="0"/>
              <w:rPr>
                <w:sz w:val="2"/>
                <w:szCs w:val="2"/>
                <w:color w:val="auto"/>
              </w:rPr>
            </w:pPr>
          </w:p>
        </w:tc>
        <w:tc>
          <w:tcPr>
            <w:tcW w:w="140" w:type="dxa"/>
            <w:vAlign w:val="bottom"/>
          </w:tcPr>
          <w:p>
            <w:pPr>
              <w:spacing w:after="0"/>
              <w:rPr>
                <w:sz w:val="2"/>
                <w:szCs w:val="2"/>
                <w:color w:val="auto"/>
              </w:rPr>
            </w:pPr>
          </w:p>
        </w:tc>
        <w:tc>
          <w:tcPr>
            <w:tcW w:w="1360" w:type="dxa"/>
            <w:vAlign w:val="bottom"/>
            <w:tcBorders>
              <w:top w:val="single" w:sz="8" w:color="auto"/>
              <w:bottom w:val="single" w:sz="8" w:color="auto"/>
            </w:tcBorders>
          </w:tcPr>
          <w:p>
            <w:pPr>
              <w:spacing w:after="0"/>
              <w:rPr>
                <w:sz w:val="2"/>
                <w:szCs w:val="2"/>
                <w:color w:val="auto"/>
              </w:rPr>
            </w:pPr>
          </w:p>
        </w:tc>
        <w:tc>
          <w:tcPr>
            <w:tcW w:w="140" w:type="dxa"/>
            <w:vAlign w:val="bottom"/>
          </w:tcPr>
          <w:p>
            <w:pPr>
              <w:spacing w:after="0"/>
              <w:rPr>
                <w:sz w:val="2"/>
                <w:szCs w:val="2"/>
                <w:color w:val="auto"/>
              </w:rPr>
            </w:pPr>
          </w:p>
        </w:tc>
        <w:tc>
          <w:tcPr>
            <w:tcW w:w="1120" w:type="dxa"/>
            <w:vAlign w:val="bottom"/>
            <w:tcBorders>
              <w:top w:val="single" w:sz="8" w:color="auto"/>
              <w:bottom w:val="single" w:sz="8" w:color="auto"/>
            </w:tcBorders>
          </w:tcPr>
          <w:p>
            <w:pPr>
              <w:spacing w:after="0"/>
              <w:rPr>
                <w:sz w:val="2"/>
                <w:szCs w:val="2"/>
                <w:color w:val="auto"/>
              </w:rPr>
            </w:pPr>
          </w:p>
        </w:tc>
        <w:tc>
          <w:tcPr>
            <w:tcW w:w="1080" w:type="dxa"/>
            <w:vAlign w:val="bottom"/>
          </w:tcPr>
          <w:p>
            <w:pPr>
              <w:spacing w:after="0"/>
              <w:rPr>
                <w:sz w:val="2"/>
                <w:szCs w:val="2"/>
                <w:color w:val="auto"/>
              </w:rPr>
            </w:pPr>
          </w:p>
        </w:tc>
        <w:tc>
          <w:tcPr>
            <w:tcW w:w="1160" w:type="dxa"/>
            <w:vAlign w:val="bottom"/>
          </w:tcPr>
          <w:p>
            <w:pPr>
              <w:spacing w:after="0"/>
              <w:rPr>
                <w:sz w:val="2"/>
                <w:szCs w:val="2"/>
                <w:color w:val="auto"/>
              </w:rPr>
            </w:pPr>
          </w:p>
        </w:tc>
        <w:tc>
          <w:tcPr>
            <w:tcW w:w="1020" w:type="dxa"/>
            <w:vAlign w:val="bottom"/>
          </w:tcPr>
          <w:p>
            <w:pPr>
              <w:spacing w:after="0"/>
              <w:rPr>
                <w:sz w:val="2"/>
                <w:szCs w:val="2"/>
                <w:color w:val="auto"/>
              </w:rPr>
            </w:pPr>
          </w:p>
        </w:tc>
        <w:tc>
          <w:tcPr>
            <w:tcW w:w="0" w:type="dxa"/>
            <w:vAlign w:val="bottom"/>
          </w:tcPr>
          <w:p>
            <w:pPr>
              <w:spacing w:after="0"/>
              <w:rPr>
                <w:sz w:val="1"/>
                <w:szCs w:val="1"/>
                <w:color w:val="auto"/>
              </w:rPr>
            </w:pPr>
          </w:p>
        </w:tc>
      </w:tr>
    </w:tbl>
    <w:p>
      <w:pPr>
        <w:spacing w:after="0" w:line="221" w:lineRule="exact"/>
        <w:rPr>
          <w:sz w:val="20"/>
          <w:szCs w:val="20"/>
          <w:color w:val="auto"/>
        </w:rPr>
      </w:pPr>
    </w:p>
    <w:p>
      <w:pPr>
        <w:ind w:left="340" w:hanging="280"/>
        <w:spacing w:after="0"/>
        <w:tabs>
          <w:tab w:leader="none" w:pos="340" w:val="left"/>
        </w:tabs>
        <w:numPr>
          <w:ilvl w:val="1"/>
          <w:numId w:val="2"/>
        </w:numPr>
        <w:rPr>
          <w:rFonts w:ascii="Arial" w:cs="Arial" w:eastAsia="Arial" w:hAnsi="Arial"/>
          <w:sz w:val="17"/>
          <w:szCs w:val="17"/>
          <w:color w:val="auto"/>
        </w:rPr>
      </w:pPr>
      <w:r>
        <w:rPr>
          <w:rFonts w:ascii="Arial" w:cs="Arial" w:eastAsia="Arial" w:hAnsi="Arial"/>
          <w:sz w:val="17"/>
          <w:szCs w:val="17"/>
          <w:color w:val="auto"/>
        </w:rPr>
        <w:t>Local currency revenue change is calculated by conforming 2023 results using 2022 exchange rates.</w:t>
      </w:r>
    </w:p>
    <w:p>
      <w:pPr>
        <w:spacing w:after="0" w:line="254" w:lineRule="exact"/>
        <w:rPr>
          <w:rFonts w:ascii="Arial" w:cs="Arial" w:eastAsia="Arial" w:hAnsi="Arial"/>
          <w:sz w:val="17"/>
          <w:szCs w:val="17"/>
          <w:color w:val="auto"/>
        </w:rPr>
      </w:pPr>
    </w:p>
    <w:p>
      <w:pPr>
        <w:ind w:left="340" w:right="240" w:hanging="280"/>
        <w:spacing w:after="0" w:line="255" w:lineRule="auto"/>
        <w:tabs>
          <w:tab w:leader="none" w:pos="340" w:val="left"/>
        </w:tabs>
        <w:numPr>
          <w:ilvl w:val="1"/>
          <w:numId w:val="2"/>
        </w:numPr>
        <w:rPr>
          <w:rFonts w:ascii="Arial" w:cs="Arial" w:eastAsia="Arial" w:hAnsi="Arial"/>
          <w:sz w:val="17"/>
          <w:szCs w:val="17"/>
          <w:color w:val="auto"/>
        </w:rPr>
      </w:pPr>
      <w:r>
        <w:rPr>
          <w:rFonts w:ascii="Arial" w:cs="Arial" w:eastAsia="Arial" w:hAnsi="Arial"/>
          <w:sz w:val="17"/>
          <w:szCs w:val="17"/>
          <w:color w:val="auto"/>
        </w:rPr>
        <w:t>Organic local currency revenue growth is defined as local currency revenue growth, adjusted to reflect an increase in prior year Equifax revenue from the revenue of acquired companies in the prior year period. This adjustment is made for 12 months following the acquisition.</w:t>
      </w: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335" w:lineRule="exact"/>
        <w:rPr>
          <w:rFonts w:ascii="Arial" w:cs="Arial" w:eastAsia="Arial" w:hAnsi="Arial"/>
          <w:sz w:val="17"/>
          <w:szCs w:val="17"/>
          <w:color w:val="auto"/>
        </w:rPr>
      </w:pPr>
    </w:p>
    <w:p>
      <w:pPr>
        <w:ind w:right="320"/>
        <w:spacing w:after="0" w:line="328" w:lineRule="auto"/>
        <w:tabs>
          <w:tab w:leader="none" w:pos="333" w:val="left"/>
        </w:tabs>
        <w:numPr>
          <w:ilvl w:val="0"/>
          <w:numId w:val="3"/>
        </w:numPr>
        <w:rPr>
          <w:rFonts w:ascii="Arial" w:cs="Arial" w:eastAsia="Arial" w:hAnsi="Arial"/>
          <w:sz w:val="23"/>
          <w:szCs w:val="23"/>
          <w:b w:val="1"/>
          <w:bCs w:val="1"/>
          <w:color w:val="auto"/>
        </w:rPr>
      </w:pPr>
      <w:r>
        <w:rPr>
          <w:rFonts w:ascii="Arial" w:cs="Arial" w:eastAsia="Arial" w:hAnsi="Arial"/>
          <w:sz w:val="23"/>
          <w:szCs w:val="23"/>
          <w:b w:val="1"/>
          <w:bCs w:val="1"/>
          <w:color w:val="auto"/>
        </w:rPr>
        <w:t>What is the estimate of the change in overall U.S. Mortgage Market credit inquiry volume that is included in the 2023 third quarter and full year guidance provided?</w:t>
      </w:r>
    </w:p>
    <w:p>
      <w:pPr>
        <w:spacing w:after="0" w:line="91" w:lineRule="exact"/>
        <w:rPr>
          <w:sz w:val="20"/>
          <w:szCs w:val="20"/>
          <w:color w:val="auto"/>
        </w:rPr>
      </w:pPr>
    </w:p>
    <w:p>
      <w:pPr>
        <w:ind w:right="80"/>
        <w:spacing w:after="0" w:line="258" w:lineRule="auto"/>
        <w:rPr>
          <w:sz w:val="20"/>
          <w:szCs w:val="20"/>
          <w:color w:val="auto"/>
        </w:rPr>
      </w:pPr>
      <w:r>
        <w:rPr>
          <w:rFonts w:ascii="Arial" w:cs="Arial" w:eastAsia="Arial" w:hAnsi="Arial"/>
          <w:sz w:val="24"/>
          <w:szCs w:val="24"/>
          <w:color w:val="auto"/>
        </w:rPr>
        <w:t>The change year over year in total U.S. mortgage credit inquiries received by Equifax in the second quarter of 2023 was a decline of 33%. The guidance provided on page 3 assumes a change year over year in total U.S. Mortgage Market Credit inquiries received by Equifax in the third quarter of 2023 to be a decline of about 23%. For full year 2023, our guidance assumes a decline of about 31%.</w:t>
      </w:r>
    </w:p>
    <w:p>
      <w:pPr>
        <w:spacing w:after="0" w:line="178" w:lineRule="exact"/>
        <w:rPr>
          <w:sz w:val="20"/>
          <w:szCs w:val="20"/>
          <w:color w:val="auto"/>
        </w:rPr>
      </w:pPr>
    </w:p>
    <w:p>
      <w:pPr>
        <w:ind w:right="140"/>
        <w:spacing w:after="0" w:line="262" w:lineRule="auto"/>
        <w:rPr>
          <w:sz w:val="20"/>
          <w:szCs w:val="20"/>
          <w:color w:val="auto"/>
        </w:rPr>
      </w:pPr>
      <w:r>
        <w:rPr>
          <w:rFonts w:ascii="Arial" w:cs="Arial" w:eastAsia="Arial" w:hAnsi="Arial"/>
          <w:sz w:val="24"/>
          <w:szCs w:val="24"/>
          <w:b w:val="1"/>
          <w:bCs w:val="1"/>
          <w:color w:val="auto"/>
        </w:rPr>
        <w:t>Reconciliations of Non-GAAP Financial Measures to the Comparable GAAP Financial Measures (Unaudited)</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(Dollars in millions, except per share amounts)</w:t>
      </w:r>
    </w:p>
    <w:p>
      <w:pPr>
        <w:spacing w:after="0" w:line="215" w:lineRule="exact"/>
        <w:rPr>
          <w:sz w:val="20"/>
          <w:szCs w:val="20"/>
          <w:color w:val="auto"/>
        </w:rPr>
      </w:pPr>
    </w:p>
    <w:p>
      <w:pPr>
        <w:ind w:right="80"/>
        <w:spacing w:after="0" w:line="255" w:lineRule="auto"/>
        <w:tabs>
          <w:tab w:leader="none" w:pos="373" w:val="left"/>
        </w:tabs>
        <w:numPr>
          <w:ilvl w:val="0"/>
          <w:numId w:val="4"/>
        </w:numPr>
        <w:rPr>
          <w:rFonts w:ascii="Arial" w:cs="Arial" w:eastAsia="Arial" w:hAnsi="Arial"/>
          <w:sz w:val="24"/>
          <w:szCs w:val="24"/>
          <w:b w:val="1"/>
          <w:bCs w:val="1"/>
          <w:color w:val="auto"/>
        </w:rPr>
      </w:pPr>
      <w:r>
        <w:rPr>
          <w:rFonts w:ascii="Arial" w:cs="Arial" w:eastAsia="Arial" w:hAnsi="Arial"/>
          <w:sz w:val="24"/>
          <w:szCs w:val="24"/>
          <w:b w:val="1"/>
          <w:bCs w:val="1"/>
          <w:color w:val="auto"/>
        </w:rPr>
        <w:t>Reconciliation of net income attributable to Equifax to diluted EPS attributable to Equifax, defined as net income adjusted for acquisition-related amortization expense, legal expenses related to the 2017 cybersecurity incident, fair value adjustment and gain on sale of equity investments, foreign currency impact of certain intercompany loans, acquisition-related costs other than acquisition amortization, income tax effect of stock awards recognized upon vesting or settlement, Argentina highly inflationary foreign currency adjustment, realignment of resources and other costs and income tax adjustments:</w:t>
      </w:r>
    </w:p>
    <w:p>
      <w:pPr>
        <w:sectPr>
          <w:pgSz w:w="12240" w:h="15840" w:orient="portrait"/>
          <w:cols w:equalWidth="0" w:num="1">
            <w:col w:w="9820"/>
          </w:cols>
          <w:pgMar w:left="1200" w:top="1073" w:right="1220" w:bottom="1440" w:gutter="0" w:footer="0" w:header="0"/>
        </w:sectPr>
      </w:pPr>
    </w:p>
    <w:bookmarkStart w:id="9" w:name="page10"/>
    <w:bookmarkEnd w:id="9"/>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Arial" w:cs="Arial" w:eastAsia="Arial" w:hAnsi="Arial"/>
          <w:sz w:val="17"/>
          <w:szCs w:val="17"/>
          <w:i w:val="1"/>
          <w:iCs w:val="1"/>
          <w:color w:val="auto"/>
        </w:rPr>
        <w:t>(In millions, except per share amounts)</w:t>
      </w:r>
    </w:p>
    <w:p>
      <w:pPr>
        <w:spacing w:after="0" w:line="223" w:lineRule="exact"/>
        <w:rPr>
          <w:sz w:val="20"/>
          <w:szCs w:val="20"/>
          <w:color w:val="auto"/>
        </w:rPr>
      </w:pPr>
    </w:p>
    <w:p>
      <w:pPr>
        <w:spacing w:after="0"/>
        <w:rPr>
          <w:sz w:val="20"/>
          <w:szCs w:val="20"/>
          <w:color w:val="auto"/>
        </w:rPr>
      </w:pPr>
      <w:r>
        <w:rPr>
          <w:rFonts w:ascii="Arial" w:cs="Arial" w:eastAsia="Arial" w:hAnsi="Arial"/>
          <w:sz w:val="17"/>
          <w:szCs w:val="17"/>
          <w:color w:val="auto"/>
        </w:rPr>
        <w:t>Net income attributable to Equifax</w:t>
      </w:r>
    </w:p>
    <w:p>
      <w:pPr>
        <w:spacing w:after="0" w:line="30" w:lineRule="exact"/>
        <w:rPr>
          <w:sz w:val="20"/>
          <w:szCs w:val="20"/>
          <w:color w:val="auto"/>
        </w:rPr>
      </w:pPr>
    </w:p>
    <w:p>
      <w:pPr>
        <w:spacing w:after="0"/>
        <w:rPr>
          <w:sz w:val="20"/>
          <w:szCs w:val="20"/>
          <w:color w:val="auto"/>
        </w:rPr>
      </w:pPr>
      <w:r>
        <w:rPr>
          <w:rFonts w:ascii="Arial" w:cs="Arial" w:eastAsia="Arial" w:hAnsi="Arial"/>
          <w:sz w:val="15"/>
          <w:szCs w:val="15"/>
          <w:color w:val="auto"/>
        </w:rPr>
        <w:t>Acquisition-related amortization expense of certain acquired intangibles</w:t>
      </w:r>
    </w:p>
    <w:p>
      <w:pPr>
        <w:spacing w:after="0" w:line="49" w:lineRule="exact"/>
        <w:rPr>
          <w:sz w:val="20"/>
          <w:szCs w:val="20"/>
          <w:color w:val="auto"/>
        </w:rPr>
      </w:pPr>
    </w:p>
    <w:p>
      <w:pPr>
        <w:spacing w:after="0"/>
        <w:rPr>
          <w:sz w:val="20"/>
          <w:szCs w:val="20"/>
          <w:color w:val="auto"/>
        </w:rPr>
      </w:pPr>
      <w:r>
        <w:rPr>
          <w:rFonts w:ascii="Arial" w:cs="Arial" w:eastAsia="Arial" w:hAnsi="Arial"/>
          <w:sz w:val="14"/>
          <w:szCs w:val="14"/>
          <w:color w:val="auto"/>
        </w:rPr>
        <w:t>(1)</w:t>
      </w:r>
    </w:p>
    <w:p>
      <w:pPr>
        <w:spacing w:after="0" w:line="74" w:lineRule="exact"/>
        <w:rPr>
          <w:sz w:val="20"/>
          <w:szCs w:val="20"/>
          <w:color w:val="auto"/>
        </w:rPr>
      </w:pPr>
    </w:p>
    <w:p>
      <w:pPr>
        <w:spacing w:after="0"/>
        <w:rPr>
          <w:sz w:val="20"/>
          <w:szCs w:val="20"/>
          <w:color w:val="auto"/>
        </w:rPr>
      </w:pPr>
      <w:r>
        <w:rPr>
          <w:rFonts w:ascii="Arial" w:cs="Arial" w:eastAsia="Arial" w:hAnsi="Arial"/>
          <w:sz w:val="17"/>
          <w:szCs w:val="17"/>
          <w:color w:val="auto"/>
        </w:rPr>
        <w:t>Legal expenses related to the 2017 cybersecurity incident</w:t>
      </w:r>
      <w:r>
        <w:rPr>
          <w:rFonts w:ascii="Arial" w:cs="Arial" w:eastAsia="Arial" w:hAnsi="Arial"/>
          <w:sz w:val="27"/>
          <w:szCs w:val="27"/>
          <w:color w:val="auto"/>
        </w:rPr>
        <w:t xml:space="preserve"> </w:t>
      </w:r>
      <w:r>
        <w:rPr>
          <w:rFonts w:ascii="Arial" w:cs="Arial" w:eastAsia="Arial" w:hAnsi="Arial"/>
          <w:sz w:val="27"/>
          <w:szCs w:val="27"/>
          <w:color w:val="auto"/>
          <w:vertAlign w:val="superscript"/>
        </w:rPr>
        <w:t>(2)</w:t>
      </w:r>
    </w:p>
    <w:p>
      <w:pPr>
        <w:spacing w:after="0"/>
        <w:rPr>
          <w:sz w:val="20"/>
          <w:szCs w:val="20"/>
          <w:color w:val="auto"/>
        </w:rPr>
      </w:pPr>
      <w:r>
        <w:rPr>
          <w:rFonts w:ascii="Arial" w:cs="Arial" w:eastAsia="Arial" w:hAnsi="Arial"/>
          <w:sz w:val="16"/>
          <w:szCs w:val="16"/>
          <w:color w:val="auto"/>
        </w:rPr>
        <w:t>Fair market value adjustment and gain on sale of equity investments</w:t>
      </w:r>
      <w:r>
        <w:rPr>
          <w:rFonts w:ascii="Arial" w:cs="Arial" w:eastAsia="Arial" w:hAnsi="Arial"/>
          <w:sz w:val="26"/>
          <w:szCs w:val="26"/>
          <w:color w:val="auto"/>
        </w:rPr>
        <w:t xml:space="preserve"> </w:t>
      </w:r>
      <w:r>
        <w:rPr>
          <w:rFonts w:ascii="Arial" w:cs="Arial" w:eastAsia="Arial" w:hAnsi="Arial"/>
          <w:sz w:val="26"/>
          <w:szCs w:val="26"/>
          <w:color w:val="auto"/>
          <w:vertAlign w:val="superscript"/>
        </w:rPr>
        <w:t>(3)</w:t>
      </w:r>
    </w:p>
    <w:p>
      <w:pPr>
        <w:spacing w:after="0" w:line="186" w:lineRule="auto"/>
        <w:rPr>
          <w:sz w:val="20"/>
          <w:szCs w:val="20"/>
          <w:color w:val="auto"/>
        </w:rPr>
      </w:pPr>
      <w:r>
        <w:rPr>
          <w:rFonts w:ascii="Arial" w:cs="Arial" w:eastAsia="Arial" w:hAnsi="Arial"/>
          <w:sz w:val="17"/>
          <w:szCs w:val="17"/>
          <w:color w:val="auto"/>
        </w:rPr>
        <w:t>Foreign currency impact of certain intercompany loans</w:t>
      </w:r>
      <w:r>
        <w:rPr>
          <w:rFonts w:ascii="Arial" w:cs="Arial" w:eastAsia="Arial" w:hAnsi="Arial"/>
          <w:sz w:val="27"/>
          <w:szCs w:val="27"/>
          <w:color w:val="auto"/>
        </w:rPr>
        <w:t xml:space="preserve"> </w:t>
      </w:r>
      <w:r>
        <w:rPr>
          <w:rFonts w:ascii="Arial" w:cs="Arial" w:eastAsia="Arial" w:hAnsi="Arial"/>
          <w:sz w:val="27"/>
          <w:szCs w:val="27"/>
          <w:color w:val="auto"/>
          <w:vertAlign w:val="superscript"/>
        </w:rPr>
        <w:t>(4)</w:t>
      </w:r>
    </w:p>
    <w:p>
      <w:pPr>
        <w:ind w:right="40"/>
        <w:spacing w:after="0" w:line="216" w:lineRule="auto"/>
        <w:rPr>
          <w:sz w:val="20"/>
          <w:szCs w:val="20"/>
          <w:color w:val="auto"/>
        </w:rPr>
      </w:pPr>
      <w:r>
        <w:rPr>
          <w:rFonts w:ascii="Arial" w:cs="Arial" w:eastAsia="Arial" w:hAnsi="Arial"/>
          <w:sz w:val="17"/>
          <w:szCs w:val="17"/>
          <w:color w:val="auto"/>
        </w:rPr>
        <w:t>Acquisition-related costs other than acquisition amortization</w:t>
      </w:r>
      <w:r>
        <w:rPr>
          <w:rFonts w:ascii="Arial" w:cs="Arial" w:eastAsia="Arial" w:hAnsi="Arial"/>
          <w:sz w:val="27"/>
          <w:szCs w:val="27"/>
          <w:color w:val="auto"/>
        </w:rPr>
        <w:t xml:space="preserve"> </w:t>
      </w:r>
      <w:r>
        <w:rPr>
          <w:rFonts w:ascii="Arial" w:cs="Arial" w:eastAsia="Arial" w:hAnsi="Arial"/>
          <w:sz w:val="27"/>
          <w:szCs w:val="27"/>
          <w:color w:val="auto"/>
          <w:vertAlign w:val="superscript"/>
        </w:rPr>
        <w:t>(5)</w:t>
      </w:r>
      <w:r>
        <w:rPr>
          <w:rFonts w:ascii="Arial" w:cs="Arial" w:eastAsia="Arial" w:hAnsi="Arial"/>
          <w:sz w:val="17"/>
          <w:szCs w:val="17"/>
          <w:color w:val="auto"/>
        </w:rPr>
        <w:t xml:space="preserve"> Income tax effects of stock awards that are recognized upon vesting or settlement</w:t>
      </w:r>
      <w:r>
        <w:rPr>
          <w:rFonts w:ascii="Arial" w:cs="Arial" w:eastAsia="Arial" w:hAnsi="Arial"/>
          <w:sz w:val="27"/>
          <w:szCs w:val="27"/>
          <w:color w:val="auto"/>
        </w:rPr>
        <w:t xml:space="preserve"> </w:t>
      </w:r>
      <w:r>
        <w:rPr>
          <w:rFonts w:ascii="Arial" w:cs="Arial" w:eastAsia="Arial" w:hAnsi="Arial"/>
          <w:sz w:val="27"/>
          <w:szCs w:val="27"/>
          <w:color w:val="auto"/>
          <w:vertAlign w:val="superscript"/>
        </w:rPr>
        <w:t>(6)</w:t>
      </w:r>
    </w:p>
    <w:p>
      <w:pPr>
        <w:spacing w:after="0" w:line="234" w:lineRule="auto"/>
        <w:rPr>
          <w:sz w:val="20"/>
          <w:szCs w:val="20"/>
          <w:color w:val="auto"/>
        </w:rPr>
      </w:pPr>
      <w:r>
        <w:rPr>
          <w:rFonts w:ascii="Arial" w:cs="Arial" w:eastAsia="Arial" w:hAnsi="Arial"/>
          <w:sz w:val="17"/>
          <w:szCs w:val="17"/>
          <w:color w:val="auto"/>
        </w:rPr>
        <w:t>Argentina highly inflationary foreign currency adjustment</w:t>
      </w:r>
      <w:r>
        <w:rPr>
          <w:rFonts w:ascii="Arial" w:cs="Arial" w:eastAsia="Arial" w:hAnsi="Arial"/>
          <w:sz w:val="27"/>
          <w:szCs w:val="27"/>
          <w:color w:val="auto"/>
        </w:rPr>
        <w:t xml:space="preserve"> </w:t>
      </w:r>
      <w:r>
        <w:rPr>
          <w:rFonts w:ascii="Arial" w:cs="Arial" w:eastAsia="Arial" w:hAnsi="Arial"/>
          <w:sz w:val="27"/>
          <w:szCs w:val="27"/>
          <w:color w:val="auto"/>
          <w:vertAlign w:val="superscript"/>
        </w:rPr>
        <w:t>(7)</w:t>
      </w:r>
    </w:p>
    <w:p>
      <w:pPr>
        <w:spacing w:after="0" w:line="183" w:lineRule="auto"/>
        <w:rPr>
          <w:sz w:val="20"/>
          <w:szCs w:val="20"/>
          <w:color w:val="auto"/>
        </w:rPr>
      </w:pPr>
      <w:r>
        <w:rPr>
          <w:rFonts w:ascii="Arial" w:cs="Arial" w:eastAsia="Arial" w:hAnsi="Arial"/>
          <w:sz w:val="17"/>
          <w:szCs w:val="17"/>
          <w:color w:val="auto"/>
        </w:rPr>
        <w:t>Realignment of resources and other costs</w:t>
      </w:r>
      <w:r>
        <w:rPr>
          <w:rFonts w:ascii="Arial" w:cs="Arial" w:eastAsia="Arial" w:hAnsi="Arial"/>
          <w:sz w:val="27"/>
          <w:szCs w:val="27"/>
          <w:color w:val="auto"/>
        </w:rPr>
        <w:t xml:space="preserve"> </w:t>
      </w:r>
      <w:r>
        <w:rPr>
          <w:rFonts w:ascii="Arial" w:cs="Arial" w:eastAsia="Arial" w:hAnsi="Arial"/>
          <w:sz w:val="27"/>
          <w:szCs w:val="27"/>
          <w:color w:val="auto"/>
          <w:vertAlign w:val="superscript"/>
        </w:rPr>
        <w:t>(8)</w:t>
      </w:r>
    </w:p>
    <w:p>
      <w:pPr>
        <w:spacing w:after="0" w:line="1" w:lineRule="exact"/>
        <w:rPr>
          <w:sz w:val="20"/>
          <w:szCs w:val="20"/>
          <w:color w:val="auto"/>
        </w:rPr>
      </w:pPr>
    </w:p>
    <w:p>
      <w:pPr>
        <w:spacing w:after="0"/>
        <w:rPr>
          <w:sz w:val="20"/>
          <w:szCs w:val="20"/>
          <w:color w:val="auto"/>
        </w:rPr>
      </w:pPr>
      <w:r>
        <w:rPr>
          <w:rFonts w:ascii="Arial" w:cs="Arial" w:eastAsia="Arial" w:hAnsi="Arial"/>
          <w:sz w:val="17"/>
          <w:szCs w:val="17"/>
          <w:color w:val="auto"/>
        </w:rPr>
        <w:t>Tax impact of adjustments</w:t>
      </w:r>
      <w:r>
        <w:rPr>
          <w:rFonts w:ascii="Arial" w:cs="Arial" w:eastAsia="Arial" w:hAnsi="Arial"/>
          <w:sz w:val="27"/>
          <w:szCs w:val="27"/>
          <w:color w:val="auto"/>
        </w:rPr>
        <w:t xml:space="preserve"> </w:t>
      </w:r>
      <w:r>
        <w:rPr>
          <w:rFonts w:ascii="Arial" w:cs="Arial" w:eastAsia="Arial" w:hAnsi="Arial"/>
          <w:sz w:val="27"/>
          <w:szCs w:val="27"/>
          <w:color w:val="auto"/>
          <w:vertAlign w:val="superscript"/>
        </w:rPr>
        <w:t>(9)</w:t>
      </w:r>
    </w:p>
    <w:p>
      <w:pPr>
        <w:spacing w:after="0" w:line="152" w:lineRule="exact"/>
        <w:rPr>
          <w:sz w:val="20"/>
          <w:szCs w:val="20"/>
          <w:color w:val="auto"/>
        </w:rPr>
      </w:pPr>
    </w:p>
    <w:p>
      <w:pPr>
        <w:spacing w:after="0"/>
        <w:rPr>
          <w:sz w:val="20"/>
          <w:szCs w:val="20"/>
          <w:color w:val="auto"/>
        </w:rPr>
      </w:pPr>
      <w:r>
        <w:rPr>
          <w:rFonts w:ascii="Arial" w:cs="Arial" w:eastAsia="Arial" w:hAnsi="Arial"/>
          <w:sz w:val="17"/>
          <w:szCs w:val="17"/>
          <w:color w:val="auto"/>
        </w:rPr>
        <w:t>Net income attributable to Equifax, adjusted for items listed above</w:t>
      </w:r>
    </w:p>
    <w:p>
      <w:pPr>
        <w:spacing w:after="0" w:line="285" w:lineRule="exact"/>
        <w:rPr>
          <w:sz w:val="20"/>
          <w:szCs w:val="20"/>
          <w:color w:val="auto"/>
        </w:rPr>
      </w:pPr>
    </w:p>
    <w:p>
      <w:pPr>
        <w:ind w:right="80"/>
        <w:spacing w:after="0" w:line="344" w:lineRule="auto"/>
        <w:rPr>
          <w:sz w:val="20"/>
          <w:szCs w:val="20"/>
          <w:color w:val="auto"/>
        </w:rPr>
      </w:pPr>
      <w:r>
        <w:rPr>
          <w:rFonts w:ascii="Arial" w:cs="Arial" w:eastAsia="Arial" w:hAnsi="Arial"/>
          <w:sz w:val="17"/>
          <w:szCs w:val="17"/>
          <w:color w:val="auto"/>
        </w:rPr>
        <w:t>Diluted EPS attributable to Equifax, adjusted for the items listed above Weighted-average shares used in computing diluted EPS</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31"/>
        </w:trPr>
        <w:tc>
          <w:tcPr>
            <w:tcW w:w="2560" w:type="dxa"/>
            <w:vAlign w:val="bottom"/>
            <w:gridSpan w:val="3"/>
          </w:tcPr>
          <w:p>
            <w:pPr>
              <w:jc w:val="right"/>
              <w:ind w:right="18"/>
              <w:spacing w:after="0"/>
              <w:rPr>
                <w:sz w:val="20"/>
                <w:szCs w:val="20"/>
                <w:color w:val="auto"/>
              </w:rPr>
            </w:pPr>
            <w:r>
              <w:rPr>
                <w:rFonts w:ascii="Arial" w:cs="Arial" w:eastAsia="Arial" w:hAnsi="Arial"/>
                <w:sz w:val="17"/>
                <w:szCs w:val="17"/>
                <w:b w:val="1"/>
                <w:bCs w:val="1"/>
                <w:color w:val="auto"/>
              </w:rPr>
              <w:t>Three Months Ended June 30,</w:t>
            </w:r>
          </w:p>
        </w:tc>
        <w:tc>
          <w:tcPr>
            <w:tcW w:w="14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840" w:type="dxa"/>
            <w:vAlign w:val="bottom"/>
            <w:vMerge w:val="restart"/>
          </w:tcPr>
          <w:p>
            <w:pPr>
              <w:jc w:val="right"/>
              <w:ind w:right="158"/>
              <w:spacing w:after="0"/>
              <w:rPr>
                <w:sz w:val="20"/>
                <w:szCs w:val="20"/>
                <w:color w:val="auto"/>
              </w:rPr>
            </w:pP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191"/>
        </w:trPr>
        <w:tc>
          <w:tcPr>
            <w:tcW w:w="1200" w:type="dxa"/>
            <w:vAlign w:val="bottom"/>
            <w:vMerge w:val="restart"/>
          </w:tcPr>
          <w:p>
            <w:pPr>
              <w:jc w:val="right"/>
              <w:ind w:right="378"/>
              <w:spacing w:after="0"/>
              <w:rPr>
                <w:sz w:val="20"/>
                <w:szCs w:val="20"/>
                <w:color w:val="auto"/>
              </w:rPr>
            </w:pPr>
            <w:r>
              <w:rPr>
                <w:rFonts w:ascii="Arial" w:cs="Arial" w:eastAsia="Arial" w:hAnsi="Arial"/>
                <w:sz w:val="17"/>
                <w:szCs w:val="17"/>
                <w:b w:val="1"/>
                <w:bCs w:val="1"/>
                <w:color w:val="auto"/>
              </w:rPr>
              <w:t>2023</w:t>
            </w:r>
          </w:p>
        </w:tc>
        <w:tc>
          <w:tcPr>
            <w:tcW w:w="1360" w:type="dxa"/>
            <w:vAlign w:val="bottom"/>
            <w:gridSpan w:val="2"/>
            <w:vMerge w:val="restart"/>
          </w:tcPr>
          <w:p>
            <w:pPr>
              <w:jc w:val="right"/>
              <w:ind w:right="378"/>
              <w:spacing w:after="0"/>
              <w:rPr>
                <w:sz w:val="20"/>
                <w:szCs w:val="20"/>
                <w:color w:val="auto"/>
              </w:rPr>
            </w:pPr>
            <w:r>
              <w:rPr>
                <w:rFonts w:ascii="Arial" w:cs="Arial" w:eastAsia="Arial" w:hAnsi="Arial"/>
                <w:sz w:val="17"/>
                <w:szCs w:val="17"/>
                <w:b w:val="1"/>
                <w:bCs w:val="1"/>
                <w:color w:val="auto"/>
              </w:rPr>
              <w:t>2022</w:t>
            </w:r>
          </w:p>
        </w:tc>
        <w:tc>
          <w:tcPr>
            <w:tcW w:w="140" w:type="dxa"/>
            <w:vAlign w:val="bottom"/>
          </w:tcPr>
          <w:p>
            <w:pPr>
              <w:spacing w:after="0"/>
              <w:rPr>
                <w:sz w:val="16"/>
                <w:szCs w:val="16"/>
                <w:color w:val="auto"/>
              </w:rPr>
            </w:pPr>
          </w:p>
        </w:tc>
        <w:tc>
          <w:tcPr>
            <w:tcW w:w="840" w:type="dxa"/>
            <w:vAlign w:val="bottom"/>
          </w:tcPr>
          <w:p>
            <w:pPr>
              <w:spacing w:after="0"/>
              <w:rPr>
                <w:sz w:val="16"/>
                <w:szCs w:val="16"/>
                <w:color w:val="auto"/>
              </w:rPr>
            </w:pPr>
          </w:p>
        </w:tc>
        <w:tc>
          <w:tcPr>
            <w:tcW w:w="84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23"/>
        </w:trPr>
        <w:tc>
          <w:tcPr>
            <w:tcW w:w="1200" w:type="dxa"/>
            <w:vAlign w:val="bottom"/>
            <w:vMerge w:val="continue"/>
          </w:tcPr>
          <w:p>
            <w:pPr>
              <w:spacing w:after="0"/>
              <w:rPr>
                <w:sz w:val="19"/>
                <w:szCs w:val="19"/>
                <w:color w:val="auto"/>
              </w:rPr>
            </w:pPr>
          </w:p>
        </w:tc>
        <w:tc>
          <w:tcPr>
            <w:tcW w:w="1360" w:type="dxa"/>
            <w:vAlign w:val="bottom"/>
            <w:gridSpan w:val="2"/>
            <w:vMerge w:val="continue"/>
          </w:tcPr>
          <w:p>
            <w:pPr>
              <w:spacing w:after="0"/>
              <w:rPr>
                <w:sz w:val="19"/>
                <w:szCs w:val="19"/>
                <w:color w:val="auto"/>
              </w:rPr>
            </w:pPr>
          </w:p>
        </w:tc>
        <w:tc>
          <w:tcPr>
            <w:tcW w:w="140" w:type="dxa"/>
            <w:vAlign w:val="bottom"/>
          </w:tcPr>
          <w:p>
            <w:pPr>
              <w:spacing w:after="0"/>
              <w:rPr>
                <w:sz w:val="19"/>
                <w:szCs w:val="19"/>
                <w:color w:val="auto"/>
              </w:rPr>
            </w:pPr>
          </w:p>
        </w:tc>
        <w:tc>
          <w:tcPr>
            <w:tcW w:w="840" w:type="dxa"/>
            <w:vAlign w:val="bottom"/>
          </w:tcPr>
          <w:p>
            <w:pPr>
              <w:jc w:val="right"/>
              <w:spacing w:after="0"/>
              <w:rPr>
                <w:sz w:val="20"/>
                <w:szCs w:val="20"/>
                <w:color w:val="auto"/>
              </w:rPr>
            </w:pPr>
            <w:r>
              <w:rPr>
                <w:rFonts w:ascii="Arial" w:cs="Arial" w:eastAsia="Arial" w:hAnsi="Arial"/>
                <w:sz w:val="17"/>
                <w:szCs w:val="17"/>
                <w:color w:val="auto"/>
              </w:rPr>
              <w:t>$ Change</w:t>
            </w:r>
          </w:p>
        </w:tc>
        <w:tc>
          <w:tcPr>
            <w:tcW w:w="840" w:type="dxa"/>
            <w:vAlign w:val="bottom"/>
          </w:tcPr>
          <w:p>
            <w:pPr>
              <w:jc w:val="right"/>
              <w:spacing w:after="0"/>
              <w:rPr>
                <w:sz w:val="20"/>
                <w:szCs w:val="20"/>
                <w:color w:val="auto"/>
              </w:rPr>
            </w:pPr>
            <w:r>
              <w:rPr>
                <w:rFonts w:ascii="Arial" w:cs="Arial" w:eastAsia="Arial" w:hAnsi="Arial"/>
                <w:sz w:val="17"/>
                <w:szCs w:val="17"/>
                <w:color w:val="auto"/>
              </w:rPr>
              <w:t>Change</w:t>
            </w:r>
          </w:p>
        </w:tc>
        <w:tc>
          <w:tcPr>
            <w:tcW w:w="0" w:type="dxa"/>
            <w:vAlign w:val="bottom"/>
          </w:tcPr>
          <w:p>
            <w:pPr>
              <w:spacing w:after="0"/>
              <w:rPr>
                <w:sz w:val="1"/>
                <w:szCs w:val="1"/>
                <w:color w:val="auto"/>
              </w:rPr>
            </w:pPr>
          </w:p>
        </w:tc>
      </w:tr>
      <w:tr>
        <w:trPr>
          <w:trHeight w:val="195"/>
        </w:trPr>
        <w:tc>
          <w:tcPr>
            <w:tcW w:w="1200" w:type="dxa"/>
            <w:vAlign w:val="bottom"/>
          </w:tcPr>
          <w:p>
            <w:pPr>
              <w:jc w:val="right"/>
              <w:ind w:right="738"/>
              <w:spacing w:after="0"/>
              <w:rPr>
                <w:sz w:val="20"/>
                <w:szCs w:val="20"/>
                <w:color w:val="auto"/>
              </w:rPr>
            </w:pPr>
            <w:r>
              <w:rPr>
                <w:rFonts w:ascii="Arial" w:cs="Arial" w:eastAsia="Arial" w:hAnsi="Arial"/>
                <w:sz w:val="17"/>
                <w:szCs w:val="17"/>
                <w:b w:val="1"/>
                <w:bCs w:val="1"/>
                <w:color w:val="auto"/>
              </w:rPr>
              <w:t>$</w:t>
            </w:r>
          </w:p>
        </w:tc>
        <w:tc>
          <w:tcPr>
            <w:tcW w:w="1360" w:type="dxa"/>
            <w:vAlign w:val="bottom"/>
            <w:gridSpan w:val="2"/>
          </w:tcPr>
          <w:p>
            <w:pPr>
              <w:jc w:val="right"/>
              <w:ind w:right="758"/>
              <w:spacing w:after="0"/>
              <w:rPr>
                <w:sz w:val="20"/>
                <w:szCs w:val="20"/>
                <w:color w:val="auto"/>
              </w:rPr>
            </w:pPr>
            <w:r>
              <w:rPr>
                <w:rFonts w:ascii="Arial" w:cs="Arial" w:eastAsia="Arial" w:hAnsi="Arial"/>
                <w:sz w:val="17"/>
                <w:szCs w:val="17"/>
                <w:color w:val="auto"/>
              </w:rPr>
              <w:t>$</w:t>
            </w:r>
          </w:p>
        </w:tc>
        <w:tc>
          <w:tcPr>
            <w:tcW w:w="980" w:type="dxa"/>
            <w:vAlign w:val="bottom"/>
            <w:gridSpan w:val="2"/>
          </w:tcPr>
          <w:p>
            <w:pPr>
              <w:jc w:val="right"/>
              <w:ind w:right="298"/>
              <w:spacing w:after="0"/>
              <w:rPr>
                <w:sz w:val="20"/>
                <w:szCs w:val="20"/>
                <w:color w:val="auto"/>
              </w:rPr>
            </w:pPr>
            <w:r>
              <w:rPr>
                <w:rFonts w:ascii="Arial" w:cs="Arial" w:eastAsia="Arial" w:hAnsi="Arial"/>
                <w:sz w:val="17"/>
                <w:szCs w:val="17"/>
                <w:color w:val="auto"/>
              </w:rPr>
              <w:t>$</w:t>
            </w:r>
          </w:p>
        </w:tc>
        <w:tc>
          <w:tcPr>
            <w:tcW w:w="8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31"/>
        </w:trPr>
        <w:tc>
          <w:tcPr>
            <w:tcW w:w="1200" w:type="dxa"/>
            <w:vAlign w:val="bottom"/>
          </w:tcPr>
          <w:p>
            <w:pPr>
              <w:jc w:val="right"/>
              <w:ind w:right="38"/>
              <w:spacing w:after="0"/>
              <w:rPr>
                <w:sz w:val="20"/>
                <w:szCs w:val="20"/>
                <w:color w:val="auto"/>
              </w:rPr>
            </w:pPr>
            <w:r>
              <w:rPr>
                <w:rFonts w:ascii="Arial" w:cs="Arial" w:eastAsia="Arial" w:hAnsi="Arial"/>
                <w:sz w:val="17"/>
                <w:szCs w:val="17"/>
                <w:b w:val="1"/>
                <w:bCs w:val="1"/>
                <w:color w:val="auto"/>
              </w:rPr>
              <w:t>138.3</w:t>
            </w:r>
          </w:p>
        </w:tc>
        <w:tc>
          <w:tcPr>
            <w:tcW w:w="1360" w:type="dxa"/>
            <w:vAlign w:val="bottom"/>
            <w:gridSpan w:val="2"/>
          </w:tcPr>
          <w:p>
            <w:pPr>
              <w:jc w:val="right"/>
              <w:ind w:right="58"/>
              <w:spacing w:after="0"/>
              <w:rPr>
                <w:sz w:val="20"/>
                <w:szCs w:val="20"/>
                <w:color w:val="auto"/>
              </w:rPr>
            </w:pPr>
            <w:r>
              <w:rPr>
                <w:rFonts w:ascii="Arial" w:cs="Arial" w:eastAsia="Arial" w:hAnsi="Arial"/>
                <w:sz w:val="17"/>
                <w:szCs w:val="17"/>
                <w:color w:val="auto"/>
              </w:rPr>
              <w:t>200.6</w:t>
            </w:r>
          </w:p>
        </w:tc>
        <w:tc>
          <w:tcPr>
            <w:tcW w:w="980" w:type="dxa"/>
            <w:vAlign w:val="bottom"/>
            <w:gridSpan w:val="2"/>
          </w:tcPr>
          <w:p>
            <w:pPr>
              <w:jc w:val="right"/>
              <w:spacing w:after="0"/>
              <w:rPr>
                <w:sz w:val="20"/>
                <w:szCs w:val="20"/>
                <w:color w:val="auto"/>
              </w:rPr>
            </w:pPr>
            <w:r>
              <w:rPr>
                <w:rFonts w:ascii="Arial" w:cs="Arial" w:eastAsia="Arial" w:hAnsi="Arial"/>
                <w:sz w:val="17"/>
                <w:szCs w:val="17"/>
                <w:color w:val="auto"/>
              </w:rPr>
              <w:t>(62.3)</w:t>
            </w:r>
          </w:p>
        </w:tc>
        <w:tc>
          <w:tcPr>
            <w:tcW w:w="840" w:type="dxa"/>
            <w:vAlign w:val="bottom"/>
          </w:tcPr>
          <w:p>
            <w:pPr>
              <w:jc w:val="right"/>
              <w:spacing w:after="0"/>
              <w:rPr>
                <w:sz w:val="20"/>
                <w:szCs w:val="20"/>
                <w:color w:val="auto"/>
              </w:rPr>
            </w:pPr>
            <w:r>
              <w:rPr>
                <w:rFonts w:ascii="Arial" w:cs="Arial" w:eastAsia="Arial" w:hAnsi="Arial"/>
                <w:sz w:val="17"/>
                <w:szCs w:val="17"/>
                <w:color w:val="auto"/>
              </w:rPr>
              <w:t>(31) %</w:t>
            </w:r>
          </w:p>
        </w:tc>
        <w:tc>
          <w:tcPr>
            <w:tcW w:w="0" w:type="dxa"/>
            <w:vAlign w:val="bottom"/>
          </w:tcPr>
          <w:p>
            <w:pPr>
              <w:spacing w:after="0"/>
              <w:rPr>
                <w:sz w:val="1"/>
                <w:szCs w:val="1"/>
                <w:color w:val="auto"/>
              </w:rPr>
            </w:pPr>
          </w:p>
        </w:tc>
      </w:tr>
      <w:tr>
        <w:trPr>
          <w:trHeight w:val="465"/>
        </w:trPr>
        <w:tc>
          <w:tcPr>
            <w:tcW w:w="1200" w:type="dxa"/>
            <w:vAlign w:val="bottom"/>
          </w:tcPr>
          <w:p>
            <w:pPr>
              <w:jc w:val="right"/>
              <w:ind w:right="38"/>
              <w:spacing w:after="0"/>
              <w:rPr>
                <w:sz w:val="20"/>
                <w:szCs w:val="20"/>
                <w:color w:val="auto"/>
              </w:rPr>
            </w:pPr>
            <w:r>
              <w:rPr>
                <w:rFonts w:ascii="Arial" w:cs="Arial" w:eastAsia="Arial" w:hAnsi="Arial"/>
                <w:sz w:val="17"/>
                <w:szCs w:val="17"/>
                <w:b w:val="1"/>
                <w:bCs w:val="1"/>
                <w:color w:val="auto"/>
              </w:rPr>
              <w:t>60.3</w:t>
            </w:r>
          </w:p>
        </w:tc>
        <w:tc>
          <w:tcPr>
            <w:tcW w:w="1360" w:type="dxa"/>
            <w:vAlign w:val="bottom"/>
            <w:gridSpan w:val="2"/>
          </w:tcPr>
          <w:p>
            <w:pPr>
              <w:jc w:val="right"/>
              <w:ind w:right="58"/>
              <w:spacing w:after="0"/>
              <w:rPr>
                <w:sz w:val="20"/>
                <w:szCs w:val="20"/>
                <w:color w:val="auto"/>
              </w:rPr>
            </w:pPr>
            <w:r>
              <w:rPr>
                <w:rFonts w:ascii="Arial" w:cs="Arial" w:eastAsia="Arial" w:hAnsi="Arial"/>
                <w:sz w:val="17"/>
                <w:szCs w:val="17"/>
                <w:color w:val="auto"/>
              </w:rPr>
              <w:t>57.9</w:t>
            </w:r>
          </w:p>
        </w:tc>
        <w:tc>
          <w:tcPr>
            <w:tcW w:w="980" w:type="dxa"/>
            <w:vAlign w:val="bottom"/>
            <w:gridSpan w:val="2"/>
          </w:tcPr>
          <w:p>
            <w:pPr>
              <w:jc w:val="right"/>
              <w:ind w:right="58"/>
              <w:spacing w:after="0"/>
              <w:rPr>
                <w:sz w:val="20"/>
                <w:szCs w:val="20"/>
                <w:color w:val="auto"/>
              </w:rPr>
            </w:pPr>
            <w:r>
              <w:rPr>
                <w:rFonts w:ascii="Arial" w:cs="Arial" w:eastAsia="Arial" w:hAnsi="Arial"/>
                <w:sz w:val="17"/>
                <w:szCs w:val="17"/>
                <w:color w:val="auto"/>
              </w:rPr>
              <w:t>2.4</w:t>
            </w:r>
          </w:p>
        </w:tc>
        <w:tc>
          <w:tcPr>
            <w:tcW w:w="840" w:type="dxa"/>
            <w:vAlign w:val="bottom"/>
          </w:tcPr>
          <w:p>
            <w:pPr>
              <w:jc w:val="right"/>
              <w:spacing w:after="0"/>
              <w:rPr>
                <w:sz w:val="20"/>
                <w:szCs w:val="20"/>
                <w:color w:val="auto"/>
              </w:rPr>
            </w:pPr>
            <w:r>
              <w:rPr>
                <w:rFonts w:ascii="Arial" w:cs="Arial" w:eastAsia="Arial" w:hAnsi="Arial"/>
                <w:sz w:val="17"/>
                <w:szCs w:val="17"/>
                <w:color w:val="auto"/>
              </w:rPr>
              <w:t>4 %</w:t>
            </w:r>
          </w:p>
        </w:tc>
        <w:tc>
          <w:tcPr>
            <w:tcW w:w="0" w:type="dxa"/>
            <w:vAlign w:val="bottom"/>
          </w:tcPr>
          <w:p>
            <w:pPr>
              <w:spacing w:after="0"/>
              <w:rPr>
                <w:sz w:val="1"/>
                <w:szCs w:val="1"/>
                <w:color w:val="auto"/>
              </w:rPr>
            </w:pPr>
          </w:p>
        </w:tc>
      </w:tr>
      <w:tr>
        <w:trPr>
          <w:trHeight w:val="270"/>
        </w:trPr>
        <w:tc>
          <w:tcPr>
            <w:tcW w:w="1200" w:type="dxa"/>
            <w:vAlign w:val="bottom"/>
          </w:tcPr>
          <w:p>
            <w:pPr>
              <w:jc w:val="right"/>
              <w:ind w:right="58"/>
              <w:spacing w:after="0"/>
              <w:rPr>
                <w:sz w:val="20"/>
                <w:szCs w:val="20"/>
                <w:color w:val="auto"/>
              </w:rPr>
            </w:pPr>
            <w:r>
              <w:rPr>
                <w:rFonts w:ascii="Arial" w:cs="Arial" w:eastAsia="Arial" w:hAnsi="Arial"/>
                <w:sz w:val="17"/>
                <w:szCs w:val="17"/>
                <w:b w:val="1"/>
                <w:bCs w:val="1"/>
                <w:color w:val="auto"/>
              </w:rPr>
              <w:t>0.3</w:t>
            </w:r>
          </w:p>
        </w:tc>
        <w:tc>
          <w:tcPr>
            <w:tcW w:w="1360" w:type="dxa"/>
            <w:vAlign w:val="bottom"/>
            <w:gridSpan w:val="2"/>
          </w:tcPr>
          <w:p>
            <w:pPr>
              <w:jc w:val="right"/>
              <w:ind w:right="58"/>
              <w:spacing w:after="0"/>
              <w:rPr>
                <w:sz w:val="20"/>
                <w:szCs w:val="20"/>
                <w:color w:val="auto"/>
              </w:rPr>
            </w:pPr>
            <w:r>
              <w:rPr>
                <w:rFonts w:ascii="Arial" w:cs="Arial" w:eastAsia="Arial" w:hAnsi="Arial"/>
                <w:sz w:val="17"/>
                <w:szCs w:val="17"/>
                <w:color w:val="auto"/>
              </w:rPr>
              <w:t>0.5</w:t>
            </w:r>
          </w:p>
        </w:tc>
        <w:tc>
          <w:tcPr>
            <w:tcW w:w="980" w:type="dxa"/>
            <w:vAlign w:val="bottom"/>
            <w:gridSpan w:val="2"/>
          </w:tcPr>
          <w:p>
            <w:pPr>
              <w:jc w:val="right"/>
              <w:spacing w:after="0"/>
              <w:rPr>
                <w:sz w:val="20"/>
                <w:szCs w:val="20"/>
                <w:color w:val="auto"/>
              </w:rPr>
            </w:pPr>
            <w:r>
              <w:rPr>
                <w:rFonts w:ascii="Arial" w:cs="Arial" w:eastAsia="Arial" w:hAnsi="Arial"/>
                <w:sz w:val="17"/>
                <w:szCs w:val="17"/>
                <w:color w:val="auto"/>
              </w:rPr>
              <w:t>(0.2)</w:t>
            </w:r>
          </w:p>
        </w:tc>
        <w:tc>
          <w:tcPr>
            <w:tcW w:w="840" w:type="dxa"/>
            <w:vAlign w:val="bottom"/>
          </w:tcPr>
          <w:p>
            <w:pPr>
              <w:jc w:val="right"/>
              <w:spacing w:after="0"/>
              <w:rPr>
                <w:sz w:val="20"/>
                <w:szCs w:val="20"/>
                <w:color w:val="auto"/>
              </w:rPr>
            </w:pPr>
            <w:r>
              <w:rPr>
                <w:rFonts w:ascii="Arial" w:cs="Arial" w:eastAsia="Arial" w:hAnsi="Arial"/>
                <w:sz w:val="17"/>
                <w:szCs w:val="17"/>
                <w:color w:val="auto"/>
              </w:rPr>
              <w:t>(40) %</w:t>
            </w:r>
          </w:p>
        </w:tc>
        <w:tc>
          <w:tcPr>
            <w:tcW w:w="0" w:type="dxa"/>
            <w:vAlign w:val="bottom"/>
          </w:tcPr>
          <w:p>
            <w:pPr>
              <w:spacing w:after="0"/>
              <w:rPr>
                <w:sz w:val="1"/>
                <w:szCs w:val="1"/>
                <w:color w:val="auto"/>
              </w:rPr>
            </w:pPr>
          </w:p>
        </w:tc>
      </w:tr>
      <w:tr>
        <w:trPr>
          <w:trHeight w:val="270"/>
        </w:trPr>
        <w:tc>
          <w:tcPr>
            <w:tcW w:w="1200" w:type="dxa"/>
            <w:vAlign w:val="bottom"/>
          </w:tcPr>
          <w:p>
            <w:pPr>
              <w:jc w:val="right"/>
              <w:spacing w:after="0"/>
              <w:rPr>
                <w:sz w:val="20"/>
                <w:szCs w:val="20"/>
                <w:color w:val="auto"/>
              </w:rPr>
            </w:pPr>
            <w:r>
              <w:rPr>
                <w:rFonts w:ascii="Arial" w:cs="Arial" w:eastAsia="Arial" w:hAnsi="Arial"/>
                <w:sz w:val="17"/>
                <w:szCs w:val="17"/>
                <w:b w:val="1"/>
                <w:bCs w:val="1"/>
                <w:color w:val="auto"/>
              </w:rPr>
              <w:t>(10.5)</w:t>
            </w:r>
          </w:p>
        </w:tc>
        <w:tc>
          <w:tcPr>
            <w:tcW w:w="1360" w:type="dxa"/>
            <w:vAlign w:val="bottom"/>
            <w:gridSpan w:val="2"/>
          </w:tcPr>
          <w:p>
            <w:pPr>
              <w:jc w:val="right"/>
              <w:ind w:right="58"/>
              <w:spacing w:after="0"/>
              <w:rPr>
                <w:sz w:val="20"/>
                <w:szCs w:val="20"/>
                <w:color w:val="auto"/>
              </w:rPr>
            </w:pPr>
            <w:r>
              <w:rPr>
                <w:rFonts w:ascii="Arial" w:cs="Arial" w:eastAsia="Arial" w:hAnsi="Arial"/>
                <w:sz w:val="17"/>
                <w:szCs w:val="17"/>
                <w:color w:val="auto"/>
              </w:rPr>
              <w:t>6.7</w:t>
            </w:r>
          </w:p>
        </w:tc>
        <w:tc>
          <w:tcPr>
            <w:tcW w:w="980" w:type="dxa"/>
            <w:vAlign w:val="bottom"/>
            <w:gridSpan w:val="2"/>
          </w:tcPr>
          <w:p>
            <w:pPr>
              <w:jc w:val="right"/>
              <w:spacing w:after="0"/>
              <w:rPr>
                <w:sz w:val="20"/>
                <w:szCs w:val="20"/>
                <w:color w:val="auto"/>
              </w:rPr>
            </w:pPr>
            <w:r>
              <w:rPr>
                <w:rFonts w:ascii="Arial" w:cs="Arial" w:eastAsia="Arial" w:hAnsi="Arial"/>
                <w:sz w:val="17"/>
                <w:szCs w:val="17"/>
                <w:color w:val="auto"/>
              </w:rPr>
              <w:t>(17.2)</w:t>
            </w:r>
          </w:p>
        </w:tc>
        <w:tc>
          <w:tcPr>
            <w:tcW w:w="840" w:type="dxa"/>
            <w:vAlign w:val="bottom"/>
          </w:tcPr>
          <w:p>
            <w:pPr>
              <w:jc w:val="right"/>
              <w:spacing w:after="0"/>
              <w:rPr>
                <w:sz w:val="20"/>
                <w:szCs w:val="20"/>
                <w:color w:val="auto"/>
              </w:rPr>
            </w:pPr>
            <w:r>
              <w:rPr>
                <w:rFonts w:ascii="Arial" w:cs="Arial" w:eastAsia="Arial" w:hAnsi="Arial"/>
                <w:sz w:val="17"/>
                <w:szCs w:val="17"/>
                <w:color w:val="auto"/>
              </w:rPr>
              <w:t>nm</w:t>
            </w:r>
          </w:p>
        </w:tc>
        <w:tc>
          <w:tcPr>
            <w:tcW w:w="0" w:type="dxa"/>
            <w:vAlign w:val="bottom"/>
          </w:tcPr>
          <w:p>
            <w:pPr>
              <w:spacing w:after="0"/>
              <w:rPr>
                <w:sz w:val="1"/>
                <w:szCs w:val="1"/>
                <w:color w:val="auto"/>
              </w:rPr>
            </w:pPr>
          </w:p>
        </w:tc>
      </w:tr>
      <w:tr>
        <w:trPr>
          <w:trHeight w:val="270"/>
        </w:trPr>
        <w:tc>
          <w:tcPr>
            <w:tcW w:w="1200" w:type="dxa"/>
            <w:vAlign w:val="bottom"/>
          </w:tcPr>
          <w:p>
            <w:pPr>
              <w:jc w:val="right"/>
              <w:spacing w:after="0"/>
              <w:rPr>
                <w:sz w:val="20"/>
                <w:szCs w:val="20"/>
                <w:color w:val="auto"/>
              </w:rPr>
            </w:pPr>
            <w:r>
              <w:rPr>
                <w:rFonts w:ascii="Arial" w:cs="Arial" w:eastAsia="Arial" w:hAnsi="Arial"/>
                <w:sz w:val="17"/>
                <w:szCs w:val="17"/>
                <w:b w:val="1"/>
                <w:bCs w:val="1"/>
                <w:color w:val="auto"/>
              </w:rPr>
              <w:t>(1.8)</w:t>
            </w:r>
          </w:p>
        </w:tc>
        <w:tc>
          <w:tcPr>
            <w:tcW w:w="1360" w:type="dxa"/>
            <w:vAlign w:val="bottom"/>
            <w:gridSpan w:val="2"/>
          </w:tcPr>
          <w:p>
            <w:pPr>
              <w:jc w:val="right"/>
              <w:ind w:right="18"/>
              <w:spacing w:after="0"/>
              <w:rPr>
                <w:sz w:val="20"/>
                <w:szCs w:val="20"/>
                <w:color w:val="auto"/>
              </w:rPr>
            </w:pPr>
            <w:r>
              <w:rPr>
                <w:rFonts w:ascii="Arial" w:cs="Arial" w:eastAsia="Arial" w:hAnsi="Arial"/>
                <w:sz w:val="17"/>
                <w:szCs w:val="17"/>
                <w:color w:val="auto"/>
              </w:rPr>
              <w:t>(3.0)</w:t>
            </w:r>
          </w:p>
        </w:tc>
        <w:tc>
          <w:tcPr>
            <w:tcW w:w="980" w:type="dxa"/>
            <w:vAlign w:val="bottom"/>
            <w:gridSpan w:val="2"/>
          </w:tcPr>
          <w:p>
            <w:pPr>
              <w:jc w:val="right"/>
              <w:ind w:right="58"/>
              <w:spacing w:after="0"/>
              <w:rPr>
                <w:sz w:val="20"/>
                <w:szCs w:val="20"/>
                <w:color w:val="auto"/>
              </w:rPr>
            </w:pPr>
            <w:r>
              <w:rPr>
                <w:rFonts w:ascii="Arial" w:cs="Arial" w:eastAsia="Arial" w:hAnsi="Arial"/>
                <w:sz w:val="17"/>
                <w:szCs w:val="17"/>
                <w:color w:val="auto"/>
              </w:rPr>
              <w:t>1.2</w:t>
            </w:r>
          </w:p>
        </w:tc>
        <w:tc>
          <w:tcPr>
            <w:tcW w:w="840" w:type="dxa"/>
            <w:vAlign w:val="bottom"/>
          </w:tcPr>
          <w:p>
            <w:pPr>
              <w:jc w:val="right"/>
              <w:spacing w:after="0"/>
              <w:rPr>
                <w:sz w:val="20"/>
                <w:szCs w:val="20"/>
                <w:color w:val="auto"/>
              </w:rPr>
            </w:pPr>
            <w:r>
              <w:rPr>
                <w:rFonts w:ascii="Arial" w:cs="Arial" w:eastAsia="Arial" w:hAnsi="Arial"/>
                <w:sz w:val="17"/>
                <w:szCs w:val="17"/>
                <w:color w:val="auto"/>
              </w:rPr>
              <w:t>(40) %</w:t>
            </w:r>
          </w:p>
        </w:tc>
        <w:tc>
          <w:tcPr>
            <w:tcW w:w="0" w:type="dxa"/>
            <w:vAlign w:val="bottom"/>
          </w:tcPr>
          <w:p>
            <w:pPr>
              <w:spacing w:after="0"/>
              <w:rPr>
                <w:sz w:val="1"/>
                <w:szCs w:val="1"/>
                <w:color w:val="auto"/>
              </w:rPr>
            </w:pPr>
          </w:p>
        </w:tc>
      </w:tr>
      <w:tr>
        <w:trPr>
          <w:trHeight w:val="270"/>
        </w:trPr>
        <w:tc>
          <w:tcPr>
            <w:tcW w:w="1200" w:type="dxa"/>
            <w:vAlign w:val="bottom"/>
          </w:tcPr>
          <w:p>
            <w:pPr>
              <w:jc w:val="right"/>
              <w:ind w:right="38"/>
              <w:spacing w:after="0"/>
              <w:rPr>
                <w:sz w:val="20"/>
                <w:szCs w:val="20"/>
                <w:color w:val="auto"/>
              </w:rPr>
            </w:pPr>
            <w:r>
              <w:rPr>
                <w:rFonts w:ascii="Arial" w:cs="Arial" w:eastAsia="Arial" w:hAnsi="Arial"/>
                <w:sz w:val="17"/>
                <w:szCs w:val="17"/>
                <w:b w:val="1"/>
                <w:bCs w:val="1"/>
                <w:color w:val="auto"/>
              </w:rPr>
              <w:t>26.9</w:t>
            </w:r>
          </w:p>
        </w:tc>
        <w:tc>
          <w:tcPr>
            <w:tcW w:w="1360" w:type="dxa"/>
            <w:vAlign w:val="bottom"/>
            <w:gridSpan w:val="2"/>
          </w:tcPr>
          <w:p>
            <w:pPr>
              <w:jc w:val="right"/>
              <w:ind w:right="58"/>
              <w:spacing w:after="0"/>
              <w:rPr>
                <w:sz w:val="20"/>
                <w:szCs w:val="20"/>
                <w:color w:val="auto"/>
              </w:rPr>
            </w:pPr>
            <w:r>
              <w:rPr>
                <w:rFonts w:ascii="Arial" w:cs="Arial" w:eastAsia="Arial" w:hAnsi="Arial"/>
                <w:sz w:val="17"/>
                <w:szCs w:val="17"/>
                <w:color w:val="auto"/>
              </w:rPr>
              <w:t>12.0</w:t>
            </w:r>
          </w:p>
        </w:tc>
        <w:tc>
          <w:tcPr>
            <w:tcW w:w="980" w:type="dxa"/>
            <w:vAlign w:val="bottom"/>
            <w:gridSpan w:val="2"/>
          </w:tcPr>
          <w:p>
            <w:pPr>
              <w:jc w:val="right"/>
              <w:ind w:right="38"/>
              <w:spacing w:after="0"/>
              <w:rPr>
                <w:sz w:val="20"/>
                <w:szCs w:val="20"/>
                <w:color w:val="auto"/>
              </w:rPr>
            </w:pPr>
            <w:r>
              <w:rPr>
                <w:rFonts w:ascii="Arial" w:cs="Arial" w:eastAsia="Arial" w:hAnsi="Arial"/>
                <w:sz w:val="17"/>
                <w:szCs w:val="17"/>
                <w:color w:val="auto"/>
              </w:rPr>
              <w:t>14.9</w:t>
            </w:r>
          </w:p>
        </w:tc>
        <w:tc>
          <w:tcPr>
            <w:tcW w:w="840" w:type="dxa"/>
            <w:vAlign w:val="bottom"/>
          </w:tcPr>
          <w:p>
            <w:pPr>
              <w:jc w:val="right"/>
              <w:spacing w:after="0"/>
              <w:rPr>
                <w:sz w:val="20"/>
                <w:szCs w:val="20"/>
                <w:color w:val="auto"/>
              </w:rPr>
            </w:pPr>
            <w:r>
              <w:rPr>
                <w:rFonts w:ascii="Arial" w:cs="Arial" w:eastAsia="Arial" w:hAnsi="Arial"/>
                <w:sz w:val="17"/>
                <w:szCs w:val="17"/>
                <w:color w:val="auto"/>
              </w:rPr>
              <w:t>124 %</w:t>
            </w:r>
          </w:p>
        </w:tc>
        <w:tc>
          <w:tcPr>
            <w:tcW w:w="0" w:type="dxa"/>
            <w:vAlign w:val="bottom"/>
          </w:tcPr>
          <w:p>
            <w:pPr>
              <w:spacing w:after="0"/>
              <w:rPr>
                <w:sz w:val="1"/>
                <w:szCs w:val="1"/>
                <w:color w:val="auto"/>
              </w:rPr>
            </w:pPr>
          </w:p>
        </w:tc>
      </w:tr>
      <w:tr>
        <w:trPr>
          <w:trHeight w:val="465"/>
        </w:trPr>
        <w:tc>
          <w:tcPr>
            <w:tcW w:w="1200" w:type="dxa"/>
            <w:vAlign w:val="bottom"/>
          </w:tcPr>
          <w:p>
            <w:pPr>
              <w:jc w:val="right"/>
              <w:spacing w:after="0"/>
              <w:rPr>
                <w:sz w:val="20"/>
                <w:szCs w:val="20"/>
                <w:color w:val="auto"/>
              </w:rPr>
            </w:pPr>
            <w:r>
              <w:rPr>
                <w:rFonts w:ascii="Arial" w:cs="Arial" w:eastAsia="Arial" w:hAnsi="Arial"/>
                <w:sz w:val="17"/>
                <w:szCs w:val="17"/>
                <w:b w:val="1"/>
                <w:bCs w:val="1"/>
                <w:color w:val="auto"/>
              </w:rPr>
              <w:t>(0.8)</w:t>
            </w:r>
          </w:p>
        </w:tc>
        <w:tc>
          <w:tcPr>
            <w:tcW w:w="1360" w:type="dxa"/>
            <w:vAlign w:val="bottom"/>
            <w:gridSpan w:val="2"/>
          </w:tcPr>
          <w:p>
            <w:pPr>
              <w:jc w:val="right"/>
              <w:ind w:right="18"/>
              <w:spacing w:after="0"/>
              <w:rPr>
                <w:sz w:val="20"/>
                <w:szCs w:val="20"/>
                <w:color w:val="auto"/>
              </w:rPr>
            </w:pPr>
            <w:r>
              <w:rPr>
                <w:rFonts w:ascii="Arial" w:cs="Arial" w:eastAsia="Arial" w:hAnsi="Arial"/>
                <w:sz w:val="17"/>
                <w:szCs w:val="17"/>
                <w:color w:val="auto"/>
              </w:rPr>
              <w:t>(2.0)</w:t>
            </w:r>
          </w:p>
        </w:tc>
        <w:tc>
          <w:tcPr>
            <w:tcW w:w="980" w:type="dxa"/>
            <w:vAlign w:val="bottom"/>
            <w:gridSpan w:val="2"/>
          </w:tcPr>
          <w:p>
            <w:pPr>
              <w:jc w:val="right"/>
              <w:ind w:right="58"/>
              <w:spacing w:after="0"/>
              <w:rPr>
                <w:sz w:val="20"/>
                <w:szCs w:val="20"/>
                <w:color w:val="auto"/>
              </w:rPr>
            </w:pPr>
            <w:r>
              <w:rPr>
                <w:rFonts w:ascii="Arial" w:cs="Arial" w:eastAsia="Arial" w:hAnsi="Arial"/>
                <w:sz w:val="17"/>
                <w:szCs w:val="17"/>
                <w:color w:val="auto"/>
              </w:rPr>
              <w:t>1.2</w:t>
            </w:r>
          </w:p>
        </w:tc>
        <w:tc>
          <w:tcPr>
            <w:tcW w:w="840" w:type="dxa"/>
            <w:vAlign w:val="bottom"/>
          </w:tcPr>
          <w:p>
            <w:pPr>
              <w:jc w:val="right"/>
              <w:spacing w:after="0"/>
              <w:rPr>
                <w:sz w:val="20"/>
                <w:szCs w:val="20"/>
                <w:color w:val="auto"/>
              </w:rPr>
            </w:pPr>
            <w:r>
              <w:rPr>
                <w:rFonts w:ascii="Arial" w:cs="Arial" w:eastAsia="Arial" w:hAnsi="Arial"/>
                <w:sz w:val="17"/>
                <w:szCs w:val="17"/>
                <w:color w:val="auto"/>
              </w:rPr>
              <w:t>(60) %</w:t>
            </w:r>
          </w:p>
        </w:tc>
        <w:tc>
          <w:tcPr>
            <w:tcW w:w="0" w:type="dxa"/>
            <w:vAlign w:val="bottom"/>
          </w:tcPr>
          <w:p>
            <w:pPr>
              <w:spacing w:after="0"/>
              <w:rPr>
                <w:sz w:val="1"/>
                <w:szCs w:val="1"/>
                <w:color w:val="auto"/>
              </w:rPr>
            </w:pPr>
          </w:p>
        </w:tc>
      </w:tr>
      <w:tr>
        <w:trPr>
          <w:trHeight w:val="270"/>
        </w:trPr>
        <w:tc>
          <w:tcPr>
            <w:tcW w:w="1200" w:type="dxa"/>
            <w:vAlign w:val="bottom"/>
          </w:tcPr>
          <w:p>
            <w:pPr>
              <w:jc w:val="right"/>
              <w:ind w:right="58"/>
              <w:spacing w:after="0"/>
              <w:rPr>
                <w:sz w:val="20"/>
                <w:szCs w:val="20"/>
                <w:color w:val="auto"/>
              </w:rPr>
            </w:pPr>
            <w:r>
              <w:rPr>
                <w:rFonts w:ascii="Arial" w:cs="Arial" w:eastAsia="Arial" w:hAnsi="Arial"/>
                <w:sz w:val="17"/>
                <w:szCs w:val="17"/>
                <w:b w:val="1"/>
                <w:bCs w:val="1"/>
                <w:color w:val="auto"/>
              </w:rPr>
              <w:t>0.1</w:t>
            </w:r>
          </w:p>
        </w:tc>
        <w:tc>
          <w:tcPr>
            <w:tcW w:w="1360" w:type="dxa"/>
            <w:vAlign w:val="bottom"/>
            <w:gridSpan w:val="2"/>
          </w:tcPr>
          <w:p>
            <w:pPr>
              <w:jc w:val="right"/>
              <w:ind w:right="18"/>
              <w:spacing w:after="0"/>
              <w:rPr>
                <w:sz w:val="20"/>
                <w:szCs w:val="20"/>
                <w:color w:val="auto"/>
              </w:rPr>
            </w:pPr>
            <w:r>
              <w:rPr>
                <w:rFonts w:ascii="Arial" w:cs="Arial" w:eastAsia="Arial" w:hAnsi="Arial"/>
                <w:sz w:val="17"/>
                <w:szCs w:val="17"/>
                <w:color w:val="auto"/>
              </w:rPr>
              <w:t>(0.1)</w:t>
            </w:r>
          </w:p>
        </w:tc>
        <w:tc>
          <w:tcPr>
            <w:tcW w:w="980" w:type="dxa"/>
            <w:vAlign w:val="bottom"/>
            <w:gridSpan w:val="2"/>
          </w:tcPr>
          <w:p>
            <w:pPr>
              <w:jc w:val="right"/>
              <w:ind w:right="58"/>
              <w:spacing w:after="0"/>
              <w:rPr>
                <w:sz w:val="20"/>
                <w:szCs w:val="20"/>
                <w:color w:val="auto"/>
              </w:rPr>
            </w:pPr>
            <w:r>
              <w:rPr>
                <w:rFonts w:ascii="Arial" w:cs="Arial" w:eastAsia="Arial" w:hAnsi="Arial"/>
                <w:sz w:val="17"/>
                <w:szCs w:val="17"/>
                <w:color w:val="auto"/>
              </w:rPr>
              <w:t>0.2</w:t>
            </w:r>
          </w:p>
        </w:tc>
        <w:tc>
          <w:tcPr>
            <w:tcW w:w="840" w:type="dxa"/>
            <w:vAlign w:val="bottom"/>
          </w:tcPr>
          <w:p>
            <w:pPr>
              <w:jc w:val="right"/>
              <w:spacing w:after="0"/>
              <w:rPr>
                <w:sz w:val="20"/>
                <w:szCs w:val="20"/>
                <w:color w:val="auto"/>
              </w:rPr>
            </w:pPr>
            <w:r>
              <w:rPr>
                <w:rFonts w:ascii="Arial" w:cs="Arial" w:eastAsia="Arial" w:hAnsi="Arial"/>
                <w:sz w:val="17"/>
                <w:szCs w:val="17"/>
                <w:color w:val="auto"/>
              </w:rPr>
              <w:t>nm</w:t>
            </w:r>
          </w:p>
        </w:tc>
        <w:tc>
          <w:tcPr>
            <w:tcW w:w="0" w:type="dxa"/>
            <w:vAlign w:val="bottom"/>
          </w:tcPr>
          <w:p>
            <w:pPr>
              <w:spacing w:after="0"/>
              <w:rPr>
                <w:sz w:val="1"/>
                <w:szCs w:val="1"/>
                <w:color w:val="auto"/>
              </w:rPr>
            </w:pPr>
          </w:p>
        </w:tc>
      </w:tr>
      <w:tr>
        <w:trPr>
          <w:trHeight w:val="270"/>
        </w:trPr>
        <w:tc>
          <w:tcPr>
            <w:tcW w:w="1200" w:type="dxa"/>
            <w:vAlign w:val="bottom"/>
          </w:tcPr>
          <w:p>
            <w:pPr>
              <w:jc w:val="right"/>
              <w:ind w:right="38"/>
              <w:spacing w:after="0"/>
              <w:rPr>
                <w:sz w:val="20"/>
                <w:szCs w:val="20"/>
                <w:color w:val="auto"/>
              </w:rPr>
            </w:pPr>
            <w:r>
              <w:rPr>
                <w:rFonts w:ascii="Arial" w:cs="Arial" w:eastAsia="Arial" w:hAnsi="Arial"/>
                <w:sz w:val="17"/>
                <w:szCs w:val="17"/>
                <w:b w:val="1"/>
                <w:bCs w:val="1"/>
                <w:color w:val="auto"/>
              </w:rPr>
              <w:t>17.5</w:t>
            </w:r>
          </w:p>
        </w:tc>
        <w:tc>
          <w:tcPr>
            <w:tcW w:w="160" w:type="dxa"/>
            <w:vAlign w:val="bottom"/>
          </w:tcPr>
          <w:p>
            <w:pPr>
              <w:spacing w:after="0"/>
              <w:rPr>
                <w:sz w:val="23"/>
                <w:szCs w:val="23"/>
                <w:color w:val="auto"/>
              </w:rPr>
            </w:pPr>
          </w:p>
        </w:tc>
        <w:tc>
          <w:tcPr>
            <w:tcW w:w="1200" w:type="dxa"/>
            <w:vAlign w:val="bottom"/>
          </w:tcPr>
          <w:p>
            <w:pPr>
              <w:jc w:val="right"/>
              <w:ind w:right="58"/>
              <w:spacing w:after="0"/>
              <w:rPr>
                <w:sz w:val="20"/>
                <w:szCs w:val="20"/>
                <w:color w:val="auto"/>
              </w:rPr>
            </w:pPr>
            <w:r>
              <w:rPr>
                <w:rFonts w:ascii="Arial" w:cs="Arial" w:eastAsia="Arial" w:hAnsi="Arial"/>
                <w:sz w:val="17"/>
                <w:szCs w:val="17"/>
                <w:b w:val="1"/>
                <w:bCs w:val="1"/>
                <w:color w:val="auto"/>
              </w:rPr>
              <w:t>—</w:t>
            </w:r>
          </w:p>
        </w:tc>
        <w:tc>
          <w:tcPr>
            <w:tcW w:w="980" w:type="dxa"/>
            <w:vAlign w:val="bottom"/>
            <w:gridSpan w:val="2"/>
          </w:tcPr>
          <w:p>
            <w:pPr>
              <w:jc w:val="right"/>
              <w:ind w:right="38"/>
              <w:spacing w:after="0"/>
              <w:rPr>
                <w:sz w:val="20"/>
                <w:szCs w:val="20"/>
                <w:color w:val="auto"/>
              </w:rPr>
            </w:pPr>
            <w:r>
              <w:rPr>
                <w:rFonts w:ascii="Arial" w:cs="Arial" w:eastAsia="Arial" w:hAnsi="Arial"/>
                <w:sz w:val="17"/>
                <w:szCs w:val="17"/>
                <w:color w:val="auto"/>
              </w:rPr>
              <w:t>17.5</w:t>
            </w:r>
          </w:p>
        </w:tc>
        <w:tc>
          <w:tcPr>
            <w:tcW w:w="840" w:type="dxa"/>
            <w:vAlign w:val="bottom"/>
          </w:tcPr>
          <w:p>
            <w:pPr>
              <w:jc w:val="right"/>
              <w:spacing w:after="0"/>
              <w:rPr>
                <w:sz w:val="20"/>
                <w:szCs w:val="20"/>
                <w:color w:val="auto"/>
              </w:rPr>
            </w:pPr>
            <w:r>
              <w:rPr>
                <w:rFonts w:ascii="Arial" w:cs="Arial" w:eastAsia="Arial" w:hAnsi="Arial"/>
                <w:sz w:val="17"/>
                <w:szCs w:val="17"/>
                <w:color w:val="auto"/>
              </w:rPr>
              <w:t>nm</w:t>
            </w:r>
          </w:p>
        </w:tc>
        <w:tc>
          <w:tcPr>
            <w:tcW w:w="0" w:type="dxa"/>
            <w:vAlign w:val="bottom"/>
          </w:tcPr>
          <w:p>
            <w:pPr>
              <w:spacing w:after="0"/>
              <w:rPr>
                <w:sz w:val="1"/>
                <w:szCs w:val="1"/>
                <w:color w:val="auto"/>
              </w:rPr>
            </w:pPr>
          </w:p>
        </w:tc>
      </w:tr>
      <w:tr>
        <w:trPr>
          <w:trHeight w:val="264"/>
        </w:trPr>
        <w:tc>
          <w:tcPr>
            <w:tcW w:w="1200" w:type="dxa"/>
            <w:vAlign w:val="bottom"/>
          </w:tcPr>
          <w:p>
            <w:pPr>
              <w:jc w:val="right"/>
              <w:spacing w:after="0"/>
              <w:rPr>
                <w:sz w:val="20"/>
                <w:szCs w:val="20"/>
                <w:color w:val="auto"/>
              </w:rPr>
            </w:pPr>
            <w:r>
              <w:rPr>
                <w:rFonts w:ascii="Arial" w:cs="Arial" w:eastAsia="Arial" w:hAnsi="Arial"/>
                <w:sz w:val="17"/>
                <w:szCs w:val="17"/>
                <w:b w:val="1"/>
                <w:bCs w:val="1"/>
                <w:color w:val="auto"/>
              </w:rPr>
              <w:t>(18.5)</w:t>
            </w:r>
          </w:p>
        </w:tc>
        <w:tc>
          <w:tcPr>
            <w:tcW w:w="1360" w:type="dxa"/>
            <w:vAlign w:val="bottom"/>
            <w:gridSpan w:val="2"/>
          </w:tcPr>
          <w:p>
            <w:pPr>
              <w:jc w:val="right"/>
              <w:spacing w:after="0"/>
              <w:rPr>
                <w:sz w:val="20"/>
                <w:szCs w:val="20"/>
                <w:color w:val="auto"/>
              </w:rPr>
            </w:pPr>
            <w:r>
              <w:rPr>
                <w:rFonts w:ascii="Arial" w:cs="Arial" w:eastAsia="Arial" w:hAnsi="Arial"/>
                <w:sz w:val="17"/>
                <w:szCs w:val="17"/>
                <w:color w:val="auto"/>
              </w:rPr>
              <w:t>(14.7)</w:t>
            </w:r>
          </w:p>
        </w:tc>
        <w:tc>
          <w:tcPr>
            <w:tcW w:w="980" w:type="dxa"/>
            <w:vAlign w:val="bottom"/>
            <w:gridSpan w:val="2"/>
          </w:tcPr>
          <w:p>
            <w:pPr>
              <w:jc w:val="right"/>
              <w:spacing w:after="0"/>
              <w:rPr>
                <w:sz w:val="20"/>
                <w:szCs w:val="20"/>
                <w:color w:val="auto"/>
              </w:rPr>
            </w:pPr>
            <w:r>
              <w:rPr>
                <w:rFonts w:ascii="Arial" w:cs="Arial" w:eastAsia="Arial" w:hAnsi="Arial"/>
                <w:sz w:val="17"/>
                <w:szCs w:val="17"/>
                <w:color w:val="auto"/>
              </w:rPr>
              <w:t>(3.8)</w:t>
            </w:r>
          </w:p>
        </w:tc>
        <w:tc>
          <w:tcPr>
            <w:tcW w:w="840" w:type="dxa"/>
            <w:vAlign w:val="bottom"/>
          </w:tcPr>
          <w:p>
            <w:pPr>
              <w:jc w:val="right"/>
              <w:spacing w:after="0"/>
              <w:rPr>
                <w:sz w:val="20"/>
                <w:szCs w:val="20"/>
                <w:color w:val="auto"/>
              </w:rPr>
            </w:pPr>
            <w:r>
              <w:rPr>
                <w:rFonts w:ascii="Arial" w:cs="Arial" w:eastAsia="Arial" w:hAnsi="Arial"/>
                <w:sz w:val="17"/>
                <w:szCs w:val="17"/>
                <w:color w:val="auto"/>
              </w:rPr>
              <w:t>26 %</w:t>
            </w:r>
          </w:p>
        </w:tc>
        <w:tc>
          <w:tcPr>
            <w:tcW w:w="0" w:type="dxa"/>
            <w:vAlign w:val="bottom"/>
          </w:tcPr>
          <w:p>
            <w:pPr>
              <w:spacing w:after="0"/>
              <w:rPr>
                <w:sz w:val="1"/>
                <w:szCs w:val="1"/>
                <w:color w:val="auto"/>
              </w:rPr>
            </w:pPr>
          </w:p>
        </w:tc>
      </w:tr>
      <w:tr>
        <w:trPr>
          <w:trHeight w:val="195"/>
        </w:trPr>
        <w:tc>
          <w:tcPr>
            <w:tcW w:w="1200" w:type="dxa"/>
            <w:vAlign w:val="bottom"/>
          </w:tcPr>
          <w:p>
            <w:pPr>
              <w:jc w:val="right"/>
              <w:ind w:right="738"/>
              <w:spacing w:after="0"/>
              <w:rPr>
                <w:sz w:val="20"/>
                <w:szCs w:val="20"/>
                <w:color w:val="auto"/>
              </w:rPr>
            </w:pPr>
            <w:r>
              <w:rPr>
                <w:rFonts w:ascii="Arial" w:cs="Arial" w:eastAsia="Arial" w:hAnsi="Arial"/>
                <w:sz w:val="17"/>
                <w:szCs w:val="17"/>
                <w:b w:val="1"/>
                <w:bCs w:val="1"/>
                <w:color w:val="auto"/>
              </w:rPr>
              <w:t>$</w:t>
            </w:r>
          </w:p>
        </w:tc>
        <w:tc>
          <w:tcPr>
            <w:tcW w:w="1360" w:type="dxa"/>
            <w:vAlign w:val="bottom"/>
            <w:gridSpan w:val="2"/>
          </w:tcPr>
          <w:p>
            <w:pPr>
              <w:jc w:val="right"/>
              <w:ind w:right="758"/>
              <w:spacing w:after="0"/>
              <w:rPr>
                <w:sz w:val="20"/>
                <w:szCs w:val="20"/>
                <w:color w:val="auto"/>
              </w:rPr>
            </w:pPr>
            <w:r>
              <w:rPr>
                <w:rFonts w:ascii="Arial" w:cs="Arial" w:eastAsia="Arial" w:hAnsi="Arial"/>
                <w:sz w:val="17"/>
                <w:szCs w:val="17"/>
                <w:color w:val="auto"/>
              </w:rPr>
              <w:t>$</w:t>
            </w:r>
          </w:p>
        </w:tc>
        <w:tc>
          <w:tcPr>
            <w:tcW w:w="980" w:type="dxa"/>
            <w:vAlign w:val="bottom"/>
            <w:gridSpan w:val="2"/>
          </w:tcPr>
          <w:p>
            <w:pPr>
              <w:jc w:val="right"/>
              <w:ind w:right="298"/>
              <w:spacing w:after="0"/>
              <w:rPr>
                <w:sz w:val="20"/>
                <w:szCs w:val="20"/>
                <w:color w:val="auto"/>
              </w:rPr>
            </w:pPr>
            <w:r>
              <w:rPr>
                <w:rFonts w:ascii="Arial" w:cs="Arial" w:eastAsia="Arial" w:hAnsi="Arial"/>
                <w:sz w:val="17"/>
                <w:szCs w:val="17"/>
                <w:color w:val="auto"/>
              </w:rPr>
              <w:t>$</w:t>
            </w:r>
          </w:p>
        </w:tc>
        <w:tc>
          <w:tcPr>
            <w:tcW w:w="8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31"/>
        </w:trPr>
        <w:tc>
          <w:tcPr>
            <w:tcW w:w="1200" w:type="dxa"/>
            <w:vAlign w:val="bottom"/>
          </w:tcPr>
          <w:p>
            <w:pPr>
              <w:jc w:val="right"/>
              <w:ind w:right="38"/>
              <w:spacing w:after="0"/>
              <w:rPr>
                <w:sz w:val="20"/>
                <w:szCs w:val="20"/>
                <w:color w:val="auto"/>
              </w:rPr>
            </w:pPr>
            <w:r>
              <w:rPr>
                <w:rFonts w:ascii="Arial" w:cs="Arial" w:eastAsia="Arial" w:hAnsi="Arial"/>
                <w:sz w:val="17"/>
                <w:szCs w:val="17"/>
                <w:b w:val="1"/>
                <w:bCs w:val="1"/>
                <w:color w:val="auto"/>
              </w:rPr>
              <w:t>211.8</w:t>
            </w:r>
          </w:p>
        </w:tc>
        <w:tc>
          <w:tcPr>
            <w:tcW w:w="1360" w:type="dxa"/>
            <w:vAlign w:val="bottom"/>
            <w:gridSpan w:val="2"/>
          </w:tcPr>
          <w:p>
            <w:pPr>
              <w:jc w:val="right"/>
              <w:ind w:right="58"/>
              <w:spacing w:after="0"/>
              <w:rPr>
                <w:sz w:val="20"/>
                <w:szCs w:val="20"/>
                <w:color w:val="auto"/>
              </w:rPr>
            </w:pPr>
            <w:r>
              <w:rPr>
                <w:rFonts w:ascii="Arial" w:cs="Arial" w:eastAsia="Arial" w:hAnsi="Arial"/>
                <w:sz w:val="17"/>
                <w:szCs w:val="17"/>
                <w:color w:val="auto"/>
              </w:rPr>
              <w:t>257.9</w:t>
            </w:r>
          </w:p>
        </w:tc>
        <w:tc>
          <w:tcPr>
            <w:tcW w:w="980" w:type="dxa"/>
            <w:vAlign w:val="bottom"/>
            <w:gridSpan w:val="2"/>
          </w:tcPr>
          <w:p>
            <w:pPr>
              <w:jc w:val="right"/>
              <w:spacing w:after="0"/>
              <w:rPr>
                <w:sz w:val="20"/>
                <w:szCs w:val="20"/>
                <w:color w:val="auto"/>
              </w:rPr>
            </w:pPr>
            <w:r>
              <w:rPr>
                <w:rFonts w:ascii="Arial" w:cs="Arial" w:eastAsia="Arial" w:hAnsi="Arial"/>
                <w:sz w:val="17"/>
                <w:szCs w:val="17"/>
                <w:color w:val="auto"/>
              </w:rPr>
              <w:t>(46.1)</w:t>
            </w:r>
          </w:p>
        </w:tc>
        <w:tc>
          <w:tcPr>
            <w:tcW w:w="840" w:type="dxa"/>
            <w:vAlign w:val="bottom"/>
          </w:tcPr>
          <w:p>
            <w:pPr>
              <w:jc w:val="right"/>
              <w:spacing w:after="0"/>
              <w:rPr>
                <w:sz w:val="20"/>
                <w:szCs w:val="20"/>
                <w:color w:val="auto"/>
              </w:rPr>
            </w:pPr>
            <w:r>
              <w:rPr>
                <w:rFonts w:ascii="Arial" w:cs="Arial" w:eastAsia="Arial" w:hAnsi="Arial"/>
                <w:sz w:val="17"/>
                <w:szCs w:val="17"/>
                <w:color w:val="auto"/>
              </w:rPr>
              <w:t>(18) %</w:t>
            </w:r>
          </w:p>
        </w:tc>
        <w:tc>
          <w:tcPr>
            <w:tcW w:w="0" w:type="dxa"/>
            <w:vAlign w:val="bottom"/>
          </w:tcPr>
          <w:p>
            <w:pPr>
              <w:spacing w:after="0"/>
              <w:rPr>
                <w:sz w:val="1"/>
                <w:szCs w:val="1"/>
                <w:color w:val="auto"/>
              </w:rPr>
            </w:pPr>
          </w:p>
        </w:tc>
      </w:tr>
      <w:tr>
        <w:trPr>
          <w:trHeight w:val="25"/>
        </w:trPr>
        <w:tc>
          <w:tcPr>
            <w:tcW w:w="1200" w:type="dxa"/>
            <w:vAlign w:val="bottom"/>
            <w:tcBorders>
              <w:top w:val="single" w:sz="8" w:color="auto"/>
              <w:bottom w:val="single" w:sz="8" w:color="auto"/>
            </w:tcBorders>
          </w:tcPr>
          <w:p>
            <w:pPr>
              <w:spacing w:after="0"/>
              <w:rPr>
                <w:sz w:val="2"/>
                <w:szCs w:val="2"/>
                <w:color w:val="auto"/>
              </w:rPr>
            </w:pPr>
          </w:p>
        </w:tc>
        <w:tc>
          <w:tcPr>
            <w:tcW w:w="160" w:type="dxa"/>
            <w:vAlign w:val="bottom"/>
          </w:tcPr>
          <w:p>
            <w:pPr>
              <w:spacing w:after="0"/>
              <w:rPr>
                <w:sz w:val="2"/>
                <w:szCs w:val="2"/>
                <w:color w:val="auto"/>
              </w:rPr>
            </w:pPr>
          </w:p>
        </w:tc>
        <w:tc>
          <w:tcPr>
            <w:tcW w:w="1200" w:type="dxa"/>
            <w:vAlign w:val="bottom"/>
            <w:tcBorders>
              <w:top w:val="single" w:sz="8" w:color="auto"/>
              <w:bottom w:val="single" w:sz="8" w:color="auto"/>
            </w:tcBorders>
          </w:tcPr>
          <w:p>
            <w:pPr>
              <w:spacing w:after="0"/>
              <w:rPr>
                <w:sz w:val="2"/>
                <w:szCs w:val="2"/>
                <w:color w:val="auto"/>
              </w:rPr>
            </w:pPr>
          </w:p>
        </w:tc>
        <w:tc>
          <w:tcPr>
            <w:tcW w:w="140" w:type="dxa"/>
            <w:vAlign w:val="bottom"/>
          </w:tcPr>
          <w:p>
            <w:pPr>
              <w:spacing w:after="0"/>
              <w:rPr>
                <w:sz w:val="2"/>
                <w:szCs w:val="2"/>
                <w:color w:val="auto"/>
              </w:rPr>
            </w:pPr>
          </w:p>
        </w:tc>
        <w:tc>
          <w:tcPr>
            <w:tcW w:w="840" w:type="dxa"/>
            <w:vAlign w:val="bottom"/>
            <w:tcBorders>
              <w:top w:val="single" w:sz="8" w:color="auto"/>
              <w:bottom w:val="single" w:sz="8" w:color="auto"/>
            </w:tcBorders>
          </w:tcPr>
          <w:p>
            <w:pPr>
              <w:spacing w:after="0"/>
              <w:rPr>
                <w:sz w:val="2"/>
                <w:szCs w:val="2"/>
                <w:color w:val="auto"/>
              </w:rPr>
            </w:pPr>
          </w:p>
        </w:tc>
        <w:tc>
          <w:tcPr>
            <w:tcW w:w="84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184"/>
        </w:trPr>
        <w:tc>
          <w:tcPr>
            <w:tcW w:w="1200" w:type="dxa"/>
            <w:vAlign w:val="bottom"/>
          </w:tcPr>
          <w:p>
            <w:pPr>
              <w:jc w:val="right"/>
              <w:ind w:right="778"/>
              <w:spacing w:after="0" w:line="184" w:lineRule="exact"/>
              <w:rPr>
                <w:sz w:val="20"/>
                <w:szCs w:val="20"/>
                <w:color w:val="auto"/>
              </w:rPr>
            </w:pPr>
            <w:r>
              <w:rPr>
                <w:rFonts w:ascii="Arial" w:cs="Arial" w:eastAsia="Arial" w:hAnsi="Arial"/>
                <w:sz w:val="17"/>
                <w:szCs w:val="17"/>
                <w:b w:val="1"/>
                <w:bCs w:val="1"/>
                <w:color w:val="auto"/>
              </w:rPr>
              <w:t>$</w:t>
            </w:r>
          </w:p>
        </w:tc>
        <w:tc>
          <w:tcPr>
            <w:tcW w:w="160" w:type="dxa"/>
            <w:vAlign w:val="bottom"/>
          </w:tcPr>
          <w:p>
            <w:pPr>
              <w:spacing w:after="0"/>
              <w:rPr>
                <w:sz w:val="15"/>
                <w:szCs w:val="15"/>
                <w:color w:val="auto"/>
              </w:rPr>
            </w:pPr>
          </w:p>
        </w:tc>
        <w:tc>
          <w:tcPr>
            <w:tcW w:w="1200" w:type="dxa"/>
            <w:vAlign w:val="bottom"/>
          </w:tcPr>
          <w:p>
            <w:pPr>
              <w:jc w:val="right"/>
              <w:ind w:right="798"/>
              <w:spacing w:after="0" w:line="184" w:lineRule="exact"/>
              <w:rPr>
                <w:sz w:val="20"/>
                <w:szCs w:val="20"/>
                <w:color w:val="auto"/>
              </w:rPr>
            </w:pPr>
            <w:r>
              <w:rPr>
                <w:rFonts w:ascii="Arial" w:cs="Arial" w:eastAsia="Arial" w:hAnsi="Arial"/>
                <w:sz w:val="17"/>
                <w:szCs w:val="17"/>
                <w:color w:val="auto"/>
              </w:rPr>
              <w:t>$</w:t>
            </w:r>
          </w:p>
        </w:tc>
        <w:tc>
          <w:tcPr>
            <w:tcW w:w="140" w:type="dxa"/>
            <w:vAlign w:val="bottom"/>
          </w:tcPr>
          <w:p>
            <w:pPr>
              <w:spacing w:after="0"/>
              <w:rPr>
                <w:sz w:val="15"/>
                <w:szCs w:val="15"/>
                <w:color w:val="auto"/>
              </w:rPr>
            </w:pPr>
          </w:p>
        </w:tc>
        <w:tc>
          <w:tcPr>
            <w:tcW w:w="840" w:type="dxa"/>
            <w:vAlign w:val="bottom"/>
          </w:tcPr>
          <w:p>
            <w:pPr>
              <w:jc w:val="right"/>
              <w:ind w:right="298"/>
              <w:spacing w:after="0" w:line="184" w:lineRule="exact"/>
              <w:rPr>
                <w:sz w:val="20"/>
                <w:szCs w:val="20"/>
                <w:color w:val="auto"/>
              </w:rPr>
            </w:pPr>
            <w:r>
              <w:rPr>
                <w:rFonts w:ascii="Arial" w:cs="Arial" w:eastAsia="Arial" w:hAnsi="Arial"/>
                <w:sz w:val="17"/>
                <w:szCs w:val="17"/>
                <w:color w:val="auto"/>
              </w:rPr>
              <w:t>$</w:t>
            </w:r>
          </w:p>
        </w:tc>
        <w:tc>
          <w:tcPr>
            <w:tcW w:w="8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31"/>
        </w:trPr>
        <w:tc>
          <w:tcPr>
            <w:tcW w:w="1200" w:type="dxa"/>
            <w:vAlign w:val="bottom"/>
            <w:tcBorders>
              <w:bottom w:val="single" w:sz="8" w:color="auto"/>
            </w:tcBorders>
          </w:tcPr>
          <w:p>
            <w:pPr>
              <w:jc w:val="right"/>
              <w:ind w:right="38"/>
              <w:spacing w:after="0"/>
              <w:rPr>
                <w:sz w:val="20"/>
                <w:szCs w:val="20"/>
                <w:color w:val="auto"/>
              </w:rPr>
            </w:pPr>
            <w:r>
              <w:rPr>
                <w:rFonts w:ascii="Arial" w:cs="Arial" w:eastAsia="Arial" w:hAnsi="Arial"/>
                <w:sz w:val="17"/>
                <w:szCs w:val="17"/>
                <w:b w:val="1"/>
                <w:bCs w:val="1"/>
                <w:color w:val="auto"/>
              </w:rPr>
              <w:t>1.71</w:t>
            </w:r>
          </w:p>
        </w:tc>
        <w:tc>
          <w:tcPr>
            <w:tcW w:w="160" w:type="dxa"/>
            <w:vAlign w:val="bottom"/>
          </w:tcPr>
          <w:p>
            <w:pPr>
              <w:spacing w:after="0"/>
              <w:rPr>
                <w:sz w:val="20"/>
                <w:szCs w:val="20"/>
                <w:color w:val="auto"/>
              </w:rPr>
            </w:pPr>
          </w:p>
        </w:tc>
        <w:tc>
          <w:tcPr>
            <w:tcW w:w="1200" w:type="dxa"/>
            <w:vAlign w:val="bottom"/>
            <w:tcBorders>
              <w:bottom w:val="single" w:sz="8" w:color="auto"/>
            </w:tcBorders>
          </w:tcPr>
          <w:p>
            <w:pPr>
              <w:jc w:val="right"/>
              <w:ind w:right="58"/>
              <w:spacing w:after="0"/>
              <w:rPr>
                <w:sz w:val="20"/>
                <w:szCs w:val="20"/>
                <w:color w:val="auto"/>
              </w:rPr>
            </w:pPr>
            <w:r>
              <w:rPr>
                <w:rFonts w:ascii="Arial" w:cs="Arial" w:eastAsia="Arial" w:hAnsi="Arial"/>
                <w:sz w:val="17"/>
                <w:szCs w:val="17"/>
                <w:color w:val="auto"/>
              </w:rPr>
              <w:t>2.09</w:t>
            </w:r>
          </w:p>
        </w:tc>
        <w:tc>
          <w:tcPr>
            <w:tcW w:w="140" w:type="dxa"/>
            <w:vAlign w:val="bottom"/>
          </w:tcPr>
          <w:p>
            <w:pPr>
              <w:spacing w:after="0"/>
              <w:rPr>
                <w:sz w:val="20"/>
                <w:szCs w:val="20"/>
                <w:color w:val="auto"/>
              </w:rPr>
            </w:pPr>
          </w:p>
        </w:tc>
        <w:tc>
          <w:tcPr>
            <w:tcW w:w="840" w:type="dxa"/>
            <w:vAlign w:val="bottom"/>
            <w:tcBorders>
              <w:bottom w:val="single" w:sz="8" w:color="auto"/>
            </w:tcBorders>
          </w:tcPr>
          <w:p>
            <w:pPr>
              <w:jc w:val="right"/>
              <w:spacing w:after="0"/>
              <w:rPr>
                <w:sz w:val="20"/>
                <w:szCs w:val="20"/>
                <w:color w:val="auto"/>
              </w:rPr>
            </w:pPr>
            <w:r>
              <w:rPr>
                <w:rFonts w:ascii="Arial" w:cs="Arial" w:eastAsia="Arial" w:hAnsi="Arial"/>
                <w:sz w:val="17"/>
                <w:szCs w:val="17"/>
                <w:color w:val="auto"/>
              </w:rPr>
              <w:t>(0.38)</w:t>
            </w:r>
          </w:p>
        </w:tc>
        <w:tc>
          <w:tcPr>
            <w:tcW w:w="840" w:type="dxa"/>
            <w:vAlign w:val="bottom"/>
          </w:tcPr>
          <w:p>
            <w:pPr>
              <w:jc w:val="right"/>
              <w:spacing w:after="0"/>
              <w:rPr>
                <w:sz w:val="20"/>
                <w:szCs w:val="20"/>
                <w:color w:val="auto"/>
              </w:rPr>
            </w:pPr>
            <w:r>
              <w:rPr>
                <w:rFonts w:ascii="Arial" w:cs="Arial" w:eastAsia="Arial" w:hAnsi="Arial"/>
                <w:sz w:val="17"/>
                <w:szCs w:val="17"/>
                <w:color w:val="auto"/>
              </w:rPr>
              <w:t>(18) %</w:t>
            </w:r>
          </w:p>
        </w:tc>
        <w:tc>
          <w:tcPr>
            <w:tcW w:w="0" w:type="dxa"/>
            <w:vAlign w:val="bottom"/>
          </w:tcPr>
          <w:p>
            <w:pPr>
              <w:spacing w:after="0"/>
              <w:rPr>
                <w:sz w:val="1"/>
                <w:szCs w:val="1"/>
                <w:color w:val="auto"/>
              </w:rPr>
            </w:pPr>
          </w:p>
        </w:tc>
      </w:tr>
      <w:tr>
        <w:trPr>
          <w:trHeight w:val="25"/>
        </w:trPr>
        <w:tc>
          <w:tcPr>
            <w:tcW w:w="1200" w:type="dxa"/>
            <w:vAlign w:val="bottom"/>
          </w:tcPr>
          <w:p>
            <w:pPr>
              <w:spacing w:after="0"/>
              <w:rPr>
                <w:sz w:val="2"/>
                <w:szCs w:val="2"/>
                <w:color w:val="auto"/>
              </w:rPr>
            </w:pPr>
          </w:p>
        </w:tc>
        <w:tc>
          <w:tcPr>
            <w:tcW w:w="1360" w:type="dxa"/>
            <w:vAlign w:val="bottom"/>
            <w:gridSpan w:val="2"/>
          </w:tcPr>
          <w:p>
            <w:pPr>
              <w:spacing w:after="0"/>
              <w:rPr>
                <w:sz w:val="2"/>
                <w:szCs w:val="2"/>
                <w:color w:val="auto"/>
              </w:rPr>
            </w:pPr>
          </w:p>
        </w:tc>
        <w:tc>
          <w:tcPr>
            <w:tcW w:w="140" w:type="dxa"/>
            <w:vAlign w:val="bottom"/>
          </w:tcPr>
          <w:p>
            <w:pPr>
              <w:spacing w:after="0"/>
              <w:rPr>
                <w:sz w:val="2"/>
                <w:szCs w:val="2"/>
                <w:color w:val="auto"/>
              </w:rPr>
            </w:pPr>
          </w:p>
        </w:tc>
        <w:tc>
          <w:tcPr>
            <w:tcW w:w="840" w:type="dxa"/>
            <w:vAlign w:val="bottom"/>
          </w:tcPr>
          <w:p>
            <w:pPr>
              <w:spacing w:after="0"/>
              <w:rPr>
                <w:sz w:val="2"/>
                <w:szCs w:val="2"/>
                <w:color w:val="auto"/>
              </w:rPr>
            </w:pPr>
          </w:p>
        </w:tc>
        <w:tc>
          <w:tcPr>
            <w:tcW w:w="84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26"/>
        </w:trPr>
        <w:tc>
          <w:tcPr>
            <w:tcW w:w="1200" w:type="dxa"/>
            <w:vAlign w:val="bottom"/>
            <w:tcBorders>
              <w:top w:val="single" w:sz="8" w:color="auto"/>
            </w:tcBorders>
          </w:tcPr>
          <w:p>
            <w:pPr>
              <w:jc w:val="right"/>
              <w:ind w:right="38"/>
              <w:spacing w:after="0"/>
              <w:rPr>
                <w:sz w:val="20"/>
                <w:szCs w:val="20"/>
                <w:color w:val="auto"/>
              </w:rPr>
            </w:pPr>
            <w:r>
              <w:rPr>
                <w:rFonts w:ascii="Arial" w:cs="Arial" w:eastAsia="Arial" w:hAnsi="Arial"/>
                <w:sz w:val="17"/>
                <w:szCs w:val="17"/>
                <w:b w:val="1"/>
                <w:bCs w:val="1"/>
                <w:color w:val="auto"/>
              </w:rPr>
              <w:t>123.8</w:t>
            </w:r>
          </w:p>
        </w:tc>
        <w:tc>
          <w:tcPr>
            <w:tcW w:w="160" w:type="dxa"/>
            <w:vAlign w:val="bottom"/>
          </w:tcPr>
          <w:p>
            <w:pPr>
              <w:spacing w:after="0"/>
              <w:rPr>
                <w:sz w:val="19"/>
                <w:szCs w:val="19"/>
                <w:color w:val="auto"/>
              </w:rPr>
            </w:pPr>
          </w:p>
        </w:tc>
        <w:tc>
          <w:tcPr>
            <w:tcW w:w="1200" w:type="dxa"/>
            <w:vAlign w:val="bottom"/>
            <w:tcBorders>
              <w:top w:val="single" w:sz="8" w:color="auto"/>
            </w:tcBorders>
          </w:tcPr>
          <w:p>
            <w:pPr>
              <w:jc w:val="right"/>
              <w:ind w:right="58"/>
              <w:spacing w:after="0"/>
              <w:rPr>
                <w:sz w:val="20"/>
                <w:szCs w:val="20"/>
                <w:color w:val="auto"/>
              </w:rPr>
            </w:pPr>
            <w:r>
              <w:rPr>
                <w:rFonts w:ascii="Arial" w:cs="Arial" w:eastAsia="Arial" w:hAnsi="Arial"/>
                <w:sz w:val="17"/>
                <w:szCs w:val="17"/>
                <w:color w:val="auto"/>
              </w:rPr>
              <w:t>123.3</w:t>
            </w:r>
          </w:p>
        </w:tc>
        <w:tc>
          <w:tcPr>
            <w:tcW w:w="140" w:type="dxa"/>
            <w:vAlign w:val="bottom"/>
          </w:tcPr>
          <w:p>
            <w:pPr>
              <w:spacing w:after="0"/>
              <w:rPr>
                <w:sz w:val="19"/>
                <w:szCs w:val="19"/>
                <w:color w:val="auto"/>
              </w:rPr>
            </w:pPr>
          </w:p>
        </w:tc>
        <w:tc>
          <w:tcPr>
            <w:tcW w:w="840" w:type="dxa"/>
            <w:vAlign w:val="bottom"/>
            <w:tcBorders>
              <w:top w:val="single" w:sz="8" w:color="auto"/>
            </w:tcBorders>
          </w:tcPr>
          <w:p>
            <w:pPr>
              <w:spacing w:after="0"/>
              <w:rPr>
                <w:sz w:val="19"/>
                <w:szCs w:val="19"/>
                <w:color w:val="auto"/>
              </w:rPr>
            </w:pPr>
          </w:p>
        </w:tc>
        <w:tc>
          <w:tcPr>
            <w:tcW w:w="84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ectPr>
          <w:pgSz w:w="12240" w:h="15840" w:orient="portrait"/>
          <w:cols w:equalWidth="0" w:num="2">
            <w:col w:w="5200" w:space="200"/>
            <w:col w:w="4360"/>
          </w:cols>
          <w:pgMar w:left="1260" w:top="1073" w:right="1220" w:bottom="1440" w:gutter="0" w:footer="0" w:header="0"/>
        </w:sectPr>
      </w:pPr>
    </w:p>
    <w:bookmarkStart w:id="10" w:name="page11"/>
    <w:bookmarkEnd w:id="10"/>
    <w:p>
      <w:pPr>
        <w:ind w:left="340" w:right="160" w:hanging="280"/>
        <w:spacing w:after="0" w:line="282" w:lineRule="auto"/>
        <w:tabs>
          <w:tab w:leader="none" w:pos="340" w:val="left"/>
        </w:tabs>
        <w:numPr>
          <w:ilvl w:val="1"/>
          <w:numId w:val="5"/>
        </w:numPr>
        <w:rPr>
          <w:rFonts w:ascii="Arial" w:cs="Arial" w:eastAsia="Arial" w:hAnsi="Arial"/>
          <w:sz w:val="15"/>
          <w:szCs w:val="15"/>
          <w:color w:val="auto"/>
        </w:rPr>
      </w:pPr>
      <w:r>
        <w:rPr>
          <w:rFonts w:ascii="Arial" w:cs="Arial" w:eastAsia="Arial" w:hAnsi="Arial"/>
          <w:sz w:val="15"/>
          <w:szCs w:val="15"/>
          <w:color w:val="auto"/>
        </w:rPr>
        <w:t>During the second quarter of 2023, we recorded acquisition-related amortization expense of certain acquired intangibles of $60.3 million ($49.0 million, net of tax). We calculate this financial measure by excluding the impact of acquisition-related amortization expense and including a benefit to reflect the significant cash income tax savings resulting from the income tax deductibility of amortization for certain acquired intangibles. The $11.3 million of tax is comprised of $15.4 million of tax expense net of $4.1 million of a cash income tax benefit. During the second quarter of 2022, we recorded acquisition-related amortization expense of certain acquired intangibles of $57.9 million ($47.2 million, net of tax). The $10.7 million of tax is comprised of $14.8 million of tax expense net of $4.1 million of a cash income tax benefit. See the Notes to this reconciliation for additional detail.</w:t>
      </w:r>
    </w:p>
    <w:p>
      <w:pPr>
        <w:spacing w:after="0" w:line="201" w:lineRule="exact"/>
        <w:rPr>
          <w:rFonts w:ascii="Arial" w:cs="Arial" w:eastAsia="Arial" w:hAnsi="Arial"/>
          <w:sz w:val="15"/>
          <w:szCs w:val="15"/>
          <w:color w:val="auto"/>
        </w:rPr>
      </w:pPr>
    </w:p>
    <w:p>
      <w:pPr>
        <w:ind w:left="340" w:right="280" w:hanging="280"/>
        <w:spacing w:after="0" w:line="255" w:lineRule="auto"/>
        <w:tabs>
          <w:tab w:leader="none" w:pos="340" w:val="left"/>
        </w:tabs>
        <w:numPr>
          <w:ilvl w:val="1"/>
          <w:numId w:val="5"/>
        </w:numPr>
        <w:rPr>
          <w:rFonts w:ascii="Arial" w:cs="Arial" w:eastAsia="Arial" w:hAnsi="Arial"/>
          <w:sz w:val="17"/>
          <w:szCs w:val="17"/>
          <w:color w:val="auto"/>
        </w:rPr>
      </w:pPr>
      <w:r>
        <w:rPr>
          <w:rFonts w:ascii="Arial" w:cs="Arial" w:eastAsia="Arial" w:hAnsi="Arial"/>
          <w:sz w:val="17"/>
          <w:szCs w:val="17"/>
          <w:color w:val="auto"/>
        </w:rPr>
        <w:t>During the second quarter of 2023, we recorded legal expenses related to the 2017 cybersecurity incident of $0.3 million ($0.2 million, net of tax). During the second quarter of 2022, we recorded legal expenses related to the 2017 cybersecurity incident of $0.5 million ($0.4 million, net of tax). See the Notes to this reconciliation for additional detail.</w:t>
      </w:r>
    </w:p>
    <w:p>
      <w:pPr>
        <w:spacing w:after="0" w:line="216" w:lineRule="exact"/>
        <w:rPr>
          <w:rFonts w:ascii="Arial" w:cs="Arial" w:eastAsia="Arial" w:hAnsi="Arial"/>
          <w:sz w:val="17"/>
          <w:szCs w:val="17"/>
          <w:color w:val="auto"/>
        </w:rPr>
      </w:pPr>
    </w:p>
    <w:p>
      <w:pPr>
        <w:ind w:left="340" w:hanging="280"/>
        <w:spacing w:after="0" w:line="247" w:lineRule="auto"/>
        <w:tabs>
          <w:tab w:leader="none" w:pos="340" w:val="left"/>
        </w:tabs>
        <w:numPr>
          <w:ilvl w:val="1"/>
          <w:numId w:val="5"/>
        </w:numPr>
        <w:rPr>
          <w:rFonts w:ascii="Arial" w:cs="Arial" w:eastAsia="Arial" w:hAnsi="Arial"/>
          <w:sz w:val="17"/>
          <w:szCs w:val="17"/>
          <w:color w:val="auto"/>
        </w:rPr>
      </w:pPr>
      <w:r>
        <w:rPr>
          <w:rFonts w:ascii="Arial" w:cs="Arial" w:eastAsia="Arial" w:hAnsi="Arial"/>
          <w:sz w:val="17"/>
          <w:szCs w:val="17"/>
          <w:color w:val="auto"/>
        </w:rPr>
        <w:t>During the second quarter of 2023, we recorded an unrealized gain on the fair market value adjustment and gain on sale of equity investments of $10.5 million ($6.8 million, net of tax). During the second quarter of 2022, we recorded an unrealized loss on the fair market value adjustment and gain on sale of equity investments of $6.7 million ($5.7 million, net of tax). The fair value adjustments were recorded to the Other income, net line item within the Consolidated Statements of Income. See the Notes to this reconciliation for additional details.</w:t>
      </w:r>
    </w:p>
    <w:p>
      <w:pPr>
        <w:spacing w:after="0" w:line="224" w:lineRule="exact"/>
        <w:rPr>
          <w:rFonts w:ascii="Arial" w:cs="Arial" w:eastAsia="Arial" w:hAnsi="Arial"/>
          <w:sz w:val="17"/>
          <w:szCs w:val="17"/>
          <w:color w:val="auto"/>
        </w:rPr>
      </w:pPr>
    </w:p>
    <w:p>
      <w:pPr>
        <w:ind w:left="340" w:right="140" w:hanging="280"/>
        <w:spacing w:after="0" w:line="249" w:lineRule="auto"/>
        <w:tabs>
          <w:tab w:leader="none" w:pos="340" w:val="left"/>
        </w:tabs>
        <w:numPr>
          <w:ilvl w:val="1"/>
          <w:numId w:val="5"/>
        </w:numPr>
        <w:rPr>
          <w:rFonts w:ascii="Arial" w:cs="Arial" w:eastAsia="Arial" w:hAnsi="Arial"/>
          <w:sz w:val="17"/>
          <w:szCs w:val="17"/>
          <w:color w:val="auto"/>
        </w:rPr>
      </w:pPr>
      <w:r>
        <w:rPr>
          <w:rFonts w:ascii="Arial" w:cs="Arial" w:eastAsia="Arial" w:hAnsi="Arial"/>
          <w:sz w:val="17"/>
          <w:szCs w:val="17"/>
          <w:color w:val="auto"/>
        </w:rPr>
        <w:t>During the second quarter of 2023, we recorded a foreign currency gain on certain intercompany loans of $1.8 million. During the second quarter of 2022, we recorded a foreign currency gain on certain intercompany loans of $3.0 million. The impact was recorded to the Other income, net line item within the Consolidated Statements of Income. See the Notes to this reconciliation for additional detail.</w:t>
      </w:r>
    </w:p>
    <w:p>
      <w:pPr>
        <w:spacing w:after="0" w:line="223" w:lineRule="exact"/>
        <w:rPr>
          <w:rFonts w:ascii="Arial" w:cs="Arial" w:eastAsia="Arial" w:hAnsi="Arial"/>
          <w:sz w:val="17"/>
          <w:szCs w:val="17"/>
          <w:color w:val="auto"/>
        </w:rPr>
      </w:pPr>
    </w:p>
    <w:p>
      <w:pPr>
        <w:ind w:left="340" w:right="60" w:hanging="280"/>
        <w:spacing w:after="0" w:line="249" w:lineRule="auto"/>
        <w:tabs>
          <w:tab w:leader="none" w:pos="340" w:val="left"/>
        </w:tabs>
        <w:numPr>
          <w:ilvl w:val="1"/>
          <w:numId w:val="5"/>
        </w:numPr>
        <w:rPr>
          <w:rFonts w:ascii="Arial" w:cs="Arial" w:eastAsia="Arial" w:hAnsi="Arial"/>
          <w:sz w:val="17"/>
          <w:szCs w:val="17"/>
          <w:color w:val="auto"/>
        </w:rPr>
      </w:pPr>
      <w:r>
        <w:rPr>
          <w:rFonts w:ascii="Arial" w:cs="Arial" w:eastAsia="Arial" w:hAnsi="Arial"/>
          <w:sz w:val="17"/>
          <w:szCs w:val="17"/>
          <w:color w:val="auto"/>
        </w:rPr>
        <w:t>During the second quarter of 2023, we recorded $26.9 million ($21.2 million, net of tax) for acquisition costs other than acquisition-related amortization. During the second quarter of 2022, we recorded $12.0 million ($9.1 million, net of tax) for acquisition costs other than acquisition-related amortization. These costs primarily related to integration costs resulting from recent acquisitions and were recorded in operating income. See the Notes to this reconciliation for additional detail.</w:t>
      </w:r>
    </w:p>
    <w:p>
      <w:pPr>
        <w:spacing w:after="0" w:line="223" w:lineRule="exact"/>
        <w:rPr>
          <w:rFonts w:ascii="Arial" w:cs="Arial" w:eastAsia="Arial" w:hAnsi="Arial"/>
          <w:sz w:val="17"/>
          <w:szCs w:val="17"/>
          <w:color w:val="auto"/>
        </w:rPr>
      </w:pPr>
    </w:p>
    <w:p>
      <w:pPr>
        <w:ind w:left="340" w:right="200" w:hanging="280"/>
        <w:spacing w:after="0" w:line="249" w:lineRule="auto"/>
        <w:tabs>
          <w:tab w:leader="none" w:pos="340" w:val="left"/>
        </w:tabs>
        <w:numPr>
          <w:ilvl w:val="1"/>
          <w:numId w:val="5"/>
        </w:numPr>
        <w:rPr>
          <w:rFonts w:ascii="Arial" w:cs="Arial" w:eastAsia="Arial" w:hAnsi="Arial"/>
          <w:sz w:val="17"/>
          <w:szCs w:val="17"/>
          <w:color w:val="auto"/>
        </w:rPr>
      </w:pPr>
      <w:r>
        <w:rPr>
          <w:rFonts w:ascii="Arial" w:cs="Arial" w:eastAsia="Arial" w:hAnsi="Arial"/>
          <w:sz w:val="17"/>
          <w:szCs w:val="17"/>
          <w:color w:val="auto"/>
        </w:rPr>
        <w:t>During the second quarter of 2023, we recorded a tax benefit of $0.8 million related to the tax effects of deductions for stock compensation in excess of amounts recorded for compensation costs. During the second quarter of 2022, we recorded a tax benefit of $2.0 million related to the tax effects of deductions for stock compensation expense in excess of amounts recorded for compensation costs. See the Notes to this reconciliation for additional detail.</w:t>
      </w:r>
    </w:p>
    <w:p>
      <w:pPr>
        <w:spacing w:after="0" w:line="223" w:lineRule="exact"/>
        <w:rPr>
          <w:rFonts w:ascii="Arial" w:cs="Arial" w:eastAsia="Arial" w:hAnsi="Arial"/>
          <w:sz w:val="17"/>
          <w:szCs w:val="17"/>
          <w:color w:val="auto"/>
        </w:rPr>
      </w:pPr>
    </w:p>
    <w:p>
      <w:pPr>
        <w:ind w:left="340" w:right="260" w:hanging="280"/>
        <w:spacing w:after="0" w:line="285" w:lineRule="auto"/>
        <w:tabs>
          <w:tab w:leader="none" w:pos="340" w:val="left"/>
        </w:tabs>
        <w:numPr>
          <w:ilvl w:val="1"/>
          <w:numId w:val="5"/>
        </w:numPr>
        <w:rPr>
          <w:rFonts w:ascii="Arial" w:cs="Arial" w:eastAsia="Arial" w:hAnsi="Arial"/>
          <w:sz w:val="15"/>
          <w:szCs w:val="15"/>
          <w:color w:val="auto"/>
        </w:rPr>
      </w:pPr>
      <w:r>
        <w:rPr>
          <w:rFonts w:ascii="Arial" w:cs="Arial" w:eastAsia="Arial" w:hAnsi="Arial"/>
          <w:sz w:val="15"/>
          <w:szCs w:val="15"/>
          <w:color w:val="auto"/>
        </w:rPr>
        <w:t>Argentina experienced multiple periods of increasing inflation rates, devaluation of the peso, and increasing borrowing rates. As such, Argentina was deemed a highly inflationary economy by accounting policymakers in 2018. During the second quarter of</w:t>
      </w:r>
    </w:p>
    <w:p>
      <w:pPr>
        <w:ind w:left="340"/>
        <w:spacing w:after="0" w:line="243" w:lineRule="auto"/>
        <w:rPr>
          <w:rFonts w:ascii="Arial" w:cs="Arial" w:eastAsia="Arial" w:hAnsi="Arial"/>
          <w:sz w:val="15"/>
          <w:szCs w:val="15"/>
          <w:color w:val="auto"/>
        </w:rPr>
      </w:pPr>
      <w:r>
        <w:rPr>
          <w:rFonts w:ascii="Arial" w:cs="Arial" w:eastAsia="Arial" w:hAnsi="Arial"/>
          <w:sz w:val="17"/>
          <w:szCs w:val="17"/>
          <w:color w:val="auto"/>
        </w:rPr>
        <w:t>2023 and 2022, we recorded a foreign currency loss of $0.1 million and a foreign currency gain of $0.1 million, respectively, related to the impact of remeasuring the peso denominated monetary assets and liabilities as a result of Argentina being a highly inflationary economy. See the Notes to this reconciliation for additional detail.</w:t>
      </w:r>
    </w:p>
    <w:p>
      <w:pPr>
        <w:spacing w:after="0" w:line="226" w:lineRule="exact"/>
        <w:rPr>
          <w:rFonts w:ascii="Arial" w:cs="Arial" w:eastAsia="Arial" w:hAnsi="Arial"/>
          <w:sz w:val="15"/>
          <w:szCs w:val="15"/>
          <w:color w:val="auto"/>
        </w:rPr>
      </w:pPr>
    </w:p>
    <w:p>
      <w:pPr>
        <w:jc w:val="both"/>
        <w:ind w:left="340" w:hanging="280"/>
        <w:spacing w:after="0" w:line="305" w:lineRule="auto"/>
        <w:tabs>
          <w:tab w:leader="none" w:pos="340" w:val="left"/>
        </w:tabs>
        <w:numPr>
          <w:ilvl w:val="1"/>
          <w:numId w:val="5"/>
        </w:numPr>
        <w:rPr>
          <w:rFonts w:ascii="Arial" w:cs="Arial" w:eastAsia="Arial" w:hAnsi="Arial"/>
          <w:sz w:val="15"/>
          <w:szCs w:val="15"/>
          <w:color w:val="auto"/>
        </w:rPr>
      </w:pPr>
      <w:r>
        <w:rPr>
          <w:rFonts w:ascii="Arial" w:cs="Arial" w:eastAsia="Arial" w:hAnsi="Arial"/>
          <w:sz w:val="15"/>
          <w:szCs w:val="15"/>
          <w:color w:val="auto"/>
        </w:rPr>
        <w:t>During the second quarter of 2023, we recorded $17.5 million ($12.4 million, net of tax) of restructuring charges for the realignment of internal resources and other costs, which predominantly relates to the reduction of headcount and the realignment of our internal resources to support the Company's strategic objectives. See the Notes to this reconciliation for additional detail.</w:t>
      </w:r>
    </w:p>
    <w:p>
      <w:pPr>
        <w:spacing w:after="0" w:line="182" w:lineRule="exact"/>
        <w:rPr>
          <w:rFonts w:ascii="Arial" w:cs="Arial" w:eastAsia="Arial" w:hAnsi="Arial"/>
          <w:sz w:val="15"/>
          <w:szCs w:val="15"/>
          <w:color w:val="auto"/>
        </w:rPr>
      </w:pPr>
    </w:p>
    <w:p>
      <w:pPr>
        <w:ind w:left="340" w:right="120" w:hanging="280"/>
        <w:spacing w:after="0" w:line="245" w:lineRule="auto"/>
        <w:tabs>
          <w:tab w:leader="none" w:pos="340" w:val="left"/>
        </w:tabs>
        <w:numPr>
          <w:ilvl w:val="1"/>
          <w:numId w:val="5"/>
        </w:numPr>
        <w:rPr>
          <w:rFonts w:ascii="Arial" w:cs="Arial" w:eastAsia="Arial" w:hAnsi="Arial"/>
          <w:sz w:val="17"/>
          <w:szCs w:val="17"/>
          <w:color w:val="auto"/>
        </w:rPr>
      </w:pPr>
      <w:r>
        <w:rPr>
          <w:rFonts w:ascii="Arial" w:cs="Arial" w:eastAsia="Arial" w:hAnsi="Arial"/>
          <w:sz w:val="17"/>
          <w:szCs w:val="17"/>
          <w:color w:val="auto"/>
        </w:rPr>
        <w:t>During the second quarter of 2023, we recorded the tax impact of adjustments of $18.5 million comprised of (i) acquisition-related amortization expense of certain acquired intangibles of $11.3 million ($15.4 million of tax expense net of $4.1 million of cash income tax benefit), (ii) a tax adjustment of $0.1 million related to legal expenses for the 2017 cybersecurity incident, (iii) a tax adjustment of $3.7 million related to the fair market value adjustment and gain on sale of equity investments (vi) a tax adjustment of $5.1 million related to the realignment of internal resources and (v) a tax adjustment of $5.7 million related to acquisition costs other than acquisition-related amortization.</w:t>
      </w:r>
    </w:p>
    <w:p>
      <w:pPr>
        <w:spacing w:after="0" w:line="227" w:lineRule="exact"/>
        <w:rPr>
          <w:rFonts w:ascii="Arial" w:cs="Arial" w:eastAsia="Arial" w:hAnsi="Arial"/>
          <w:sz w:val="17"/>
          <w:szCs w:val="17"/>
          <w:color w:val="auto"/>
        </w:rPr>
      </w:pPr>
    </w:p>
    <w:p>
      <w:pPr>
        <w:ind w:left="340" w:right="120"/>
        <w:spacing w:after="0" w:line="247" w:lineRule="auto"/>
        <w:rPr>
          <w:rFonts w:ascii="Arial" w:cs="Arial" w:eastAsia="Arial" w:hAnsi="Arial"/>
          <w:sz w:val="17"/>
          <w:szCs w:val="17"/>
          <w:color w:val="auto"/>
        </w:rPr>
      </w:pPr>
      <w:r>
        <w:rPr>
          <w:rFonts w:ascii="Arial" w:cs="Arial" w:eastAsia="Arial" w:hAnsi="Arial"/>
          <w:sz w:val="17"/>
          <w:szCs w:val="17"/>
          <w:color w:val="auto"/>
        </w:rPr>
        <w:t>During the second quarter of 2022, we recorded the tax impact of adjustments of $14.7 million comprised of (i) acquisition-related amortization expense of certain acquired intangibles of $10.7 million ($14.8 million of tax expense net of $4.1 million of cash income tax benefit), (ii) a tax adjustment of $0.1 million related to legal expenses for the 2017 cybersecurity incident, (iii) a tax adjustment of $1.0 million related to the loss on fair market value adjustment and gain on sale of equity investments and (iv) a tax adjustment of $2.9 million related to acquisition costs other than acquisition-related amortization.</w:t>
      </w: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342" w:lineRule="exact"/>
        <w:rPr>
          <w:rFonts w:ascii="Arial" w:cs="Arial" w:eastAsia="Arial" w:hAnsi="Arial"/>
          <w:sz w:val="17"/>
          <w:szCs w:val="17"/>
          <w:color w:val="auto"/>
        </w:rPr>
      </w:pPr>
    </w:p>
    <w:p>
      <w:pPr>
        <w:spacing w:after="0" w:line="259" w:lineRule="auto"/>
        <w:tabs>
          <w:tab w:leader="none" w:pos="373" w:val="left"/>
        </w:tabs>
        <w:numPr>
          <w:ilvl w:val="0"/>
          <w:numId w:val="6"/>
        </w:numPr>
        <w:rPr>
          <w:rFonts w:ascii="Arial" w:cs="Arial" w:eastAsia="Arial" w:hAnsi="Arial"/>
          <w:sz w:val="24"/>
          <w:szCs w:val="24"/>
          <w:b w:val="1"/>
          <w:bCs w:val="1"/>
          <w:color w:val="auto"/>
        </w:rPr>
      </w:pPr>
      <w:r>
        <w:rPr>
          <w:rFonts w:ascii="Arial" w:cs="Arial" w:eastAsia="Arial" w:hAnsi="Arial"/>
          <w:sz w:val="24"/>
          <w:szCs w:val="24"/>
          <w:b w:val="1"/>
          <w:bCs w:val="1"/>
          <w:color w:val="auto"/>
        </w:rPr>
        <w:t>Reconciliation of net income attributable to Equifax to adjusted EBITDA, defined as net income excluding income taxes, interest expense, net, depreciation and amortization expense, legal expenses related to the 2017 cybersecurity incident, fair value adjustment and gain on sale of equity investments, foreign currency impact of certain intercompany loans, acquisition-related costs other than acquisition amortization, Argentina highly inflationary foreign currency adjustment, realignment</w:t>
      </w:r>
    </w:p>
    <w:p>
      <w:pPr>
        <w:sectPr>
          <w:pgSz w:w="12240" w:h="15840" w:orient="portrait"/>
          <w:cols w:equalWidth="0" w:num="1">
            <w:col w:w="9860"/>
          </w:cols>
          <w:pgMar w:left="1200" w:top="1300" w:right="1180" w:bottom="150" w:gutter="0" w:footer="0" w:header="0"/>
        </w:sectPr>
      </w:pPr>
    </w:p>
    <w:bookmarkStart w:id="11" w:name="page12"/>
    <w:bookmarkEnd w:id="11"/>
    <w:p>
      <w:pPr>
        <w:spacing w:after="0"/>
        <w:rPr>
          <w:sz w:val="20"/>
          <w:szCs w:val="20"/>
          <w:color w:val="auto"/>
        </w:rPr>
      </w:pPr>
      <w:r>
        <w:rPr>
          <w:rFonts w:ascii="Arial" w:cs="Arial" w:eastAsia="Arial" w:hAnsi="Arial"/>
          <w:sz w:val="24"/>
          <w:szCs w:val="24"/>
          <w:b w:val="1"/>
          <w:bCs w:val="1"/>
          <w:color w:val="auto"/>
        </w:rPr>
        <w:t>of resources and other costs and presentation of adjusted EBITDA margin:</w:t>
      </w:r>
    </w:p>
    <w:p>
      <w:pPr>
        <w:spacing w:after="0" w:line="269" w:lineRule="exact"/>
        <w:rPr>
          <w:sz w:val="20"/>
          <w:szCs w:val="20"/>
          <w:color w:val="auto"/>
        </w:rPr>
      </w:pPr>
    </w:p>
    <w:tbl>
      <w:tblPr>
        <w:tblLayout w:type="fixed"/>
        <w:tblInd w:w="60" w:type="dxa"/>
        <w:tblCellMar>
          <w:top w:w="0" w:type="dxa"/>
          <w:left w:w="0" w:type="dxa"/>
          <w:bottom w:w="0" w:type="dxa"/>
          <w:right w:w="0" w:type="dxa"/>
        </w:tblCellMar>
      </w:tblPr>
      <w:tr>
        <w:trPr>
          <w:trHeight w:val="231"/>
        </w:trPr>
        <w:tc>
          <w:tcPr>
            <w:tcW w:w="5080" w:type="dxa"/>
            <w:vAlign w:val="bottom"/>
          </w:tcPr>
          <w:p>
            <w:pPr>
              <w:spacing w:after="0"/>
              <w:rPr>
                <w:sz w:val="20"/>
                <w:szCs w:val="20"/>
                <w:color w:val="auto"/>
              </w:rPr>
            </w:pPr>
          </w:p>
        </w:tc>
        <w:tc>
          <w:tcPr>
            <w:tcW w:w="2560" w:type="dxa"/>
            <w:vAlign w:val="bottom"/>
            <w:gridSpan w:val="3"/>
          </w:tcPr>
          <w:p>
            <w:pPr>
              <w:jc w:val="right"/>
              <w:ind w:right="18"/>
              <w:spacing w:after="0"/>
              <w:rPr>
                <w:sz w:val="20"/>
                <w:szCs w:val="20"/>
                <w:color w:val="auto"/>
              </w:rPr>
            </w:pPr>
            <w:r>
              <w:rPr>
                <w:rFonts w:ascii="Arial" w:cs="Arial" w:eastAsia="Arial" w:hAnsi="Arial"/>
                <w:sz w:val="17"/>
                <w:szCs w:val="17"/>
                <w:b w:val="1"/>
                <w:bCs w:val="1"/>
                <w:color w:val="auto"/>
              </w:rPr>
              <w:t>Three Months Ended June 30,</w:t>
            </w:r>
          </w:p>
        </w:tc>
        <w:tc>
          <w:tcPr>
            <w:tcW w:w="140" w:type="dxa"/>
            <w:vAlign w:val="bottom"/>
          </w:tcPr>
          <w:p>
            <w:pPr>
              <w:spacing w:after="0"/>
              <w:rPr>
                <w:sz w:val="20"/>
                <w:szCs w:val="20"/>
                <w:color w:val="auto"/>
              </w:rPr>
            </w:pPr>
          </w:p>
        </w:tc>
        <w:tc>
          <w:tcPr>
            <w:tcW w:w="1020" w:type="dxa"/>
            <w:vAlign w:val="bottom"/>
          </w:tcPr>
          <w:p>
            <w:pPr>
              <w:spacing w:after="0"/>
              <w:rPr>
                <w:sz w:val="20"/>
                <w:szCs w:val="20"/>
                <w:color w:val="auto"/>
              </w:rPr>
            </w:pPr>
          </w:p>
        </w:tc>
        <w:tc>
          <w:tcPr>
            <w:tcW w:w="1000" w:type="dxa"/>
            <w:vAlign w:val="bottom"/>
            <w:vMerge w:val="restart"/>
          </w:tcPr>
          <w:p>
            <w:pPr>
              <w:jc w:val="right"/>
              <w:ind w:right="238"/>
              <w:spacing w:after="0"/>
              <w:rPr>
                <w:sz w:val="20"/>
                <w:szCs w:val="20"/>
                <w:color w:val="auto"/>
              </w:rPr>
            </w:pPr>
            <w:r>
              <w:rPr>
                <w:rFonts w:ascii="Arial" w:cs="Arial" w:eastAsia="Arial" w:hAnsi="Arial"/>
                <w:sz w:val="17"/>
                <w:szCs w:val="17"/>
                <w:b w:val="1"/>
                <w:bCs w:val="1"/>
                <w:color w:val="auto"/>
              </w:rPr>
              <w:t>%</w:t>
            </w:r>
          </w:p>
        </w:tc>
        <w:tc>
          <w:tcPr>
            <w:tcW w:w="0" w:type="dxa"/>
            <w:vAlign w:val="bottom"/>
          </w:tcPr>
          <w:p>
            <w:pPr>
              <w:spacing w:after="0"/>
              <w:rPr>
                <w:sz w:val="1"/>
                <w:szCs w:val="1"/>
                <w:color w:val="auto"/>
              </w:rPr>
            </w:pPr>
          </w:p>
        </w:tc>
      </w:tr>
      <w:tr>
        <w:trPr>
          <w:trHeight w:val="189"/>
        </w:trPr>
        <w:tc>
          <w:tcPr>
            <w:tcW w:w="5080" w:type="dxa"/>
            <w:vAlign w:val="bottom"/>
          </w:tcPr>
          <w:p>
            <w:pPr>
              <w:spacing w:after="0"/>
              <w:rPr>
                <w:sz w:val="16"/>
                <w:szCs w:val="16"/>
                <w:color w:val="auto"/>
              </w:rPr>
            </w:pPr>
          </w:p>
        </w:tc>
        <w:tc>
          <w:tcPr>
            <w:tcW w:w="11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2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020" w:type="dxa"/>
            <w:vAlign w:val="bottom"/>
          </w:tcPr>
          <w:p>
            <w:pPr>
              <w:spacing w:after="0"/>
              <w:rPr>
                <w:sz w:val="16"/>
                <w:szCs w:val="16"/>
                <w:color w:val="auto"/>
              </w:rPr>
            </w:pPr>
          </w:p>
        </w:tc>
        <w:tc>
          <w:tcPr>
            <w:tcW w:w="100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25"/>
        </w:trPr>
        <w:tc>
          <w:tcPr>
            <w:tcW w:w="5080" w:type="dxa"/>
            <w:vAlign w:val="bottom"/>
          </w:tcPr>
          <w:p>
            <w:pPr>
              <w:ind w:left="40"/>
              <w:spacing w:after="0"/>
              <w:rPr>
                <w:sz w:val="20"/>
                <w:szCs w:val="20"/>
                <w:color w:val="auto"/>
              </w:rPr>
            </w:pPr>
            <w:r>
              <w:rPr>
                <w:rFonts w:ascii="Arial" w:cs="Arial" w:eastAsia="Arial" w:hAnsi="Arial"/>
                <w:sz w:val="17"/>
                <w:szCs w:val="17"/>
                <w:i w:val="1"/>
                <w:iCs w:val="1"/>
                <w:color w:val="auto"/>
              </w:rPr>
              <w:t>(in millions)</w:t>
            </w:r>
          </w:p>
        </w:tc>
        <w:tc>
          <w:tcPr>
            <w:tcW w:w="1180" w:type="dxa"/>
            <w:vAlign w:val="bottom"/>
          </w:tcPr>
          <w:p>
            <w:pPr>
              <w:jc w:val="right"/>
              <w:ind w:right="358"/>
              <w:spacing w:after="0"/>
              <w:rPr>
                <w:sz w:val="20"/>
                <w:szCs w:val="20"/>
                <w:color w:val="auto"/>
              </w:rPr>
            </w:pPr>
            <w:r>
              <w:rPr>
                <w:rFonts w:ascii="Arial" w:cs="Arial" w:eastAsia="Arial" w:hAnsi="Arial"/>
                <w:sz w:val="17"/>
                <w:szCs w:val="17"/>
                <w:b w:val="1"/>
                <w:bCs w:val="1"/>
                <w:color w:val="auto"/>
              </w:rPr>
              <w:t>2023</w:t>
            </w:r>
          </w:p>
        </w:tc>
        <w:tc>
          <w:tcPr>
            <w:tcW w:w="1380" w:type="dxa"/>
            <w:vAlign w:val="bottom"/>
            <w:gridSpan w:val="2"/>
          </w:tcPr>
          <w:p>
            <w:pPr>
              <w:jc w:val="right"/>
              <w:ind w:right="398"/>
              <w:spacing w:after="0"/>
              <w:rPr>
                <w:sz w:val="20"/>
                <w:szCs w:val="20"/>
                <w:color w:val="auto"/>
              </w:rPr>
            </w:pPr>
            <w:r>
              <w:rPr>
                <w:rFonts w:ascii="Arial" w:cs="Arial" w:eastAsia="Arial" w:hAnsi="Arial"/>
                <w:sz w:val="17"/>
                <w:szCs w:val="17"/>
                <w:b w:val="1"/>
                <w:bCs w:val="1"/>
                <w:color w:val="auto"/>
              </w:rPr>
              <w:t>2022</w:t>
            </w:r>
          </w:p>
        </w:tc>
        <w:tc>
          <w:tcPr>
            <w:tcW w:w="140" w:type="dxa"/>
            <w:vAlign w:val="bottom"/>
          </w:tcPr>
          <w:p>
            <w:pPr>
              <w:spacing w:after="0"/>
              <w:rPr>
                <w:sz w:val="19"/>
                <w:szCs w:val="19"/>
                <w:color w:val="auto"/>
              </w:rPr>
            </w:pPr>
          </w:p>
        </w:tc>
        <w:tc>
          <w:tcPr>
            <w:tcW w:w="1020" w:type="dxa"/>
            <w:vAlign w:val="bottom"/>
          </w:tcPr>
          <w:p>
            <w:pPr>
              <w:jc w:val="right"/>
              <w:ind w:right="38"/>
              <w:spacing w:after="0"/>
              <w:rPr>
                <w:sz w:val="20"/>
                <w:szCs w:val="20"/>
                <w:color w:val="auto"/>
              </w:rPr>
            </w:pPr>
            <w:r>
              <w:rPr>
                <w:rFonts w:ascii="Arial" w:cs="Arial" w:eastAsia="Arial" w:hAnsi="Arial"/>
                <w:sz w:val="17"/>
                <w:szCs w:val="17"/>
                <w:b w:val="1"/>
                <w:bCs w:val="1"/>
                <w:color w:val="auto"/>
              </w:rPr>
              <w:t>$ Change</w:t>
            </w:r>
          </w:p>
        </w:tc>
        <w:tc>
          <w:tcPr>
            <w:tcW w:w="1000" w:type="dxa"/>
            <w:vAlign w:val="bottom"/>
          </w:tcPr>
          <w:p>
            <w:pPr>
              <w:jc w:val="right"/>
              <w:ind w:right="18"/>
              <w:spacing w:after="0"/>
              <w:rPr>
                <w:sz w:val="20"/>
                <w:szCs w:val="20"/>
                <w:color w:val="auto"/>
              </w:rPr>
            </w:pPr>
            <w:r>
              <w:rPr>
                <w:rFonts w:ascii="Arial" w:cs="Arial" w:eastAsia="Arial" w:hAnsi="Arial"/>
                <w:sz w:val="17"/>
                <w:szCs w:val="17"/>
                <w:b w:val="1"/>
                <w:bCs w:val="1"/>
                <w:color w:val="auto"/>
              </w:rPr>
              <w:t>Change</w:t>
            </w:r>
          </w:p>
        </w:tc>
        <w:tc>
          <w:tcPr>
            <w:tcW w:w="0" w:type="dxa"/>
            <w:vAlign w:val="bottom"/>
          </w:tcPr>
          <w:p>
            <w:pPr>
              <w:spacing w:after="0"/>
              <w:rPr>
                <w:sz w:val="1"/>
                <w:szCs w:val="1"/>
                <w:color w:val="auto"/>
              </w:rPr>
            </w:pPr>
          </w:p>
        </w:tc>
      </w:tr>
      <w:tr>
        <w:trPr>
          <w:trHeight w:val="195"/>
        </w:trPr>
        <w:tc>
          <w:tcPr>
            <w:tcW w:w="5080" w:type="dxa"/>
            <w:vAlign w:val="bottom"/>
          </w:tcPr>
          <w:p>
            <w:pPr>
              <w:spacing w:after="0"/>
              <w:rPr>
                <w:sz w:val="16"/>
                <w:szCs w:val="16"/>
                <w:color w:val="auto"/>
              </w:rPr>
            </w:pPr>
          </w:p>
        </w:tc>
        <w:tc>
          <w:tcPr>
            <w:tcW w:w="1180" w:type="dxa"/>
            <w:vAlign w:val="bottom"/>
          </w:tcPr>
          <w:p>
            <w:pPr>
              <w:jc w:val="right"/>
              <w:ind w:right="678"/>
              <w:spacing w:after="0"/>
              <w:rPr>
                <w:sz w:val="20"/>
                <w:szCs w:val="20"/>
                <w:color w:val="auto"/>
              </w:rPr>
            </w:pPr>
            <w:r>
              <w:rPr>
                <w:rFonts w:ascii="Arial" w:cs="Arial" w:eastAsia="Arial" w:hAnsi="Arial"/>
                <w:sz w:val="17"/>
                <w:szCs w:val="17"/>
                <w:b w:val="1"/>
                <w:bCs w:val="1"/>
                <w:color w:val="auto"/>
              </w:rPr>
              <w:t>$</w:t>
            </w:r>
          </w:p>
        </w:tc>
        <w:tc>
          <w:tcPr>
            <w:tcW w:w="1380" w:type="dxa"/>
            <w:vAlign w:val="bottom"/>
            <w:gridSpan w:val="2"/>
          </w:tcPr>
          <w:p>
            <w:pPr>
              <w:jc w:val="right"/>
              <w:ind w:right="738"/>
              <w:spacing w:after="0"/>
              <w:rPr>
                <w:sz w:val="20"/>
                <w:szCs w:val="20"/>
                <w:color w:val="auto"/>
              </w:rPr>
            </w:pPr>
            <w:r>
              <w:rPr>
                <w:rFonts w:ascii="Arial" w:cs="Arial" w:eastAsia="Arial" w:hAnsi="Arial"/>
                <w:sz w:val="17"/>
                <w:szCs w:val="17"/>
                <w:color w:val="auto"/>
              </w:rPr>
              <w:t>$</w:t>
            </w:r>
          </w:p>
        </w:tc>
        <w:tc>
          <w:tcPr>
            <w:tcW w:w="1160" w:type="dxa"/>
            <w:vAlign w:val="bottom"/>
            <w:gridSpan w:val="2"/>
          </w:tcPr>
          <w:p>
            <w:pPr>
              <w:jc w:val="right"/>
              <w:ind w:right="678"/>
              <w:spacing w:after="0"/>
              <w:rPr>
                <w:sz w:val="20"/>
                <w:szCs w:val="20"/>
                <w:color w:val="auto"/>
              </w:rPr>
            </w:pPr>
            <w:r>
              <w:rPr>
                <w:rFonts w:ascii="Arial" w:cs="Arial" w:eastAsia="Arial" w:hAnsi="Arial"/>
                <w:sz w:val="17"/>
                <w:szCs w:val="17"/>
                <w:color w:val="auto"/>
              </w:rPr>
              <w:t>$</w:t>
            </w:r>
          </w:p>
        </w:tc>
        <w:tc>
          <w:tcPr>
            <w:tcW w:w="10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31"/>
        </w:trPr>
        <w:tc>
          <w:tcPr>
            <w:tcW w:w="5080" w:type="dxa"/>
            <w:vAlign w:val="bottom"/>
          </w:tcPr>
          <w:p>
            <w:pPr>
              <w:spacing w:after="0"/>
              <w:rPr>
                <w:sz w:val="20"/>
                <w:szCs w:val="20"/>
                <w:color w:val="auto"/>
              </w:rPr>
            </w:pPr>
            <w:r>
              <w:rPr>
                <w:rFonts w:ascii="Arial" w:cs="Arial" w:eastAsia="Arial" w:hAnsi="Arial"/>
                <w:sz w:val="17"/>
                <w:szCs w:val="17"/>
                <w:color w:val="auto"/>
              </w:rPr>
              <w:t>Revenue</w:t>
            </w:r>
          </w:p>
        </w:tc>
        <w:tc>
          <w:tcPr>
            <w:tcW w:w="1180" w:type="dxa"/>
            <w:vAlign w:val="bottom"/>
          </w:tcPr>
          <w:p>
            <w:pPr>
              <w:jc w:val="right"/>
              <w:ind w:right="278"/>
              <w:spacing w:after="0"/>
              <w:rPr>
                <w:sz w:val="20"/>
                <w:szCs w:val="20"/>
                <w:color w:val="auto"/>
              </w:rPr>
            </w:pPr>
            <w:r>
              <w:rPr>
                <w:rFonts w:ascii="Arial" w:cs="Arial" w:eastAsia="Arial" w:hAnsi="Arial"/>
                <w:sz w:val="17"/>
                <w:szCs w:val="17"/>
                <w:b w:val="1"/>
                <w:bCs w:val="1"/>
                <w:color w:val="auto"/>
              </w:rPr>
              <w:t>1,317.6</w:t>
            </w:r>
          </w:p>
        </w:tc>
        <w:tc>
          <w:tcPr>
            <w:tcW w:w="1380" w:type="dxa"/>
            <w:vAlign w:val="bottom"/>
            <w:gridSpan w:val="2"/>
          </w:tcPr>
          <w:p>
            <w:pPr>
              <w:jc w:val="right"/>
              <w:ind w:right="298"/>
              <w:spacing w:after="0"/>
              <w:rPr>
                <w:sz w:val="20"/>
                <w:szCs w:val="20"/>
                <w:color w:val="auto"/>
              </w:rPr>
            </w:pPr>
            <w:r>
              <w:rPr>
                <w:rFonts w:ascii="Arial" w:cs="Arial" w:eastAsia="Arial" w:hAnsi="Arial"/>
                <w:sz w:val="17"/>
                <w:szCs w:val="17"/>
                <w:color w:val="auto"/>
              </w:rPr>
              <w:t>1,316.7</w:t>
            </w:r>
          </w:p>
        </w:tc>
        <w:tc>
          <w:tcPr>
            <w:tcW w:w="1160" w:type="dxa"/>
            <w:vAlign w:val="bottom"/>
            <w:gridSpan w:val="2"/>
          </w:tcPr>
          <w:p>
            <w:pPr>
              <w:jc w:val="right"/>
              <w:ind w:right="358"/>
              <w:spacing w:after="0"/>
              <w:rPr>
                <w:sz w:val="20"/>
                <w:szCs w:val="20"/>
                <w:color w:val="auto"/>
              </w:rPr>
            </w:pPr>
            <w:r>
              <w:rPr>
                <w:rFonts w:ascii="Arial" w:cs="Arial" w:eastAsia="Arial" w:hAnsi="Arial"/>
                <w:sz w:val="17"/>
                <w:szCs w:val="17"/>
                <w:color w:val="auto"/>
              </w:rPr>
              <w:t>0.9</w:t>
            </w:r>
          </w:p>
        </w:tc>
        <w:tc>
          <w:tcPr>
            <w:tcW w:w="1000" w:type="dxa"/>
            <w:vAlign w:val="bottom"/>
          </w:tcPr>
          <w:p>
            <w:pPr>
              <w:jc w:val="center"/>
              <w:ind w:left="98"/>
              <w:spacing w:after="0"/>
              <w:rPr>
                <w:sz w:val="20"/>
                <w:szCs w:val="20"/>
                <w:color w:val="auto"/>
              </w:rPr>
            </w:pPr>
            <w:r>
              <w:rPr>
                <w:rFonts w:ascii="Arial" w:cs="Arial" w:eastAsia="Arial" w:hAnsi="Arial"/>
                <w:sz w:val="17"/>
                <w:szCs w:val="17"/>
                <w:color w:val="auto"/>
                <w:w w:val="97"/>
              </w:rPr>
              <w:t>— %</w:t>
            </w:r>
          </w:p>
        </w:tc>
        <w:tc>
          <w:tcPr>
            <w:tcW w:w="0" w:type="dxa"/>
            <w:vAlign w:val="bottom"/>
          </w:tcPr>
          <w:p>
            <w:pPr>
              <w:spacing w:after="0"/>
              <w:rPr>
                <w:sz w:val="1"/>
                <w:szCs w:val="1"/>
                <w:color w:val="auto"/>
              </w:rPr>
            </w:pPr>
          </w:p>
        </w:tc>
      </w:tr>
      <w:tr>
        <w:trPr>
          <w:trHeight w:val="414"/>
        </w:trPr>
        <w:tc>
          <w:tcPr>
            <w:tcW w:w="5080" w:type="dxa"/>
            <w:vAlign w:val="bottom"/>
          </w:tcPr>
          <w:p>
            <w:pPr>
              <w:spacing w:after="0"/>
              <w:rPr>
                <w:sz w:val="24"/>
                <w:szCs w:val="24"/>
                <w:color w:val="auto"/>
              </w:rPr>
            </w:pPr>
          </w:p>
        </w:tc>
        <w:tc>
          <w:tcPr>
            <w:tcW w:w="1180" w:type="dxa"/>
            <w:vAlign w:val="bottom"/>
          </w:tcPr>
          <w:p>
            <w:pPr>
              <w:jc w:val="right"/>
              <w:ind w:right="558"/>
              <w:spacing w:after="0"/>
              <w:rPr>
                <w:sz w:val="20"/>
                <w:szCs w:val="20"/>
                <w:color w:val="auto"/>
              </w:rPr>
            </w:pPr>
            <w:r>
              <w:rPr>
                <w:rFonts w:ascii="Arial" w:cs="Arial" w:eastAsia="Arial" w:hAnsi="Arial"/>
                <w:sz w:val="17"/>
                <w:szCs w:val="17"/>
                <w:b w:val="1"/>
                <w:bCs w:val="1"/>
                <w:color w:val="auto"/>
              </w:rPr>
              <w:t>$</w:t>
            </w:r>
          </w:p>
        </w:tc>
        <w:tc>
          <w:tcPr>
            <w:tcW w:w="1380" w:type="dxa"/>
            <w:vAlign w:val="bottom"/>
            <w:gridSpan w:val="2"/>
          </w:tcPr>
          <w:p>
            <w:pPr>
              <w:jc w:val="right"/>
              <w:ind w:right="618"/>
              <w:spacing w:after="0"/>
              <w:rPr>
                <w:sz w:val="20"/>
                <w:szCs w:val="20"/>
                <w:color w:val="auto"/>
              </w:rPr>
            </w:pPr>
            <w:r>
              <w:rPr>
                <w:rFonts w:ascii="Arial" w:cs="Arial" w:eastAsia="Arial" w:hAnsi="Arial"/>
                <w:sz w:val="17"/>
                <w:szCs w:val="17"/>
                <w:color w:val="auto"/>
              </w:rPr>
              <w:t>$</w:t>
            </w:r>
          </w:p>
        </w:tc>
        <w:tc>
          <w:tcPr>
            <w:tcW w:w="1160" w:type="dxa"/>
            <w:vAlign w:val="bottom"/>
            <w:gridSpan w:val="2"/>
          </w:tcPr>
          <w:p>
            <w:pPr>
              <w:jc w:val="right"/>
              <w:ind w:right="318"/>
              <w:spacing w:after="0"/>
              <w:rPr>
                <w:sz w:val="20"/>
                <w:szCs w:val="20"/>
                <w:color w:val="auto"/>
              </w:rPr>
            </w:pPr>
            <w:r>
              <w:rPr>
                <w:rFonts w:ascii="Arial" w:cs="Arial" w:eastAsia="Arial" w:hAnsi="Arial"/>
                <w:sz w:val="17"/>
                <w:szCs w:val="17"/>
                <w:color w:val="auto"/>
              </w:rPr>
              <w:t>$</w:t>
            </w: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5"/>
        </w:trPr>
        <w:tc>
          <w:tcPr>
            <w:tcW w:w="5080" w:type="dxa"/>
            <w:vAlign w:val="bottom"/>
          </w:tcPr>
          <w:p>
            <w:pPr>
              <w:spacing w:after="0"/>
              <w:rPr>
                <w:sz w:val="20"/>
                <w:szCs w:val="20"/>
                <w:color w:val="auto"/>
              </w:rPr>
            </w:pPr>
            <w:r>
              <w:rPr>
                <w:rFonts w:ascii="Arial" w:cs="Arial" w:eastAsia="Arial" w:hAnsi="Arial"/>
                <w:sz w:val="17"/>
                <w:szCs w:val="17"/>
                <w:color w:val="auto"/>
              </w:rPr>
              <w:t>Net income attributable to Equifax</w:t>
            </w:r>
          </w:p>
        </w:tc>
        <w:tc>
          <w:tcPr>
            <w:tcW w:w="1180" w:type="dxa"/>
            <w:vAlign w:val="bottom"/>
          </w:tcPr>
          <w:p>
            <w:pPr>
              <w:jc w:val="right"/>
              <w:ind w:right="58"/>
              <w:spacing w:after="0"/>
              <w:rPr>
                <w:sz w:val="20"/>
                <w:szCs w:val="20"/>
                <w:color w:val="auto"/>
              </w:rPr>
            </w:pPr>
            <w:r>
              <w:rPr>
                <w:rFonts w:ascii="Arial" w:cs="Arial" w:eastAsia="Arial" w:hAnsi="Arial"/>
                <w:sz w:val="17"/>
                <w:szCs w:val="17"/>
                <w:b w:val="1"/>
                <w:bCs w:val="1"/>
                <w:color w:val="auto"/>
              </w:rPr>
              <w:t>138.3</w:t>
            </w:r>
          </w:p>
        </w:tc>
        <w:tc>
          <w:tcPr>
            <w:tcW w:w="1380" w:type="dxa"/>
            <w:vAlign w:val="bottom"/>
            <w:gridSpan w:val="2"/>
          </w:tcPr>
          <w:p>
            <w:pPr>
              <w:jc w:val="right"/>
              <w:ind w:right="58"/>
              <w:spacing w:after="0"/>
              <w:rPr>
                <w:sz w:val="20"/>
                <w:szCs w:val="20"/>
                <w:color w:val="auto"/>
              </w:rPr>
            </w:pPr>
            <w:r>
              <w:rPr>
                <w:rFonts w:ascii="Arial" w:cs="Arial" w:eastAsia="Arial" w:hAnsi="Arial"/>
                <w:sz w:val="17"/>
                <w:szCs w:val="17"/>
                <w:color w:val="auto"/>
              </w:rPr>
              <w:t>200.6</w:t>
            </w:r>
          </w:p>
        </w:tc>
        <w:tc>
          <w:tcPr>
            <w:tcW w:w="1160" w:type="dxa"/>
            <w:vAlign w:val="bottom"/>
            <w:gridSpan w:val="2"/>
          </w:tcPr>
          <w:p>
            <w:pPr>
              <w:jc w:val="right"/>
              <w:spacing w:after="0"/>
              <w:rPr>
                <w:sz w:val="20"/>
                <w:szCs w:val="20"/>
                <w:color w:val="auto"/>
              </w:rPr>
            </w:pPr>
            <w:r>
              <w:rPr>
                <w:rFonts w:ascii="Arial" w:cs="Arial" w:eastAsia="Arial" w:hAnsi="Arial"/>
                <w:sz w:val="17"/>
                <w:szCs w:val="17"/>
                <w:color w:val="auto"/>
              </w:rPr>
              <w:t>(62.3)</w:t>
            </w:r>
          </w:p>
        </w:tc>
        <w:tc>
          <w:tcPr>
            <w:tcW w:w="1000" w:type="dxa"/>
            <w:vAlign w:val="bottom"/>
          </w:tcPr>
          <w:p>
            <w:pPr>
              <w:jc w:val="right"/>
              <w:spacing w:after="0"/>
              <w:rPr>
                <w:sz w:val="20"/>
                <w:szCs w:val="20"/>
                <w:color w:val="auto"/>
              </w:rPr>
            </w:pPr>
            <w:r>
              <w:rPr>
                <w:rFonts w:ascii="Arial" w:cs="Arial" w:eastAsia="Arial" w:hAnsi="Arial"/>
                <w:sz w:val="17"/>
                <w:szCs w:val="17"/>
                <w:color w:val="auto"/>
              </w:rPr>
              <w:t>(31) %</w:t>
            </w:r>
          </w:p>
        </w:tc>
        <w:tc>
          <w:tcPr>
            <w:tcW w:w="0" w:type="dxa"/>
            <w:vAlign w:val="bottom"/>
          </w:tcPr>
          <w:p>
            <w:pPr>
              <w:spacing w:after="0"/>
              <w:rPr>
                <w:sz w:val="1"/>
                <w:szCs w:val="1"/>
                <w:color w:val="auto"/>
              </w:rPr>
            </w:pPr>
          </w:p>
        </w:tc>
      </w:tr>
      <w:tr>
        <w:trPr>
          <w:trHeight w:val="225"/>
        </w:trPr>
        <w:tc>
          <w:tcPr>
            <w:tcW w:w="5080" w:type="dxa"/>
            <w:vAlign w:val="bottom"/>
          </w:tcPr>
          <w:p>
            <w:pPr>
              <w:spacing w:after="0"/>
              <w:rPr>
                <w:sz w:val="20"/>
                <w:szCs w:val="20"/>
                <w:color w:val="auto"/>
              </w:rPr>
            </w:pPr>
            <w:r>
              <w:rPr>
                <w:rFonts w:ascii="Arial" w:cs="Arial" w:eastAsia="Arial" w:hAnsi="Arial"/>
                <w:sz w:val="17"/>
                <w:szCs w:val="17"/>
                <w:color w:val="auto"/>
              </w:rPr>
              <w:t>Income taxes</w:t>
            </w:r>
          </w:p>
        </w:tc>
        <w:tc>
          <w:tcPr>
            <w:tcW w:w="1180" w:type="dxa"/>
            <w:vAlign w:val="bottom"/>
          </w:tcPr>
          <w:p>
            <w:pPr>
              <w:jc w:val="right"/>
              <w:ind w:right="58"/>
              <w:spacing w:after="0"/>
              <w:rPr>
                <w:sz w:val="20"/>
                <w:szCs w:val="20"/>
                <w:color w:val="auto"/>
              </w:rPr>
            </w:pPr>
            <w:r>
              <w:rPr>
                <w:rFonts w:ascii="Arial" w:cs="Arial" w:eastAsia="Arial" w:hAnsi="Arial"/>
                <w:sz w:val="17"/>
                <w:szCs w:val="17"/>
                <w:b w:val="1"/>
                <w:bCs w:val="1"/>
                <w:color w:val="auto"/>
              </w:rPr>
              <w:t>52.7</w:t>
            </w:r>
          </w:p>
        </w:tc>
        <w:tc>
          <w:tcPr>
            <w:tcW w:w="1380" w:type="dxa"/>
            <w:vAlign w:val="bottom"/>
            <w:gridSpan w:val="2"/>
          </w:tcPr>
          <w:p>
            <w:pPr>
              <w:jc w:val="right"/>
              <w:ind w:right="58"/>
              <w:spacing w:after="0"/>
              <w:rPr>
                <w:sz w:val="20"/>
                <w:szCs w:val="20"/>
                <w:color w:val="auto"/>
              </w:rPr>
            </w:pPr>
            <w:r>
              <w:rPr>
                <w:rFonts w:ascii="Arial" w:cs="Arial" w:eastAsia="Arial" w:hAnsi="Arial"/>
                <w:sz w:val="17"/>
                <w:szCs w:val="17"/>
                <w:color w:val="auto"/>
              </w:rPr>
              <w:t>63.4</w:t>
            </w:r>
          </w:p>
        </w:tc>
        <w:tc>
          <w:tcPr>
            <w:tcW w:w="1160" w:type="dxa"/>
            <w:vAlign w:val="bottom"/>
            <w:gridSpan w:val="2"/>
          </w:tcPr>
          <w:p>
            <w:pPr>
              <w:jc w:val="right"/>
              <w:spacing w:after="0"/>
              <w:rPr>
                <w:sz w:val="20"/>
                <w:szCs w:val="20"/>
                <w:color w:val="auto"/>
              </w:rPr>
            </w:pPr>
            <w:r>
              <w:rPr>
                <w:rFonts w:ascii="Arial" w:cs="Arial" w:eastAsia="Arial" w:hAnsi="Arial"/>
                <w:sz w:val="17"/>
                <w:szCs w:val="17"/>
                <w:color w:val="auto"/>
              </w:rPr>
              <w:t>(10.7)</w:t>
            </w:r>
          </w:p>
        </w:tc>
        <w:tc>
          <w:tcPr>
            <w:tcW w:w="1000" w:type="dxa"/>
            <w:vAlign w:val="bottom"/>
          </w:tcPr>
          <w:p>
            <w:pPr>
              <w:jc w:val="right"/>
              <w:spacing w:after="0"/>
              <w:rPr>
                <w:sz w:val="20"/>
                <w:szCs w:val="20"/>
                <w:color w:val="auto"/>
              </w:rPr>
            </w:pPr>
            <w:r>
              <w:rPr>
                <w:rFonts w:ascii="Arial" w:cs="Arial" w:eastAsia="Arial" w:hAnsi="Arial"/>
                <w:sz w:val="17"/>
                <w:szCs w:val="17"/>
                <w:color w:val="auto"/>
              </w:rPr>
              <w:t>(17) %</w:t>
            </w:r>
          </w:p>
        </w:tc>
        <w:tc>
          <w:tcPr>
            <w:tcW w:w="0" w:type="dxa"/>
            <w:vAlign w:val="bottom"/>
          </w:tcPr>
          <w:p>
            <w:pPr>
              <w:spacing w:after="0"/>
              <w:rPr>
                <w:sz w:val="1"/>
                <w:szCs w:val="1"/>
                <w:color w:val="auto"/>
              </w:rPr>
            </w:pPr>
          </w:p>
        </w:tc>
      </w:tr>
      <w:tr>
        <w:trPr>
          <w:trHeight w:val="225"/>
        </w:trPr>
        <w:tc>
          <w:tcPr>
            <w:tcW w:w="5080" w:type="dxa"/>
            <w:vAlign w:val="bottom"/>
          </w:tcPr>
          <w:p>
            <w:pPr>
              <w:spacing w:after="0"/>
              <w:rPr>
                <w:sz w:val="20"/>
                <w:szCs w:val="20"/>
                <w:color w:val="auto"/>
              </w:rPr>
            </w:pPr>
            <w:r>
              <w:rPr>
                <w:rFonts w:ascii="Arial" w:cs="Arial" w:eastAsia="Arial" w:hAnsi="Arial"/>
                <w:sz w:val="17"/>
                <w:szCs w:val="17"/>
                <w:color w:val="auto"/>
              </w:rPr>
              <w:t>Interest expense, net*</w:t>
            </w:r>
          </w:p>
        </w:tc>
        <w:tc>
          <w:tcPr>
            <w:tcW w:w="1180" w:type="dxa"/>
            <w:vAlign w:val="bottom"/>
          </w:tcPr>
          <w:p>
            <w:pPr>
              <w:jc w:val="right"/>
              <w:ind w:right="58"/>
              <w:spacing w:after="0"/>
              <w:rPr>
                <w:sz w:val="20"/>
                <w:szCs w:val="20"/>
                <w:color w:val="auto"/>
              </w:rPr>
            </w:pPr>
            <w:r>
              <w:rPr>
                <w:rFonts w:ascii="Arial" w:cs="Arial" w:eastAsia="Arial" w:hAnsi="Arial"/>
                <w:sz w:val="17"/>
                <w:szCs w:val="17"/>
                <w:b w:val="1"/>
                <w:bCs w:val="1"/>
                <w:color w:val="auto"/>
              </w:rPr>
              <w:t>58.2</w:t>
            </w:r>
          </w:p>
        </w:tc>
        <w:tc>
          <w:tcPr>
            <w:tcW w:w="1380" w:type="dxa"/>
            <w:vAlign w:val="bottom"/>
            <w:gridSpan w:val="2"/>
          </w:tcPr>
          <w:p>
            <w:pPr>
              <w:jc w:val="right"/>
              <w:ind w:right="58"/>
              <w:spacing w:after="0"/>
              <w:rPr>
                <w:sz w:val="20"/>
                <w:szCs w:val="20"/>
                <w:color w:val="auto"/>
              </w:rPr>
            </w:pPr>
            <w:r>
              <w:rPr>
                <w:rFonts w:ascii="Arial" w:cs="Arial" w:eastAsia="Arial" w:hAnsi="Arial"/>
                <w:sz w:val="17"/>
                <w:szCs w:val="17"/>
                <w:color w:val="auto"/>
              </w:rPr>
              <w:t>41.4</w:t>
            </w:r>
          </w:p>
        </w:tc>
        <w:tc>
          <w:tcPr>
            <w:tcW w:w="1160" w:type="dxa"/>
            <w:vAlign w:val="bottom"/>
            <w:gridSpan w:val="2"/>
          </w:tcPr>
          <w:p>
            <w:pPr>
              <w:jc w:val="right"/>
              <w:ind w:right="58"/>
              <w:spacing w:after="0"/>
              <w:rPr>
                <w:sz w:val="20"/>
                <w:szCs w:val="20"/>
                <w:color w:val="auto"/>
              </w:rPr>
            </w:pPr>
            <w:r>
              <w:rPr>
                <w:rFonts w:ascii="Arial" w:cs="Arial" w:eastAsia="Arial" w:hAnsi="Arial"/>
                <w:sz w:val="17"/>
                <w:szCs w:val="17"/>
                <w:color w:val="auto"/>
              </w:rPr>
              <w:t>16.8</w:t>
            </w:r>
          </w:p>
        </w:tc>
        <w:tc>
          <w:tcPr>
            <w:tcW w:w="1000" w:type="dxa"/>
            <w:vAlign w:val="bottom"/>
          </w:tcPr>
          <w:p>
            <w:pPr>
              <w:jc w:val="right"/>
              <w:spacing w:after="0"/>
              <w:rPr>
                <w:sz w:val="20"/>
                <w:szCs w:val="20"/>
                <w:color w:val="auto"/>
              </w:rPr>
            </w:pPr>
            <w:r>
              <w:rPr>
                <w:rFonts w:ascii="Arial" w:cs="Arial" w:eastAsia="Arial" w:hAnsi="Arial"/>
                <w:sz w:val="17"/>
                <w:szCs w:val="17"/>
                <w:color w:val="auto"/>
              </w:rPr>
              <w:t>41 %</w:t>
            </w:r>
          </w:p>
        </w:tc>
        <w:tc>
          <w:tcPr>
            <w:tcW w:w="0" w:type="dxa"/>
            <w:vAlign w:val="bottom"/>
          </w:tcPr>
          <w:p>
            <w:pPr>
              <w:spacing w:after="0"/>
              <w:rPr>
                <w:sz w:val="1"/>
                <w:szCs w:val="1"/>
                <w:color w:val="auto"/>
              </w:rPr>
            </w:pPr>
          </w:p>
        </w:tc>
      </w:tr>
      <w:tr>
        <w:trPr>
          <w:trHeight w:val="231"/>
        </w:trPr>
        <w:tc>
          <w:tcPr>
            <w:tcW w:w="5080" w:type="dxa"/>
            <w:vAlign w:val="bottom"/>
          </w:tcPr>
          <w:p>
            <w:pPr>
              <w:spacing w:after="0"/>
              <w:rPr>
                <w:sz w:val="20"/>
                <w:szCs w:val="20"/>
                <w:color w:val="auto"/>
              </w:rPr>
            </w:pPr>
            <w:r>
              <w:rPr>
                <w:rFonts w:ascii="Arial" w:cs="Arial" w:eastAsia="Arial" w:hAnsi="Arial"/>
                <w:sz w:val="17"/>
                <w:szCs w:val="17"/>
                <w:color w:val="auto"/>
              </w:rPr>
              <w:t>Depreciation and amortization</w:t>
            </w:r>
          </w:p>
        </w:tc>
        <w:tc>
          <w:tcPr>
            <w:tcW w:w="1180" w:type="dxa"/>
            <w:vAlign w:val="bottom"/>
          </w:tcPr>
          <w:p>
            <w:pPr>
              <w:jc w:val="right"/>
              <w:ind w:right="58"/>
              <w:spacing w:after="0"/>
              <w:rPr>
                <w:sz w:val="20"/>
                <w:szCs w:val="20"/>
                <w:color w:val="auto"/>
              </w:rPr>
            </w:pPr>
            <w:r>
              <w:rPr>
                <w:rFonts w:ascii="Arial" w:cs="Arial" w:eastAsia="Arial" w:hAnsi="Arial"/>
                <w:sz w:val="17"/>
                <w:szCs w:val="17"/>
                <w:b w:val="1"/>
                <w:bCs w:val="1"/>
                <w:color w:val="auto"/>
              </w:rPr>
              <w:t>149.6</w:t>
            </w:r>
          </w:p>
        </w:tc>
        <w:tc>
          <w:tcPr>
            <w:tcW w:w="1380" w:type="dxa"/>
            <w:vAlign w:val="bottom"/>
            <w:gridSpan w:val="2"/>
          </w:tcPr>
          <w:p>
            <w:pPr>
              <w:jc w:val="right"/>
              <w:ind w:right="58"/>
              <w:spacing w:after="0"/>
              <w:rPr>
                <w:sz w:val="20"/>
                <w:szCs w:val="20"/>
                <w:color w:val="auto"/>
              </w:rPr>
            </w:pPr>
            <w:r>
              <w:rPr>
                <w:rFonts w:ascii="Arial" w:cs="Arial" w:eastAsia="Arial" w:hAnsi="Arial"/>
                <w:sz w:val="17"/>
                <w:szCs w:val="17"/>
                <w:color w:val="auto"/>
              </w:rPr>
              <w:t>139.8</w:t>
            </w:r>
          </w:p>
        </w:tc>
        <w:tc>
          <w:tcPr>
            <w:tcW w:w="1160" w:type="dxa"/>
            <w:vAlign w:val="bottom"/>
            <w:gridSpan w:val="2"/>
          </w:tcPr>
          <w:p>
            <w:pPr>
              <w:jc w:val="right"/>
              <w:ind w:right="58"/>
              <w:spacing w:after="0"/>
              <w:rPr>
                <w:sz w:val="20"/>
                <w:szCs w:val="20"/>
                <w:color w:val="auto"/>
              </w:rPr>
            </w:pPr>
            <w:r>
              <w:rPr>
                <w:rFonts w:ascii="Arial" w:cs="Arial" w:eastAsia="Arial" w:hAnsi="Arial"/>
                <w:sz w:val="17"/>
                <w:szCs w:val="17"/>
                <w:color w:val="auto"/>
              </w:rPr>
              <w:t>9.8</w:t>
            </w:r>
          </w:p>
        </w:tc>
        <w:tc>
          <w:tcPr>
            <w:tcW w:w="1000" w:type="dxa"/>
            <w:vAlign w:val="bottom"/>
          </w:tcPr>
          <w:p>
            <w:pPr>
              <w:jc w:val="right"/>
              <w:spacing w:after="0"/>
              <w:rPr>
                <w:sz w:val="20"/>
                <w:szCs w:val="20"/>
                <w:color w:val="auto"/>
              </w:rPr>
            </w:pPr>
            <w:r>
              <w:rPr>
                <w:rFonts w:ascii="Arial" w:cs="Arial" w:eastAsia="Arial" w:hAnsi="Arial"/>
                <w:sz w:val="17"/>
                <w:szCs w:val="17"/>
                <w:color w:val="auto"/>
              </w:rPr>
              <w:t>7 %</w:t>
            </w:r>
          </w:p>
        </w:tc>
        <w:tc>
          <w:tcPr>
            <w:tcW w:w="0" w:type="dxa"/>
            <w:vAlign w:val="bottom"/>
          </w:tcPr>
          <w:p>
            <w:pPr>
              <w:spacing w:after="0"/>
              <w:rPr>
                <w:sz w:val="1"/>
                <w:szCs w:val="1"/>
                <w:color w:val="auto"/>
              </w:rPr>
            </w:pPr>
          </w:p>
        </w:tc>
      </w:tr>
      <w:tr>
        <w:trPr>
          <w:trHeight w:val="266"/>
        </w:trPr>
        <w:tc>
          <w:tcPr>
            <w:tcW w:w="5080" w:type="dxa"/>
            <w:vAlign w:val="bottom"/>
          </w:tcPr>
          <w:p>
            <w:pPr>
              <w:spacing w:after="0" w:line="266" w:lineRule="exact"/>
              <w:rPr>
                <w:sz w:val="20"/>
                <w:szCs w:val="20"/>
                <w:color w:val="auto"/>
              </w:rPr>
            </w:pPr>
            <w:r>
              <w:rPr>
                <w:rFonts w:ascii="Arial" w:cs="Arial" w:eastAsia="Arial" w:hAnsi="Arial"/>
                <w:sz w:val="17"/>
                <w:szCs w:val="17"/>
                <w:color w:val="auto"/>
              </w:rPr>
              <w:t>Legal expenses related to 2017 cybersecurity incident</w:t>
            </w:r>
            <w:r>
              <w:rPr>
                <w:rFonts w:ascii="Arial" w:cs="Arial" w:eastAsia="Arial" w:hAnsi="Arial"/>
                <w:sz w:val="27"/>
                <w:szCs w:val="27"/>
                <w:color w:val="auto"/>
              </w:rPr>
              <w:t xml:space="preserve"> </w:t>
            </w:r>
            <w:r>
              <w:rPr>
                <w:rFonts w:ascii="Arial" w:cs="Arial" w:eastAsia="Arial" w:hAnsi="Arial"/>
                <w:sz w:val="27"/>
                <w:szCs w:val="27"/>
                <w:color w:val="auto"/>
                <w:vertAlign w:val="superscript"/>
              </w:rPr>
              <w:t>(1)</w:t>
            </w:r>
          </w:p>
        </w:tc>
        <w:tc>
          <w:tcPr>
            <w:tcW w:w="1180" w:type="dxa"/>
            <w:vAlign w:val="bottom"/>
          </w:tcPr>
          <w:p>
            <w:pPr>
              <w:jc w:val="right"/>
              <w:ind w:right="58"/>
              <w:spacing w:after="0"/>
              <w:rPr>
                <w:sz w:val="20"/>
                <w:szCs w:val="20"/>
                <w:color w:val="auto"/>
              </w:rPr>
            </w:pPr>
            <w:r>
              <w:rPr>
                <w:rFonts w:ascii="Arial" w:cs="Arial" w:eastAsia="Arial" w:hAnsi="Arial"/>
                <w:sz w:val="17"/>
                <w:szCs w:val="17"/>
                <w:b w:val="1"/>
                <w:bCs w:val="1"/>
                <w:color w:val="auto"/>
              </w:rPr>
              <w:t>0.3</w:t>
            </w:r>
          </w:p>
        </w:tc>
        <w:tc>
          <w:tcPr>
            <w:tcW w:w="1380" w:type="dxa"/>
            <w:vAlign w:val="bottom"/>
            <w:gridSpan w:val="2"/>
          </w:tcPr>
          <w:p>
            <w:pPr>
              <w:jc w:val="right"/>
              <w:ind w:right="58"/>
              <w:spacing w:after="0"/>
              <w:rPr>
                <w:sz w:val="20"/>
                <w:szCs w:val="20"/>
                <w:color w:val="auto"/>
              </w:rPr>
            </w:pPr>
            <w:r>
              <w:rPr>
                <w:rFonts w:ascii="Arial" w:cs="Arial" w:eastAsia="Arial" w:hAnsi="Arial"/>
                <w:sz w:val="17"/>
                <w:szCs w:val="17"/>
                <w:color w:val="auto"/>
              </w:rPr>
              <w:t>0.5</w:t>
            </w:r>
          </w:p>
        </w:tc>
        <w:tc>
          <w:tcPr>
            <w:tcW w:w="1160" w:type="dxa"/>
            <w:vAlign w:val="bottom"/>
            <w:gridSpan w:val="2"/>
          </w:tcPr>
          <w:p>
            <w:pPr>
              <w:jc w:val="right"/>
              <w:ind w:right="18"/>
              <w:spacing w:after="0"/>
              <w:rPr>
                <w:sz w:val="20"/>
                <w:szCs w:val="20"/>
                <w:color w:val="auto"/>
              </w:rPr>
            </w:pPr>
            <w:r>
              <w:rPr>
                <w:rFonts w:ascii="Arial" w:cs="Arial" w:eastAsia="Arial" w:hAnsi="Arial"/>
                <w:sz w:val="17"/>
                <w:szCs w:val="17"/>
                <w:color w:val="auto"/>
              </w:rPr>
              <w:t>(0.2)</w:t>
            </w:r>
          </w:p>
        </w:tc>
        <w:tc>
          <w:tcPr>
            <w:tcW w:w="1000" w:type="dxa"/>
            <w:vAlign w:val="bottom"/>
          </w:tcPr>
          <w:p>
            <w:pPr>
              <w:jc w:val="right"/>
              <w:spacing w:after="0"/>
              <w:rPr>
                <w:sz w:val="20"/>
                <w:szCs w:val="20"/>
                <w:color w:val="auto"/>
              </w:rPr>
            </w:pPr>
            <w:r>
              <w:rPr>
                <w:rFonts w:ascii="Arial" w:cs="Arial" w:eastAsia="Arial" w:hAnsi="Arial"/>
                <w:sz w:val="17"/>
                <w:szCs w:val="17"/>
                <w:color w:val="auto"/>
              </w:rPr>
              <w:t>(40) %</w:t>
            </w:r>
          </w:p>
        </w:tc>
        <w:tc>
          <w:tcPr>
            <w:tcW w:w="0" w:type="dxa"/>
            <w:vAlign w:val="bottom"/>
          </w:tcPr>
          <w:p>
            <w:pPr>
              <w:spacing w:after="0"/>
              <w:rPr>
                <w:sz w:val="1"/>
                <w:szCs w:val="1"/>
                <w:color w:val="auto"/>
              </w:rPr>
            </w:pPr>
          </w:p>
        </w:tc>
      </w:tr>
      <w:tr>
        <w:trPr>
          <w:trHeight w:val="211"/>
        </w:trPr>
        <w:tc>
          <w:tcPr>
            <w:tcW w:w="5080" w:type="dxa"/>
            <w:vAlign w:val="bottom"/>
          </w:tcPr>
          <w:p>
            <w:pPr>
              <w:spacing w:after="0"/>
              <w:rPr>
                <w:sz w:val="20"/>
                <w:szCs w:val="20"/>
                <w:color w:val="auto"/>
              </w:rPr>
            </w:pPr>
            <w:r>
              <w:rPr>
                <w:rFonts w:ascii="Arial" w:cs="Arial" w:eastAsia="Arial" w:hAnsi="Arial"/>
                <w:sz w:val="17"/>
                <w:szCs w:val="17"/>
                <w:color w:val="auto"/>
              </w:rPr>
              <w:t>Fair market value adjustment and gain on sale of equity</w:t>
            </w:r>
          </w:p>
        </w:tc>
        <w:tc>
          <w:tcPr>
            <w:tcW w:w="118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2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020" w:type="dxa"/>
            <w:vAlign w:val="bottom"/>
          </w:tcPr>
          <w:p>
            <w:pPr>
              <w:spacing w:after="0"/>
              <w:rPr>
                <w:sz w:val="18"/>
                <w:szCs w:val="18"/>
                <w:color w:val="auto"/>
              </w:rPr>
            </w:pPr>
          </w:p>
        </w:tc>
        <w:tc>
          <w:tcPr>
            <w:tcW w:w="10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70"/>
        </w:trPr>
        <w:tc>
          <w:tcPr>
            <w:tcW w:w="5080" w:type="dxa"/>
            <w:vAlign w:val="bottom"/>
          </w:tcPr>
          <w:p>
            <w:pPr>
              <w:spacing w:after="0" w:line="270" w:lineRule="exact"/>
              <w:rPr>
                <w:sz w:val="20"/>
                <w:szCs w:val="20"/>
                <w:color w:val="auto"/>
              </w:rPr>
            </w:pPr>
            <w:r>
              <w:rPr>
                <w:rFonts w:ascii="Arial" w:cs="Arial" w:eastAsia="Arial" w:hAnsi="Arial"/>
                <w:sz w:val="17"/>
                <w:szCs w:val="17"/>
                <w:color w:val="auto"/>
              </w:rPr>
              <w:t>investments</w:t>
            </w:r>
            <w:r>
              <w:rPr>
                <w:rFonts w:ascii="Arial" w:cs="Arial" w:eastAsia="Arial" w:hAnsi="Arial"/>
                <w:sz w:val="27"/>
                <w:szCs w:val="27"/>
                <w:color w:val="auto"/>
              </w:rPr>
              <w:t xml:space="preserve"> </w:t>
            </w:r>
            <w:r>
              <w:rPr>
                <w:rFonts w:ascii="Arial" w:cs="Arial" w:eastAsia="Arial" w:hAnsi="Arial"/>
                <w:sz w:val="27"/>
                <w:szCs w:val="27"/>
                <w:color w:val="auto"/>
                <w:vertAlign w:val="superscript"/>
              </w:rPr>
              <w:t>(2)</w:t>
            </w:r>
          </w:p>
        </w:tc>
        <w:tc>
          <w:tcPr>
            <w:tcW w:w="1180" w:type="dxa"/>
            <w:vAlign w:val="bottom"/>
          </w:tcPr>
          <w:p>
            <w:pPr>
              <w:jc w:val="right"/>
              <w:spacing w:after="0"/>
              <w:rPr>
                <w:sz w:val="20"/>
                <w:szCs w:val="20"/>
                <w:color w:val="auto"/>
              </w:rPr>
            </w:pPr>
            <w:r>
              <w:rPr>
                <w:rFonts w:ascii="Arial" w:cs="Arial" w:eastAsia="Arial" w:hAnsi="Arial"/>
                <w:sz w:val="17"/>
                <w:szCs w:val="17"/>
                <w:b w:val="1"/>
                <w:bCs w:val="1"/>
                <w:color w:val="auto"/>
              </w:rPr>
              <w:t>(10.5)</w:t>
            </w:r>
          </w:p>
        </w:tc>
        <w:tc>
          <w:tcPr>
            <w:tcW w:w="1380" w:type="dxa"/>
            <w:vAlign w:val="bottom"/>
            <w:gridSpan w:val="2"/>
          </w:tcPr>
          <w:p>
            <w:pPr>
              <w:jc w:val="right"/>
              <w:ind w:right="58"/>
              <w:spacing w:after="0"/>
              <w:rPr>
                <w:sz w:val="20"/>
                <w:szCs w:val="20"/>
                <w:color w:val="auto"/>
              </w:rPr>
            </w:pPr>
            <w:r>
              <w:rPr>
                <w:rFonts w:ascii="Arial" w:cs="Arial" w:eastAsia="Arial" w:hAnsi="Arial"/>
                <w:sz w:val="17"/>
                <w:szCs w:val="17"/>
                <w:color w:val="auto"/>
              </w:rPr>
              <w:t>6.7</w:t>
            </w:r>
          </w:p>
        </w:tc>
        <w:tc>
          <w:tcPr>
            <w:tcW w:w="1160" w:type="dxa"/>
            <w:vAlign w:val="bottom"/>
            <w:gridSpan w:val="2"/>
          </w:tcPr>
          <w:p>
            <w:pPr>
              <w:jc w:val="right"/>
              <w:spacing w:after="0"/>
              <w:rPr>
                <w:sz w:val="20"/>
                <w:szCs w:val="20"/>
                <w:color w:val="auto"/>
              </w:rPr>
            </w:pPr>
            <w:r>
              <w:rPr>
                <w:rFonts w:ascii="Arial" w:cs="Arial" w:eastAsia="Arial" w:hAnsi="Arial"/>
                <w:sz w:val="17"/>
                <w:szCs w:val="17"/>
                <w:color w:val="auto"/>
              </w:rPr>
              <w:t>(17.2)</w:t>
            </w:r>
          </w:p>
        </w:tc>
        <w:tc>
          <w:tcPr>
            <w:tcW w:w="1000" w:type="dxa"/>
            <w:vAlign w:val="bottom"/>
          </w:tcPr>
          <w:p>
            <w:pPr>
              <w:jc w:val="right"/>
              <w:spacing w:after="0"/>
              <w:rPr>
                <w:sz w:val="20"/>
                <w:szCs w:val="20"/>
                <w:color w:val="auto"/>
              </w:rPr>
            </w:pPr>
            <w:r>
              <w:rPr>
                <w:rFonts w:ascii="Arial" w:cs="Arial" w:eastAsia="Arial" w:hAnsi="Arial"/>
                <w:sz w:val="17"/>
                <w:szCs w:val="17"/>
                <w:color w:val="auto"/>
              </w:rPr>
              <w:t>(257) %</w:t>
            </w:r>
          </w:p>
        </w:tc>
        <w:tc>
          <w:tcPr>
            <w:tcW w:w="0" w:type="dxa"/>
            <w:vAlign w:val="bottom"/>
          </w:tcPr>
          <w:p>
            <w:pPr>
              <w:spacing w:after="0"/>
              <w:rPr>
                <w:sz w:val="1"/>
                <w:szCs w:val="1"/>
                <w:color w:val="auto"/>
              </w:rPr>
            </w:pPr>
          </w:p>
        </w:tc>
      </w:tr>
      <w:tr>
        <w:trPr>
          <w:trHeight w:val="270"/>
        </w:trPr>
        <w:tc>
          <w:tcPr>
            <w:tcW w:w="5080" w:type="dxa"/>
            <w:vAlign w:val="bottom"/>
          </w:tcPr>
          <w:p>
            <w:pPr>
              <w:spacing w:after="0" w:line="270" w:lineRule="exact"/>
              <w:rPr>
                <w:sz w:val="20"/>
                <w:szCs w:val="20"/>
                <w:color w:val="auto"/>
              </w:rPr>
            </w:pPr>
            <w:r>
              <w:rPr>
                <w:rFonts w:ascii="Arial" w:cs="Arial" w:eastAsia="Arial" w:hAnsi="Arial"/>
                <w:sz w:val="17"/>
                <w:szCs w:val="17"/>
                <w:color w:val="auto"/>
              </w:rPr>
              <w:t>Foreign currency impact of certain intercompany loans</w:t>
            </w:r>
            <w:r>
              <w:rPr>
                <w:rFonts w:ascii="Arial" w:cs="Arial" w:eastAsia="Arial" w:hAnsi="Arial"/>
                <w:sz w:val="27"/>
                <w:szCs w:val="27"/>
                <w:color w:val="auto"/>
              </w:rPr>
              <w:t xml:space="preserve"> </w:t>
            </w:r>
            <w:r>
              <w:rPr>
                <w:rFonts w:ascii="Arial" w:cs="Arial" w:eastAsia="Arial" w:hAnsi="Arial"/>
                <w:sz w:val="27"/>
                <w:szCs w:val="27"/>
                <w:color w:val="auto"/>
                <w:vertAlign w:val="superscript"/>
              </w:rPr>
              <w:t>(3)</w:t>
            </w:r>
          </w:p>
        </w:tc>
        <w:tc>
          <w:tcPr>
            <w:tcW w:w="1180" w:type="dxa"/>
            <w:vAlign w:val="bottom"/>
          </w:tcPr>
          <w:p>
            <w:pPr>
              <w:jc w:val="right"/>
              <w:spacing w:after="0"/>
              <w:rPr>
                <w:sz w:val="20"/>
                <w:szCs w:val="20"/>
                <w:color w:val="auto"/>
              </w:rPr>
            </w:pPr>
            <w:r>
              <w:rPr>
                <w:rFonts w:ascii="Arial" w:cs="Arial" w:eastAsia="Arial" w:hAnsi="Arial"/>
                <w:sz w:val="17"/>
                <w:szCs w:val="17"/>
                <w:b w:val="1"/>
                <w:bCs w:val="1"/>
                <w:color w:val="auto"/>
              </w:rPr>
              <w:t>(1.8)</w:t>
            </w:r>
          </w:p>
        </w:tc>
        <w:tc>
          <w:tcPr>
            <w:tcW w:w="1380" w:type="dxa"/>
            <w:vAlign w:val="bottom"/>
            <w:gridSpan w:val="2"/>
          </w:tcPr>
          <w:p>
            <w:pPr>
              <w:jc w:val="right"/>
              <w:spacing w:after="0"/>
              <w:rPr>
                <w:sz w:val="20"/>
                <w:szCs w:val="20"/>
                <w:color w:val="auto"/>
              </w:rPr>
            </w:pPr>
            <w:r>
              <w:rPr>
                <w:rFonts w:ascii="Arial" w:cs="Arial" w:eastAsia="Arial" w:hAnsi="Arial"/>
                <w:sz w:val="17"/>
                <w:szCs w:val="17"/>
                <w:color w:val="auto"/>
              </w:rPr>
              <w:t>(3.0)</w:t>
            </w:r>
          </w:p>
        </w:tc>
        <w:tc>
          <w:tcPr>
            <w:tcW w:w="1160" w:type="dxa"/>
            <w:vAlign w:val="bottom"/>
            <w:gridSpan w:val="2"/>
          </w:tcPr>
          <w:p>
            <w:pPr>
              <w:jc w:val="right"/>
              <w:ind w:right="58"/>
              <w:spacing w:after="0"/>
              <w:rPr>
                <w:sz w:val="20"/>
                <w:szCs w:val="20"/>
                <w:color w:val="auto"/>
              </w:rPr>
            </w:pPr>
            <w:r>
              <w:rPr>
                <w:rFonts w:ascii="Arial" w:cs="Arial" w:eastAsia="Arial" w:hAnsi="Arial"/>
                <w:sz w:val="17"/>
                <w:szCs w:val="17"/>
                <w:color w:val="auto"/>
              </w:rPr>
              <w:t>1.2</w:t>
            </w:r>
          </w:p>
        </w:tc>
        <w:tc>
          <w:tcPr>
            <w:tcW w:w="1000" w:type="dxa"/>
            <w:vAlign w:val="bottom"/>
          </w:tcPr>
          <w:p>
            <w:pPr>
              <w:jc w:val="right"/>
              <w:spacing w:after="0"/>
              <w:rPr>
                <w:sz w:val="20"/>
                <w:szCs w:val="20"/>
                <w:color w:val="auto"/>
              </w:rPr>
            </w:pPr>
            <w:r>
              <w:rPr>
                <w:rFonts w:ascii="Arial" w:cs="Arial" w:eastAsia="Arial" w:hAnsi="Arial"/>
                <w:sz w:val="17"/>
                <w:szCs w:val="17"/>
                <w:color w:val="auto"/>
              </w:rPr>
              <w:t>(40) %</w:t>
            </w:r>
          </w:p>
        </w:tc>
        <w:tc>
          <w:tcPr>
            <w:tcW w:w="0" w:type="dxa"/>
            <w:vAlign w:val="bottom"/>
          </w:tcPr>
          <w:p>
            <w:pPr>
              <w:spacing w:after="0"/>
              <w:rPr>
                <w:sz w:val="1"/>
                <w:szCs w:val="1"/>
                <w:color w:val="auto"/>
              </w:rPr>
            </w:pPr>
          </w:p>
        </w:tc>
      </w:tr>
      <w:tr>
        <w:trPr>
          <w:trHeight w:val="270"/>
        </w:trPr>
        <w:tc>
          <w:tcPr>
            <w:tcW w:w="5080" w:type="dxa"/>
            <w:vAlign w:val="bottom"/>
          </w:tcPr>
          <w:p>
            <w:pPr>
              <w:spacing w:after="0" w:line="270" w:lineRule="exact"/>
              <w:rPr>
                <w:sz w:val="20"/>
                <w:szCs w:val="20"/>
                <w:color w:val="auto"/>
              </w:rPr>
            </w:pPr>
            <w:r>
              <w:rPr>
                <w:rFonts w:ascii="Arial" w:cs="Arial" w:eastAsia="Arial" w:hAnsi="Arial"/>
                <w:sz w:val="17"/>
                <w:szCs w:val="17"/>
                <w:color w:val="auto"/>
              </w:rPr>
              <w:t>Acquisition-related amounts other than acquisition amortization</w:t>
            </w:r>
            <w:r>
              <w:rPr>
                <w:rFonts w:ascii="Arial" w:cs="Arial" w:eastAsia="Arial" w:hAnsi="Arial"/>
                <w:sz w:val="27"/>
                <w:szCs w:val="27"/>
                <w:color w:val="auto"/>
              </w:rPr>
              <w:t xml:space="preserve"> </w:t>
            </w:r>
            <w:r>
              <w:rPr>
                <w:rFonts w:ascii="Arial" w:cs="Arial" w:eastAsia="Arial" w:hAnsi="Arial"/>
                <w:sz w:val="27"/>
                <w:szCs w:val="27"/>
                <w:color w:val="auto"/>
                <w:vertAlign w:val="superscript"/>
              </w:rPr>
              <w:t>(4)</w:t>
            </w:r>
          </w:p>
        </w:tc>
        <w:tc>
          <w:tcPr>
            <w:tcW w:w="1180" w:type="dxa"/>
            <w:vAlign w:val="bottom"/>
          </w:tcPr>
          <w:p>
            <w:pPr>
              <w:jc w:val="right"/>
              <w:ind w:right="58"/>
              <w:spacing w:after="0"/>
              <w:rPr>
                <w:sz w:val="20"/>
                <w:szCs w:val="20"/>
                <w:color w:val="auto"/>
              </w:rPr>
            </w:pPr>
            <w:r>
              <w:rPr>
                <w:rFonts w:ascii="Arial" w:cs="Arial" w:eastAsia="Arial" w:hAnsi="Arial"/>
                <w:sz w:val="17"/>
                <w:szCs w:val="17"/>
                <w:b w:val="1"/>
                <w:bCs w:val="1"/>
                <w:color w:val="auto"/>
              </w:rPr>
              <w:t>26.9</w:t>
            </w:r>
          </w:p>
        </w:tc>
        <w:tc>
          <w:tcPr>
            <w:tcW w:w="1380" w:type="dxa"/>
            <w:vAlign w:val="bottom"/>
            <w:gridSpan w:val="2"/>
          </w:tcPr>
          <w:p>
            <w:pPr>
              <w:jc w:val="right"/>
              <w:ind w:right="58"/>
              <w:spacing w:after="0"/>
              <w:rPr>
                <w:sz w:val="20"/>
                <w:szCs w:val="20"/>
                <w:color w:val="auto"/>
              </w:rPr>
            </w:pPr>
            <w:r>
              <w:rPr>
                <w:rFonts w:ascii="Arial" w:cs="Arial" w:eastAsia="Arial" w:hAnsi="Arial"/>
                <w:sz w:val="17"/>
                <w:szCs w:val="17"/>
                <w:color w:val="auto"/>
              </w:rPr>
              <w:t>12.0</w:t>
            </w:r>
          </w:p>
        </w:tc>
        <w:tc>
          <w:tcPr>
            <w:tcW w:w="1160" w:type="dxa"/>
            <w:vAlign w:val="bottom"/>
            <w:gridSpan w:val="2"/>
          </w:tcPr>
          <w:p>
            <w:pPr>
              <w:jc w:val="right"/>
              <w:ind w:right="58"/>
              <w:spacing w:after="0"/>
              <w:rPr>
                <w:sz w:val="20"/>
                <w:szCs w:val="20"/>
                <w:color w:val="auto"/>
              </w:rPr>
            </w:pPr>
            <w:r>
              <w:rPr>
                <w:rFonts w:ascii="Arial" w:cs="Arial" w:eastAsia="Arial" w:hAnsi="Arial"/>
                <w:sz w:val="17"/>
                <w:szCs w:val="17"/>
                <w:color w:val="auto"/>
              </w:rPr>
              <w:t>14.9</w:t>
            </w:r>
          </w:p>
        </w:tc>
        <w:tc>
          <w:tcPr>
            <w:tcW w:w="1000" w:type="dxa"/>
            <w:vAlign w:val="bottom"/>
          </w:tcPr>
          <w:p>
            <w:pPr>
              <w:jc w:val="right"/>
              <w:spacing w:after="0"/>
              <w:rPr>
                <w:sz w:val="20"/>
                <w:szCs w:val="20"/>
                <w:color w:val="auto"/>
              </w:rPr>
            </w:pPr>
            <w:r>
              <w:rPr>
                <w:rFonts w:ascii="Arial" w:cs="Arial" w:eastAsia="Arial" w:hAnsi="Arial"/>
                <w:sz w:val="17"/>
                <w:szCs w:val="17"/>
                <w:color w:val="auto"/>
              </w:rPr>
              <w:t>124 %</w:t>
            </w:r>
          </w:p>
        </w:tc>
        <w:tc>
          <w:tcPr>
            <w:tcW w:w="0" w:type="dxa"/>
            <w:vAlign w:val="bottom"/>
          </w:tcPr>
          <w:p>
            <w:pPr>
              <w:spacing w:after="0"/>
              <w:rPr>
                <w:sz w:val="1"/>
                <w:szCs w:val="1"/>
                <w:color w:val="auto"/>
              </w:rPr>
            </w:pPr>
          </w:p>
        </w:tc>
      </w:tr>
      <w:tr>
        <w:trPr>
          <w:trHeight w:val="270"/>
        </w:trPr>
        <w:tc>
          <w:tcPr>
            <w:tcW w:w="5080" w:type="dxa"/>
            <w:vAlign w:val="bottom"/>
          </w:tcPr>
          <w:p>
            <w:pPr>
              <w:spacing w:after="0" w:line="270" w:lineRule="exact"/>
              <w:rPr>
                <w:sz w:val="20"/>
                <w:szCs w:val="20"/>
                <w:color w:val="auto"/>
              </w:rPr>
            </w:pPr>
            <w:r>
              <w:rPr>
                <w:rFonts w:ascii="Arial" w:cs="Arial" w:eastAsia="Arial" w:hAnsi="Arial"/>
                <w:sz w:val="17"/>
                <w:szCs w:val="17"/>
                <w:color w:val="auto"/>
              </w:rPr>
              <w:t>Argentina highly inflationary foreign currency adjustment</w:t>
            </w:r>
            <w:r>
              <w:rPr>
                <w:rFonts w:ascii="Arial" w:cs="Arial" w:eastAsia="Arial" w:hAnsi="Arial"/>
                <w:sz w:val="27"/>
                <w:szCs w:val="27"/>
                <w:color w:val="auto"/>
              </w:rPr>
              <w:t xml:space="preserve"> </w:t>
            </w:r>
            <w:r>
              <w:rPr>
                <w:rFonts w:ascii="Arial" w:cs="Arial" w:eastAsia="Arial" w:hAnsi="Arial"/>
                <w:sz w:val="27"/>
                <w:szCs w:val="27"/>
                <w:color w:val="auto"/>
                <w:vertAlign w:val="superscript"/>
              </w:rPr>
              <w:t>(5)</w:t>
            </w:r>
          </w:p>
        </w:tc>
        <w:tc>
          <w:tcPr>
            <w:tcW w:w="1180" w:type="dxa"/>
            <w:vAlign w:val="bottom"/>
          </w:tcPr>
          <w:p>
            <w:pPr>
              <w:jc w:val="right"/>
              <w:ind w:right="58"/>
              <w:spacing w:after="0"/>
              <w:rPr>
                <w:sz w:val="20"/>
                <w:szCs w:val="20"/>
                <w:color w:val="auto"/>
              </w:rPr>
            </w:pPr>
            <w:r>
              <w:rPr>
                <w:rFonts w:ascii="Arial" w:cs="Arial" w:eastAsia="Arial" w:hAnsi="Arial"/>
                <w:sz w:val="17"/>
                <w:szCs w:val="17"/>
                <w:b w:val="1"/>
                <w:bCs w:val="1"/>
                <w:color w:val="auto"/>
              </w:rPr>
              <w:t>0.1</w:t>
            </w:r>
          </w:p>
        </w:tc>
        <w:tc>
          <w:tcPr>
            <w:tcW w:w="1380" w:type="dxa"/>
            <w:vAlign w:val="bottom"/>
            <w:gridSpan w:val="2"/>
          </w:tcPr>
          <w:p>
            <w:pPr>
              <w:jc w:val="right"/>
              <w:spacing w:after="0"/>
              <w:rPr>
                <w:sz w:val="20"/>
                <w:szCs w:val="20"/>
                <w:color w:val="auto"/>
              </w:rPr>
            </w:pPr>
            <w:r>
              <w:rPr>
                <w:rFonts w:ascii="Arial" w:cs="Arial" w:eastAsia="Arial" w:hAnsi="Arial"/>
                <w:sz w:val="17"/>
                <w:szCs w:val="17"/>
                <w:color w:val="auto"/>
              </w:rPr>
              <w:t>(0.1)</w:t>
            </w:r>
          </w:p>
        </w:tc>
        <w:tc>
          <w:tcPr>
            <w:tcW w:w="1160" w:type="dxa"/>
            <w:vAlign w:val="bottom"/>
            <w:gridSpan w:val="2"/>
          </w:tcPr>
          <w:p>
            <w:pPr>
              <w:jc w:val="right"/>
              <w:ind w:right="58"/>
              <w:spacing w:after="0"/>
              <w:rPr>
                <w:sz w:val="20"/>
                <w:szCs w:val="20"/>
                <w:color w:val="auto"/>
              </w:rPr>
            </w:pPr>
            <w:r>
              <w:rPr>
                <w:rFonts w:ascii="Arial" w:cs="Arial" w:eastAsia="Arial" w:hAnsi="Arial"/>
                <w:sz w:val="17"/>
                <w:szCs w:val="17"/>
                <w:color w:val="auto"/>
              </w:rPr>
              <w:t>0.2</w:t>
            </w:r>
          </w:p>
        </w:tc>
        <w:tc>
          <w:tcPr>
            <w:tcW w:w="1000" w:type="dxa"/>
            <w:vAlign w:val="bottom"/>
          </w:tcPr>
          <w:p>
            <w:pPr>
              <w:jc w:val="right"/>
              <w:spacing w:after="0"/>
              <w:rPr>
                <w:sz w:val="20"/>
                <w:szCs w:val="20"/>
                <w:color w:val="auto"/>
              </w:rPr>
            </w:pPr>
            <w:r>
              <w:rPr>
                <w:rFonts w:ascii="Arial" w:cs="Arial" w:eastAsia="Arial" w:hAnsi="Arial"/>
                <w:sz w:val="17"/>
                <w:szCs w:val="17"/>
                <w:color w:val="auto"/>
              </w:rPr>
              <w:t>nm</w:t>
            </w:r>
          </w:p>
        </w:tc>
        <w:tc>
          <w:tcPr>
            <w:tcW w:w="0" w:type="dxa"/>
            <w:vAlign w:val="bottom"/>
          </w:tcPr>
          <w:p>
            <w:pPr>
              <w:spacing w:after="0"/>
              <w:rPr>
                <w:sz w:val="1"/>
                <w:szCs w:val="1"/>
                <w:color w:val="auto"/>
              </w:rPr>
            </w:pPr>
          </w:p>
        </w:tc>
      </w:tr>
      <w:tr>
        <w:trPr>
          <w:trHeight w:val="252"/>
        </w:trPr>
        <w:tc>
          <w:tcPr>
            <w:tcW w:w="5080" w:type="dxa"/>
            <w:vAlign w:val="bottom"/>
          </w:tcPr>
          <w:p>
            <w:pPr>
              <w:spacing w:after="0" w:line="251" w:lineRule="exact"/>
              <w:rPr>
                <w:sz w:val="20"/>
                <w:szCs w:val="20"/>
                <w:color w:val="auto"/>
              </w:rPr>
            </w:pPr>
            <w:r>
              <w:rPr>
                <w:rFonts w:ascii="Arial" w:cs="Arial" w:eastAsia="Arial" w:hAnsi="Arial"/>
                <w:sz w:val="17"/>
                <w:szCs w:val="17"/>
                <w:color w:val="auto"/>
              </w:rPr>
              <w:t>Realignment of resources and other costs</w:t>
            </w:r>
            <w:r>
              <w:rPr>
                <w:rFonts w:ascii="Arial" w:cs="Arial" w:eastAsia="Arial" w:hAnsi="Arial"/>
                <w:sz w:val="27"/>
                <w:szCs w:val="27"/>
                <w:color w:val="auto"/>
              </w:rPr>
              <w:t xml:space="preserve"> </w:t>
            </w:r>
            <w:r>
              <w:rPr>
                <w:rFonts w:ascii="Arial" w:cs="Arial" w:eastAsia="Arial" w:hAnsi="Arial"/>
                <w:sz w:val="27"/>
                <w:szCs w:val="27"/>
                <w:color w:val="auto"/>
                <w:vertAlign w:val="superscript"/>
              </w:rPr>
              <w:t>(6)</w:t>
            </w:r>
          </w:p>
        </w:tc>
        <w:tc>
          <w:tcPr>
            <w:tcW w:w="1180" w:type="dxa"/>
            <w:vAlign w:val="bottom"/>
          </w:tcPr>
          <w:p>
            <w:pPr>
              <w:jc w:val="right"/>
              <w:ind w:right="58"/>
              <w:spacing w:after="0"/>
              <w:rPr>
                <w:sz w:val="20"/>
                <w:szCs w:val="20"/>
                <w:color w:val="auto"/>
              </w:rPr>
            </w:pPr>
            <w:r>
              <w:rPr>
                <w:rFonts w:ascii="Arial" w:cs="Arial" w:eastAsia="Arial" w:hAnsi="Arial"/>
                <w:sz w:val="17"/>
                <w:szCs w:val="17"/>
                <w:b w:val="1"/>
                <w:bCs w:val="1"/>
                <w:color w:val="auto"/>
              </w:rPr>
              <w:t>17.5</w:t>
            </w:r>
          </w:p>
        </w:tc>
        <w:tc>
          <w:tcPr>
            <w:tcW w:w="140" w:type="dxa"/>
            <w:vAlign w:val="bottom"/>
          </w:tcPr>
          <w:p>
            <w:pPr>
              <w:spacing w:after="0"/>
              <w:rPr>
                <w:sz w:val="21"/>
                <w:szCs w:val="21"/>
                <w:color w:val="auto"/>
              </w:rPr>
            </w:pPr>
          </w:p>
        </w:tc>
        <w:tc>
          <w:tcPr>
            <w:tcW w:w="1240" w:type="dxa"/>
            <w:vAlign w:val="bottom"/>
          </w:tcPr>
          <w:p>
            <w:pPr>
              <w:jc w:val="right"/>
              <w:ind w:right="58"/>
              <w:spacing w:after="0"/>
              <w:rPr>
                <w:sz w:val="20"/>
                <w:szCs w:val="20"/>
                <w:color w:val="auto"/>
              </w:rPr>
            </w:pPr>
            <w:r>
              <w:rPr>
                <w:rFonts w:ascii="Arial" w:cs="Arial" w:eastAsia="Arial" w:hAnsi="Arial"/>
                <w:sz w:val="17"/>
                <w:szCs w:val="17"/>
                <w:color w:val="auto"/>
              </w:rPr>
              <w:t>—</w:t>
            </w:r>
          </w:p>
        </w:tc>
        <w:tc>
          <w:tcPr>
            <w:tcW w:w="1160" w:type="dxa"/>
            <w:vAlign w:val="bottom"/>
            <w:gridSpan w:val="2"/>
          </w:tcPr>
          <w:p>
            <w:pPr>
              <w:jc w:val="right"/>
              <w:ind w:right="58"/>
              <w:spacing w:after="0"/>
              <w:rPr>
                <w:sz w:val="20"/>
                <w:szCs w:val="20"/>
                <w:color w:val="auto"/>
              </w:rPr>
            </w:pPr>
            <w:r>
              <w:rPr>
                <w:rFonts w:ascii="Arial" w:cs="Arial" w:eastAsia="Arial" w:hAnsi="Arial"/>
                <w:sz w:val="17"/>
                <w:szCs w:val="17"/>
                <w:color w:val="auto"/>
              </w:rPr>
              <w:t>17.5</w:t>
            </w:r>
          </w:p>
        </w:tc>
        <w:tc>
          <w:tcPr>
            <w:tcW w:w="1000" w:type="dxa"/>
            <w:vAlign w:val="bottom"/>
          </w:tcPr>
          <w:p>
            <w:pPr>
              <w:jc w:val="right"/>
              <w:spacing w:after="0"/>
              <w:rPr>
                <w:sz w:val="20"/>
                <w:szCs w:val="20"/>
                <w:color w:val="auto"/>
              </w:rPr>
            </w:pPr>
            <w:r>
              <w:rPr>
                <w:rFonts w:ascii="Arial" w:cs="Arial" w:eastAsia="Arial" w:hAnsi="Arial"/>
                <w:sz w:val="17"/>
                <w:szCs w:val="17"/>
                <w:color w:val="auto"/>
              </w:rPr>
              <w:t>nm</w:t>
            </w:r>
          </w:p>
        </w:tc>
        <w:tc>
          <w:tcPr>
            <w:tcW w:w="0" w:type="dxa"/>
            <w:vAlign w:val="bottom"/>
          </w:tcPr>
          <w:p>
            <w:pPr>
              <w:spacing w:after="0"/>
              <w:rPr>
                <w:sz w:val="1"/>
                <w:szCs w:val="1"/>
                <w:color w:val="auto"/>
              </w:rPr>
            </w:pPr>
          </w:p>
        </w:tc>
      </w:tr>
      <w:tr>
        <w:trPr>
          <w:trHeight w:val="195"/>
        </w:trPr>
        <w:tc>
          <w:tcPr>
            <w:tcW w:w="5080" w:type="dxa"/>
            <w:vAlign w:val="bottom"/>
          </w:tcPr>
          <w:p>
            <w:pPr>
              <w:spacing w:after="0"/>
              <w:rPr>
                <w:sz w:val="16"/>
                <w:szCs w:val="16"/>
                <w:color w:val="auto"/>
              </w:rPr>
            </w:pPr>
          </w:p>
        </w:tc>
        <w:tc>
          <w:tcPr>
            <w:tcW w:w="1180" w:type="dxa"/>
            <w:vAlign w:val="bottom"/>
          </w:tcPr>
          <w:p>
            <w:pPr>
              <w:jc w:val="right"/>
              <w:ind w:right="558"/>
              <w:spacing w:after="0"/>
              <w:rPr>
                <w:sz w:val="20"/>
                <w:szCs w:val="20"/>
                <w:color w:val="auto"/>
              </w:rPr>
            </w:pPr>
            <w:r>
              <w:rPr>
                <w:rFonts w:ascii="Arial" w:cs="Arial" w:eastAsia="Arial" w:hAnsi="Arial"/>
                <w:sz w:val="17"/>
                <w:szCs w:val="17"/>
                <w:b w:val="1"/>
                <w:bCs w:val="1"/>
                <w:color w:val="auto"/>
              </w:rPr>
              <w:t>$</w:t>
            </w:r>
          </w:p>
        </w:tc>
        <w:tc>
          <w:tcPr>
            <w:tcW w:w="1380" w:type="dxa"/>
            <w:vAlign w:val="bottom"/>
            <w:gridSpan w:val="2"/>
          </w:tcPr>
          <w:p>
            <w:pPr>
              <w:jc w:val="right"/>
              <w:ind w:right="618"/>
              <w:spacing w:after="0"/>
              <w:rPr>
                <w:sz w:val="20"/>
                <w:szCs w:val="20"/>
                <w:color w:val="auto"/>
              </w:rPr>
            </w:pPr>
            <w:r>
              <w:rPr>
                <w:rFonts w:ascii="Arial" w:cs="Arial" w:eastAsia="Arial" w:hAnsi="Arial"/>
                <w:sz w:val="17"/>
                <w:szCs w:val="17"/>
                <w:color w:val="auto"/>
              </w:rPr>
              <w:t>$</w:t>
            </w:r>
          </w:p>
        </w:tc>
        <w:tc>
          <w:tcPr>
            <w:tcW w:w="1160" w:type="dxa"/>
            <w:vAlign w:val="bottom"/>
            <w:gridSpan w:val="2"/>
          </w:tcPr>
          <w:p>
            <w:pPr>
              <w:jc w:val="right"/>
              <w:ind w:right="318"/>
              <w:spacing w:after="0"/>
              <w:rPr>
                <w:sz w:val="20"/>
                <w:szCs w:val="20"/>
                <w:color w:val="auto"/>
              </w:rPr>
            </w:pPr>
            <w:r>
              <w:rPr>
                <w:rFonts w:ascii="Arial" w:cs="Arial" w:eastAsia="Arial" w:hAnsi="Arial"/>
                <w:sz w:val="17"/>
                <w:szCs w:val="17"/>
                <w:color w:val="auto"/>
              </w:rPr>
              <w:t>$</w:t>
            </w:r>
          </w:p>
        </w:tc>
        <w:tc>
          <w:tcPr>
            <w:tcW w:w="10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31"/>
        </w:trPr>
        <w:tc>
          <w:tcPr>
            <w:tcW w:w="5080" w:type="dxa"/>
            <w:vAlign w:val="bottom"/>
          </w:tcPr>
          <w:p>
            <w:pPr>
              <w:spacing w:after="0"/>
              <w:rPr>
                <w:sz w:val="20"/>
                <w:szCs w:val="20"/>
                <w:color w:val="auto"/>
              </w:rPr>
            </w:pPr>
            <w:r>
              <w:rPr>
                <w:rFonts w:ascii="Arial" w:cs="Arial" w:eastAsia="Arial" w:hAnsi="Arial"/>
                <w:sz w:val="17"/>
                <w:szCs w:val="17"/>
                <w:color w:val="auto"/>
              </w:rPr>
              <w:t>Adjusted EBITDA, excluding the items listed above</w:t>
            </w:r>
          </w:p>
        </w:tc>
        <w:tc>
          <w:tcPr>
            <w:tcW w:w="1180" w:type="dxa"/>
            <w:vAlign w:val="bottom"/>
          </w:tcPr>
          <w:p>
            <w:pPr>
              <w:jc w:val="right"/>
              <w:ind w:right="58"/>
              <w:spacing w:after="0"/>
              <w:rPr>
                <w:sz w:val="20"/>
                <w:szCs w:val="20"/>
                <w:color w:val="auto"/>
              </w:rPr>
            </w:pPr>
            <w:r>
              <w:rPr>
                <w:rFonts w:ascii="Arial" w:cs="Arial" w:eastAsia="Arial" w:hAnsi="Arial"/>
                <w:sz w:val="17"/>
                <w:szCs w:val="17"/>
                <w:b w:val="1"/>
                <w:bCs w:val="1"/>
                <w:color w:val="auto"/>
              </w:rPr>
              <w:t>431.3</w:t>
            </w:r>
          </w:p>
        </w:tc>
        <w:tc>
          <w:tcPr>
            <w:tcW w:w="1380" w:type="dxa"/>
            <w:vAlign w:val="bottom"/>
            <w:gridSpan w:val="2"/>
          </w:tcPr>
          <w:p>
            <w:pPr>
              <w:jc w:val="right"/>
              <w:ind w:right="58"/>
              <w:spacing w:after="0"/>
              <w:rPr>
                <w:sz w:val="20"/>
                <w:szCs w:val="20"/>
                <w:color w:val="auto"/>
              </w:rPr>
            </w:pPr>
            <w:r>
              <w:rPr>
                <w:rFonts w:ascii="Arial" w:cs="Arial" w:eastAsia="Arial" w:hAnsi="Arial"/>
                <w:sz w:val="17"/>
                <w:szCs w:val="17"/>
                <w:color w:val="auto"/>
              </w:rPr>
              <w:t>461.3</w:t>
            </w:r>
          </w:p>
        </w:tc>
        <w:tc>
          <w:tcPr>
            <w:tcW w:w="1160" w:type="dxa"/>
            <w:vAlign w:val="bottom"/>
            <w:gridSpan w:val="2"/>
          </w:tcPr>
          <w:p>
            <w:pPr>
              <w:jc w:val="right"/>
              <w:spacing w:after="0"/>
              <w:rPr>
                <w:sz w:val="20"/>
                <w:szCs w:val="20"/>
                <w:color w:val="auto"/>
              </w:rPr>
            </w:pPr>
            <w:r>
              <w:rPr>
                <w:rFonts w:ascii="Arial" w:cs="Arial" w:eastAsia="Arial" w:hAnsi="Arial"/>
                <w:sz w:val="17"/>
                <w:szCs w:val="17"/>
                <w:color w:val="auto"/>
              </w:rPr>
              <w:t>(30.0)</w:t>
            </w:r>
          </w:p>
        </w:tc>
        <w:tc>
          <w:tcPr>
            <w:tcW w:w="1000" w:type="dxa"/>
            <w:vAlign w:val="bottom"/>
          </w:tcPr>
          <w:p>
            <w:pPr>
              <w:jc w:val="right"/>
              <w:spacing w:after="0"/>
              <w:rPr>
                <w:sz w:val="20"/>
                <w:szCs w:val="20"/>
                <w:color w:val="auto"/>
              </w:rPr>
            </w:pPr>
            <w:r>
              <w:rPr>
                <w:rFonts w:ascii="Arial" w:cs="Arial" w:eastAsia="Arial" w:hAnsi="Arial"/>
                <w:sz w:val="17"/>
                <w:szCs w:val="17"/>
                <w:color w:val="auto"/>
              </w:rPr>
              <w:t>(7) %</w:t>
            </w:r>
          </w:p>
        </w:tc>
        <w:tc>
          <w:tcPr>
            <w:tcW w:w="0" w:type="dxa"/>
            <w:vAlign w:val="bottom"/>
          </w:tcPr>
          <w:p>
            <w:pPr>
              <w:spacing w:after="0"/>
              <w:rPr>
                <w:sz w:val="1"/>
                <w:szCs w:val="1"/>
                <w:color w:val="auto"/>
              </w:rPr>
            </w:pPr>
          </w:p>
        </w:tc>
      </w:tr>
      <w:tr>
        <w:trPr>
          <w:trHeight w:val="25"/>
        </w:trPr>
        <w:tc>
          <w:tcPr>
            <w:tcW w:w="5080" w:type="dxa"/>
            <w:vAlign w:val="bottom"/>
            <w:vMerge w:val="restart"/>
          </w:tcPr>
          <w:p>
            <w:pPr>
              <w:spacing w:after="0"/>
              <w:rPr>
                <w:sz w:val="20"/>
                <w:szCs w:val="20"/>
                <w:color w:val="auto"/>
              </w:rPr>
            </w:pPr>
            <w:r>
              <w:rPr>
                <w:rFonts w:ascii="Arial" w:cs="Arial" w:eastAsia="Arial" w:hAnsi="Arial"/>
                <w:sz w:val="17"/>
                <w:szCs w:val="17"/>
                <w:color w:val="auto"/>
              </w:rPr>
              <w:t>Adjusted EBITDA margin</w:t>
            </w:r>
          </w:p>
        </w:tc>
        <w:tc>
          <w:tcPr>
            <w:tcW w:w="1180" w:type="dxa"/>
            <w:vAlign w:val="bottom"/>
            <w:tcBorders>
              <w:top w:val="single" w:sz="8" w:color="auto"/>
              <w:bottom w:val="single" w:sz="8" w:color="auto"/>
            </w:tcBorders>
          </w:tcPr>
          <w:p>
            <w:pPr>
              <w:spacing w:after="0"/>
              <w:rPr>
                <w:sz w:val="2"/>
                <w:szCs w:val="2"/>
                <w:color w:val="auto"/>
              </w:rPr>
            </w:pPr>
          </w:p>
        </w:tc>
        <w:tc>
          <w:tcPr>
            <w:tcW w:w="140" w:type="dxa"/>
            <w:vAlign w:val="bottom"/>
          </w:tcPr>
          <w:p>
            <w:pPr>
              <w:spacing w:after="0"/>
              <w:rPr>
                <w:sz w:val="2"/>
                <w:szCs w:val="2"/>
                <w:color w:val="auto"/>
              </w:rPr>
            </w:pPr>
          </w:p>
        </w:tc>
        <w:tc>
          <w:tcPr>
            <w:tcW w:w="1240" w:type="dxa"/>
            <w:vAlign w:val="bottom"/>
            <w:tcBorders>
              <w:top w:val="single" w:sz="8" w:color="auto"/>
              <w:bottom w:val="single" w:sz="8" w:color="auto"/>
            </w:tcBorders>
          </w:tcPr>
          <w:p>
            <w:pPr>
              <w:spacing w:after="0"/>
              <w:rPr>
                <w:sz w:val="2"/>
                <w:szCs w:val="2"/>
                <w:color w:val="auto"/>
              </w:rPr>
            </w:pPr>
          </w:p>
        </w:tc>
        <w:tc>
          <w:tcPr>
            <w:tcW w:w="140" w:type="dxa"/>
            <w:vAlign w:val="bottom"/>
          </w:tcPr>
          <w:p>
            <w:pPr>
              <w:spacing w:after="0"/>
              <w:rPr>
                <w:sz w:val="2"/>
                <w:szCs w:val="2"/>
                <w:color w:val="auto"/>
              </w:rPr>
            </w:pPr>
          </w:p>
        </w:tc>
        <w:tc>
          <w:tcPr>
            <w:tcW w:w="1020" w:type="dxa"/>
            <w:vAlign w:val="bottom"/>
            <w:tcBorders>
              <w:top w:val="single" w:sz="8" w:color="auto"/>
              <w:bottom w:val="single" w:sz="8" w:color="auto"/>
            </w:tcBorders>
          </w:tcPr>
          <w:p>
            <w:pPr>
              <w:spacing w:after="0"/>
              <w:rPr>
                <w:sz w:val="2"/>
                <w:szCs w:val="2"/>
                <w:color w:val="auto"/>
              </w:rPr>
            </w:pPr>
          </w:p>
        </w:tc>
        <w:tc>
          <w:tcPr>
            <w:tcW w:w="100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26"/>
        </w:trPr>
        <w:tc>
          <w:tcPr>
            <w:tcW w:w="5080" w:type="dxa"/>
            <w:vAlign w:val="bottom"/>
            <w:vMerge w:val="continue"/>
          </w:tcPr>
          <w:p>
            <w:pPr>
              <w:spacing w:after="0"/>
              <w:rPr>
                <w:sz w:val="19"/>
                <w:szCs w:val="19"/>
                <w:color w:val="auto"/>
              </w:rPr>
            </w:pPr>
          </w:p>
        </w:tc>
        <w:tc>
          <w:tcPr>
            <w:tcW w:w="1180" w:type="dxa"/>
            <w:vAlign w:val="bottom"/>
          </w:tcPr>
          <w:p>
            <w:pPr>
              <w:jc w:val="right"/>
              <w:spacing w:after="0"/>
              <w:rPr>
                <w:sz w:val="20"/>
                <w:szCs w:val="20"/>
                <w:color w:val="auto"/>
              </w:rPr>
            </w:pPr>
            <w:r>
              <w:rPr>
                <w:rFonts w:ascii="Arial" w:cs="Arial" w:eastAsia="Arial" w:hAnsi="Arial"/>
                <w:sz w:val="17"/>
                <w:szCs w:val="17"/>
                <w:b w:val="1"/>
                <w:bCs w:val="1"/>
                <w:color w:val="auto"/>
              </w:rPr>
              <w:t>32.7 %</w:t>
            </w:r>
          </w:p>
        </w:tc>
        <w:tc>
          <w:tcPr>
            <w:tcW w:w="140" w:type="dxa"/>
            <w:vAlign w:val="bottom"/>
          </w:tcPr>
          <w:p>
            <w:pPr>
              <w:spacing w:after="0"/>
              <w:rPr>
                <w:sz w:val="19"/>
                <w:szCs w:val="19"/>
                <w:color w:val="auto"/>
              </w:rPr>
            </w:pPr>
          </w:p>
        </w:tc>
        <w:tc>
          <w:tcPr>
            <w:tcW w:w="1240" w:type="dxa"/>
            <w:vAlign w:val="bottom"/>
          </w:tcPr>
          <w:p>
            <w:pPr>
              <w:jc w:val="right"/>
              <w:spacing w:after="0"/>
              <w:rPr>
                <w:sz w:val="20"/>
                <w:szCs w:val="20"/>
                <w:color w:val="auto"/>
              </w:rPr>
            </w:pPr>
            <w:r>
              <w:rPr>
                <w:rFonts w:ascii="Arial" w:cs="Arial" w:eastAsia="Arial" w:hAnsi="Arial"/>
                <w:sz w:val="17"/>
                <w:szCs w:val="17"/>
                <w:color w:val="auto"/>
              </w:rPr>
              <w:t>35.0 %</w:t>
            </w:r>
          </w:p>
        </w:tc>
        <w:tc>
          <w:tcPr>
            <w:tcW w:w="140" w:type="dxa"/>
            <w:vAlign w:val="bottom"/>
          </w:tcPr>
          <w:p>
            <w:pPr>
              <w:spacing w:after="0"/>
              <w:rPr>
                <w:sz w:val="19"/>
                <w:szCs w:val="19"/>
                <w:color w:val="auto"/>
              </w:rPr>
            </w:pPr>
          </w:p>
        </w:tc>
        <w:tc>
          <w:tcPr>
            <w:tcW w:w="102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pacing w:after="0" w:line="214" w:lineRule="exact"/>
        <w:rPr>
          <w:sz w:val="20"/>
          <w:szCs w:val="20"/>
          <w:color w:val="auto"/>
        </w:rPr>
      </w:pPr>
    </w:p>
    <w:p>
      <w:pPr>
        <w:ind w:left="60"/>
        <w:spacing w:after="0"/>
        <w:rPr>
          <w:sz w:val="20"/>
          <w:szCs w:val="20"/>
          <w:color w:val="auto"/>
        </w:rPr>
      </w:pPr>
      <w:r>
        <w:rPr>
          <w:rFonts w:ascii="Arial" w:cs="Arial" w:eastAsia="Arial" w:hAnsi="Arial"/>
          <w:sz w:val="17"/>
          <w:szCs w:val="17"/>
          <w:color w:val="auto"/>
        </w:rPr>
        <w:t>nm - not meaningful</w:t>
      </w:r>
    </w:p>
    <w:p>
      <w:pPr>
        <w:spacing w:after="0" w:line="30" w:lineRule="exact"/>
        <w:rPr>
          <w:sz w:val="20"/>
          <w:szCs w:val="20"/>
          <w:color w:val="auto"/>
        </w:rPr>
      </w:pPr>
    </w:p>
    <w:p>
      <w:pPr>
        <w:ind w:left="60"/>
        <w:spacing w:after="0"/>
        <w:rPr>
          <w:sz w:val="20"/>
          <w:szCs w:val="20"/>
          <w:color w:val="auto"/>
        </w:rPr>
      </w:pPr>
      <w:r>
        <w:rPr>
          <w:rFonts w:ascii="Arial" w:cs="Arial" w:eastAsia="Arial" w:hAnsi="Arial"/>
          <w:sz w:val="17"/>
          <w:szCs w:val="17"/>
          <w:color w:val="auto"/>
        </w:rPr>
        <w:t>*Excludes interest income of $2.5 million in 2023 and $0.2 million 2022.</w:t>
      </w:r>
    </w:p>
    <w:p>
      <w:pPr>
        <w:spacing w:after="0" w:line="255" w:lineRule="exact"/>
        <w:rPr>
          <w:sz w:val="20"/>
          <w:szCs w:val="20"/>
          <w:color w:val="auto"/>
        </w:rPr>
      </w:pPr>
    </w:p>
    <w:p>
      <w:pPr>
        <w:ind w:left="340" w:right="280" w:hanging="280"/>
        <w:spacing w:after="0" w:line="255" w:lineRule="auto"/>
        <w:tabs>
          <w:tab w:leader="none" w:pos="340" w:val="left"/>
        </w:tabs>
        <w:numPr>
          <w:ilvl w:val="0"/>
          <w:numId w:val="7"/>
        </w:numPr>
        <w:rPr>
          <w:rFonts w:ascii="Arial" w:cs="Arial" w:eastAsia="Arial" w:hAnsi="Arial"/>
          <w:sz w:val="17"/>
          <w:szCs w:val="17"/>
          <w:color w:val="auto"/>
        </w:rPr>
      </w:pPr>
      <w:r>
        <w:rPr>
          <w:rFonts w:ascii="Arial" w:cs="Arial" w:eastAsia="Arial" w:hAnsi="Arial"/>
          <w:sz w:val="17"/>
          <w:szCs w:val="17"/>
          <w:color w:val="auto"/>
        </w:rPr>
        <w:t>During the second quarter of 2023, we recorded legal expenses related to the 2017 cybersecurity incident of $0.3 million ($0.2 million, net of tax). During the second quarter of 2022, we recorded legal expenses related to the 2017 cybersecurity incident of $0.5 million ($0.4 million, net of tax). See the Notes to this reconciliation for additional detail.</w:t>
      </w:r>
    </w:p>
    <w:p>
      <w:pPr>
        <w:spacing w:after="0" w:line="216" w:lineRule="exact"/>
        <w:rPr>
          <w:rFonts w:ascii="Arial" w:cs="Arial" w:eastAsia="Arial" w:hAnsi="Arial"/>
          <w:sz w:val="17"/>
          <w:szCs w:val="17"/>
          <w:color w:val="auto"/>
        </w:rPr>
      </w:pPr>
    </w:p>
    <w:p>
      <w:pPr>
        <w:ind w:left="340" w:hanging="280"/>
        <w:spacing w:after="0" w:line="247" w:lineRule="auto"/>
        <w:tabs>
          <w:tab w:leader="none" w:pos="340" w:val="left"/>
        </w:tabs>
        <w:numPr>
          <w:ilvl w:val="0"/>
          <w:numId w:val="7"/>
        </w:numPr>
        <w:rPr>
          <w:rFonts w:ascii="Arial" w:cs="Arial" w:eastAsia="Arial" w:hAnsi="Arial"/>
          <w:sz w:val="17"/>
          <w:szCs w:val="17"/>
          <w:color w:val="auto"/>
        </w:rPr>
      </w:pPr>
      <w:r>
        <w:rPr>
          <w:rFonts w:ascii="Arial" w:cs="Arial" w:eastAsia="Arial" w:hAnsi="Arial"/>
          <w:sz w:val="17"/>
          <w:szCs w:val="17"/>
          <w:color w:val="auto"/>
        </w:rPr>
        <w:t>During the second quarter of 2023, we recorded an unrealized gain on the fair market value adjustment and gain on sale of equity investments of $10.5 million ($6.8 million, net of tax). During the second quarter of 2022, we recorded an unrealized loss on the fair market value adjustment and gain on sale of equity investments of $6.7 million ($5.7 million, net of tax). The fair value adjustments were recorded to the Other income, net line item within the Consolidated Statements of Income. See the Notes to this reconciliation for additional details.</w:t>
      </w:r>
    </w:p>
    <w:p>
      <w:pPr>
        <w:spacing w:after="0" w:line="254" w:lineRule="exact"/>
        <w:rPr>
          <w:rFonts w:ascii="Arial" w:cs="Arial" w:eastAsia="Arial" w:hAnsi="Arial"/>
          <w:sz w:val="17"/>
          <w:szCs w:val="17"/>
          <w:color w:val="auto"/>
        </w:rPr>
      </w:pPr>
    </w:p>
    <w:p>
      <w:pPr>
        <w:jc w:val="both"/>
        <w:ind w:left="340" w:right="160" w:hanging="280"/>
        <w:spacing w:after="0" w:line="255" w:lineRule="auto"/>
        <w:tabs>
          <w:tab w:leader="none" w:pos="340" w:val="left"/>
        </w:tabs>
        <w:numPr>
          <w:ilvl w:val="0"/>
          <w:numId w:val="7"/>
        </w:numPr>
        <w:rPr>
          <w:rFonts w:ascii="Arial" w:cs="Arial" w:eastAsia="Arial" w:hAnsi="Arial"/>
          <w:sz w:val="17"/>
          <w:szCs w:val="17"/>
          <w:color w:val="auto"/>
        </w:rPr>
      </w:pPr>
      <w:r>
        <w:rPr>
          <w:rFonts w:ascii="Arial" w:cs="Arial" w:eastAsia="Arial" w:hAnsi="Arial"/>
          <w:sz w:val="17"/>
          <w:szCs w:val="17"/>
          <w:color w:val="auto"/>
        </w:rPr>
        <w:t>During the second quarter of 2023, we recorded a foreign currency gain on certain intercompany loans of $1.8 million. During the second quarter of 2022, we recorded a foreign currency gain on certain intercompany loans of $3.0 million. See the Notes to this reconciliation for additional detail.</w:t>
      </w:r>
    </w:p>
    <w:p>
      <w:pPr>
        <w:spacing w:after="0" w:line="216" w:lineRule="exact"/>
        <w:rPr>
          <w:rFonts w:ascii="Arial" w:cs="Arial" w:eastAsia="Arial" w:hAnsi="Arial"/>
          <w:sz w:val="17"/>
          <w:szCs w:val="17"/>
          <w:color w:val="auto"/>
        </w:rPr>
      </w:pPr>
    </w:p>
    <w:p>
      <w:pPr>
        <w:ind w:left="340" w:right="60" w:hanging="280"/>
        <w:spacing w:after="0" w:line="249" w:lineRule="auto"/>
        <w:tabs>
          <w:tab w:leader="none" w:pos="340" w:val="left"/>
        </w:tabs>
        <w:numPr>
          <w:ilvl w:val="0"/>
          <w:numId w:val="7"/>
        </w:numPr>
        <w:rPr>
          <w:rFonts w:ascii="Arial" w:cs="Arial" w:eastAsia="Arial" w:hAnsi="Arial"/>
          <w:sz w:val="17"/>
          <w:szCs w:val="17"/>
          <w:color w:val="auto"/>
        </w:rPr>
      </w:pPr>
      <w:r>
        <w:rPr>
          <w:rFonts w:ascii="Arial" w:cs="Arial" w:eastAsia="Arial" w:hAnsi="Arial"/>
          <w:sz w:val="17"/>
          <w:szCs w:val="17"/>
          <w:color w:val="auto"/>
        </w:rPr>
        <w:t>During the second quarter of 2023, we recorded $26.9 million ($21.2 million, net of tax) for acquisition costs other than acquisition-related amortization. During the second quarter of 2022, we recorded $12.0 million ($9.1 million, net of tax) for acquisition costs other than acquisition-related amortization. These costs primarily related to integration costs resulting from recent acquisitions and were recorded in operating income. See the Notes to this reconciliation for additional detail.</w:t>
      </w:r>
    </w:p>
    <w:p>
      <w:pPr>
        <w:spacing w:after="0" w:line="223" w:lineRule="exact"/>
        <w:rPr>
          <w:rFonts w:ascii="Arial" w:cs="Arial" w:eastAsia="Arial" w:hAnsi="Arial"/>
          <w:sz w:val="17"/>
          <w:szCs w:val="17"/>
          <w:color w:val="auto"/>
        </w:rPr>
      </w:pPr>
    </w:p>
    <w:p>
      <w:pPr>
        <w:ind w:left="340" w:right="260" w:hanging="280"/>
        <w:spacing w:after="0" w:line="285" w:lineRule="auto"/>
        <w:tabs>
          <w:tab w:leader="none" w:pos="340" w:val="left"/>
        </w:tabs>
        <w:numPr>
          <w:ilvl w:val="0"/>
          <w:numId w:val="7"/>
        </w:numPr>
        <w:rPr>
          <w:rFonts w:ascii="Arial" w:cs="Arial" w:eastAsia="Arial" w:hAnsi="Arial"/>
          <w:sz w:val="15"/>
          <w:szCs w:val="15"/>
          <w:color w:val="auto"/>
        </w:rPr>
      </w:pPr>
      <w:r>
        <w:rPr>
          <w:rFonts w:ascii="Arial" w:cs="Arial" w:eastAsia="Arial" w:hAnsi="Arial"/>
          <w:sz w:val="15"/>
          <w:szCs w:val="15"/>
          <w:color w:val="auto"/>
        </w:rPr>
        <w:t>Argentina experienced multiple periods of increasing inflation rates, devaluation of the peso, and increasing borrowing rates. As such, Argentina was deemed a highly inflationary economy by accounting policymakers in 2018. During the second quarter of</w:t>
      </w:r>
    </w:p>
    <w:p>
      <w:pPr>
        <w:ind w:left="340"/>
        <w:spacing w:after="0" w:line="243" w:lineRule="auto"/>
        <w:rPr>
          <w:rFonts w:ascii="Arial" w:cs="Arial" w:eastAsia="Arial" w:hAnsi="Arial"/>
          <w:sz w:val="15"/>
          <w:szCs w:val="15"/>
          <w:color w:val="auto"/>
        </w:rPr>
      </w:pPr>
      <w:r>
        <w:rPr>
          <w:rFonts w:ascii="Arial" w:cs="Arial" w:eastAsia="Arial" w:hAnsi="Arial"/>
          <w:sz w:val="17"/>
          <w:szCs w:val="17"/>
          <w:color w:val="auto"/>
        </w:rPr>
        <w:t>2023 and 2022, we recorded a foreign currency loss of $0.1 million and a foreign currency gain of $0.1 million, respectively, related to the impact of remeasuring the peso denominated monetary assets and liabilities as a result of Argentina being a highly inflationary economy. See the Notes to this reconciliation for additional detail.</w:t>
      </w:r>
    </w:p>
    <w:p>
      <w:pPr>
        <w:spacing w:after="0" w:line="226" w:lineRule="exact"/>
        <w:rPr>
          <w:rFonts w:ascii="Arial" w:cs="Arial" w:eastAsia="Arial" w:hAnsi="Arial"/>
          <w:sz w:val="15"/>
          <w:szCs w:val="15"/>
          <w:color w:val="auto"/>
        </w:rPr>
      </w:pPr>
    </w:p>
    <w:p>
      <w:pPr>
        <w:jc w:val="both"/>
        <w:ind w:left="340" w:hanging="280"/>
        <w:spacing w:after="0" w:line="305" w:lineRule="auto"/>
        <w:tabs>
          <w:tab w:leader="none" w:pos="340" w:val="left"/>
        </w:tabs>
        <w:numPr>
          <w:ilvl w:val="0"/>
          <w:numId w:val="7"/>
        </w:numPr>
        <w:rPr>
          <w:rFonts w:ascii="Arial" w:cs="Arial" w:eastAsia="Arial" w:hAnsi="Arial"/>
          <w:sz w:val="15"/>
          <w:szCs w:val="15"/>
          <w:color w:val="auto"/>
        </w:rPr>
      </w:pPr>
      <w:r>
        <w:rPr>
          <w:rFonts w:ascii="Arial" w:cs="Arial" w:eastAsia="Arial" w:hAnsi="Arial"/>
          <w:sz w:val="15"/>
          <w:szCs w:val="15"/>
          <w:color w:val="auto"/>
        </w:rPr>
        <w:t>During the second quarter of 2023, we recorded $17.5 million ($12.4 million, net of tax) of restructuring charges for the realignment of internal resources and other costs, which predominantly relates to the reduction of headcount and the realignment of our internal resources to support the Company's strategic objectives. See the Notes to this reconciliation for additional detail.</w:t>
      </w:r>
    </w:p>
    <w:p>
      <w:pPr>
        <w:sectPr>
          <w:pgSz w:w="12240" w:h="15840" w:orient="portrait"/>
          <w:cols w:equalWidth="0" w:num="1">
            <w:col w:w="9860"/>
          </w:cols>
          <w:pgMar w:left="1200" w:top="1053" w:right="1180" w:bottom="11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both"/>
        <w:ind w:right="340"/>
        <w:spacing w:after="0" w:line="293" w:lineRule="auto"/>
        <w:tabs>
          <w:tab w:leader="none" w:pos="373" w:val="left"/>
        </w:tabs>
        <w:numPr>
          <w:ilvl w:val="0"/>
          <w:numId w:val="8"/>
        </w:numPr>
        <w:rPr>
          <w:rFonts w:ascii="Arial" w:cs="Arial" w:eastAsia="Arial" w:hAnsi="Arial"/>
          <w:sz w:val="23"/>
          <w:szCs w:val="23"/>
          <w:b w:val="1"/>
          <w:bCs w:val="1"/>
          <w:color w:val="auto"/>
        </w:rPr>
      </w:pPr>
      <w:r>
        <w:rPr>
          <w:rFonts w:ascii="Arial" w:cs="Arial" w:eastAsia="Arial" w:hAnsi="Arial"/>
          <w:sz w:val="23"/>
          <w:szCs w:val="23"/>
          <w:b w:val="1"/>
          <w:bCs w:val="1"/>
          <w:color w:val="auto"/>
        </w:rPr>
        <w:t>Reconciliation of operating income by segment to Adjusted EBITDA, excluding depreciation and amortization expense, other income, net, noncontrolling interest, legal expenses related to the 2017 cybersecurity incident, fair value adjustment and</w:t>
      </w:r>
    </w:p>
    <w:p>
      <w:pPr>
        <w:sectPr>
          <w:pgSz w:w="12240" w:h="15840" w:orient="portrait"/>
          <w:cols w:equalWidth="0" w:num="1">
            <w:col w:w="9860"/>
          </w:cols>
          <w:pgMar w:left="1200" w:top="1053" w:right="1180" w:bottom="113" w:gutter="0" w:footer="0" w:header="0"/>
          <w:type w:val="continuous"/>
        </w:sectPr>
      </w:pPr>
    </w:p>
    <w:bookmarkStart w:id="12" w:name="page13"/>
    <w:bookmarkEnd w:id="12"/>
    <w:p>
      <w:pPr>
        <w:ind w:right="80"/>
        <w:spacing w:after="0" w:line="266" w:lineRule="auto"/>
        <w:rPr>
          <w:sz w:val="20"/>
          <w:szCs w:val="20"/>
          <w:color w:val="auto"/>
        </w:rPr>
      </w:pPr>
      <w:r>
        <w:rPr>
          <w:rFonts w:ascii="Arial" w:cs="Arial" w:eastAsia="Arial" w:hAnsi="Arial"/>
          <w:sz w:val="24"/>
          <w:szCs w:val="24"/>
          <w:b w:val="1"/>
          <w:bCs w:val="1"/>
          <w:color w:val="auto"/>
        </w:rPr>
        <w:t>gain on sale of equity investments, foreign currency impact of certain intercompany loans, acquisition-related costs other than acquisition amortization, Argentina highly inflationary foreign currency adjustment, realignment of resources and other costs and presentation of adjusted EBITDA margin for each of the segments:</w:t>
      </w: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tbl>
      <w:tblPr>
        <w:tblLayout w:type="fixed"/>
        <w:tblInd w:w="60" w:type="dxa"/>
        <w:tblCellMar>
          <w:top w:w="0" w:type="dxa"/>
          <w:left w:w="0" w:type="dxa"/>
          <w:bottom w:w="0" w:type="dxa"/>
          <w:right w:w="0" w:type="dxa"/>
        </w:tblCellMar>
      </w:tblPr>
      <w:tr>
        <w:trPr>
          <w:trHeight w:val="225"/>
        </w:trPr>
        <w:tc>
          <w:tcPr>
            <w:tcW w:w="2380" w:type="dxa"/>
            <w:vAlign w:val="bottom"/>
          </w:tcPr>
          <w:p>
            <w:pPr>
              <w:spacing w:after="0"/>
              <w:rPr>
                <w:sz w:val="20"/>
                <w:szCs w:val="20"/>
                <w:color w:val="auto"/>
              </w:rPr>
            </w:pPr>
            <w:r>
              <w:rPr>
                <w:rFonts w:ascii="Arial" w:cs="Arial" w:eastAsia="Arial" w:hAnsi="Arial"/>
                <w:sz w:val="17"/>
                <w:szCs w:val="17"/>
                <w:i w:val="1"/>
                <w:iCs w:val="1"/>
                <w:color w:val="auto"/>
              </w:rPr>
              <w:t>(In millions)</w:t>
            </w:r>
          </w:p>
        </w:tc>
        <w:tc>
          <w:tcPr>
            <w:tcW w:w="1320" w:type="dxa"/>
            <w:vAlign w:val="bottom"/>
          </w:tcPr>
          <w:p>
            <w:pPr>
              <w:spacing w:after="0"/>
              <w:rPr>
                <w:sz w:val="19"/>
                <w:szCs w:val="19"/>
                <w:color w:val="auto"/>
              </w:rPr>
            </w:pPr>
          </w:p>
        </w:tc>
        <w:tc>
          <w:tcPr>
            <w:tcW w:w="4300" w:type="dxa"/>
            <w:vAlign w:val="bottom"/>
            <w:gridSpan w:val="5"/>
          </w:tcPr>
          <w:p>
            <w:pPr>
              <w:jc w:val="right"/>
              <w:ind w:right="778"/>
              <w:spacing w:after="0"/>
              <w:rPr>
                <w:sz w:val="20"/>
                <w:szCs w:val="20"/>
                <w:color w:val="auto"/>
              </w:rPr>
            </w:pPr>
            <w:r>
              <w:rPr>
                <w:rFonts w:ascii="Arial" w:cs="Arial" w:eastAsia="Arial" w:hAnsi="Arial"/>
                <w:sz w:val="17"/>
                <w:szCs w:val="17"/>
                <w:b w:val="1"/>
                <w:bCs w:val="1"/>
                <w:color w:val="auto"/>
              </w:rPr>
              <w:t>Three Months Ended June 30, 2023</w:t>
            </w:r>
          </w:p>
        </w:tc>
        <w:tc>
          <w:tcPr>
            <w:tcW w:w="380" w:type="dxa"/>
            <w:vAlign w:val="bottom"/>
          </w:tcPr>
          <w:p>
            <w:pPr>
              <w:spacing w:after="0"/>
              <w:rPr>
                <w:sz w:val="19"/>
                <w:szCs w:val="19"/>
                <w:color w:val="auto"/>
              </w:rPr>
            </w:pPr>
          </w:p>
        </w:tc>
        <w:tc>
          <w:tcPr>
            <w:tcW w:w="920" w:type="dxa"/>
            <w:vAlign w:val="bottom"/>
          </w:tcPr>
          <w:p>
            <w:pPr>
              <w:spacing w:after="0"/>
              <w:rPr>
                <w:sz w:val="19"/>
                <w:szCs w:val="19"/>
                <w:color w:val="auto"/>
              </w:rPr>
            </w:pPr>
          </w:p>
        </w:tc>
      </w:tr>
      <w:tr>
        <w:trPr>
          <w:trHeight w:val="195"/>
        </w:trPr>
        <w:tc>
          <w:tcPr>
            <w:tcW w:w="2380" w:type="dxa"/>
            <w:vAlign w:val="bottom"/>
          </w:tcPr>
          <w:p>
            <w:pPr>
              <w:spacing w:after="0"/>
              <w:rPr>
                <w:sz w:val="16"/>
                <w:szCs w:val="16"/>
                <w:color w:val="auto"/>
              </w:rPr>
            </w:pPr>
          </w:p>
        </w:tc>
        <w:tc>
          <w:tcPr>
            <w:tcW w:w="1320" w:type="dxa"/>
            <w:vAlign w:val="bottom"/>
          </w:tcPr>
          <w:p>
            <w:pPr>
              <w:spacing w:after="0"/>
              <w:rPr>
                <w:sz w:val="16"/>
                <w:szCs w:val="16"/>
                <w:color w:val="auto"/>
              </w:rPr>
            </w:pPr>
          </w:p>
        </w:tc>
        <w:tc>
          <w:tcPr>
            <w:tcW w:w="1300" w:type="dxa"/>
            <w:vAlign w:val="bottom"/>
          </w:tcPr>
          <w:p>
            <w:pPr>
              <w:jc w:val="center"/>
              <w:spacing w:after="0"/>
              <w:rPr>
                <w:sz w:val="20"/>
                <w:szCs w:val="20"/>
                <w:color w:val="auto"/>
              </w:rPr>
            </w:pPr>
            <w:r>
              <w:rPr>
                <w:rFonts w:ascii="Arial" w:cs="Arial" w:eastAsia="Arial" w:hAnsi="Arial"/>
                <w:sz w:val="17"/>
                <w:szCs w:val="17"/>
                <w:b w:val="1"/>
                <w:bCs w:val="1"/>
                <w:color w:val="auto"/>
                <w:w w:val="96"/>
              </w:rPr>
              <w:t>U.S.</w:t>
            </w:r>
          </w:p>
        </w:tc>
        <w:tc>
          <w:tcPr>
            <w:tcW w:w="380" w:type="dxa"/>
            <w:vAlign w:val="bottom"/>
          </w:tcPr>
          <w:p>
            <w:pPr>
              <w:spacing w:after="0"/>
              <w:rPr>
                <w:sz w:val="16"/>
                <w:szCs w:val="16"/>
                <w:color w:val="auto"/>
              </w:rPr>
            </w:pPr>
          </w:p>
        </w:tc>
        <w:tc>
          <w:tcPr>
            <w:tcW w:w="104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1220" w:type="dxa"/>
            <w:vAlign w:val="bottom"/>
          </w:tcPr>
          <w:p>
            <w:pPr>
              <w:jc w:val="center"/>
              <w:ind w:right="198"/>
              <w:spacing w:after="0"/>
              <w:rPr>
                <w:sz w:val="20"/>
                <w:szCs w:val="20"/>
                <w:color w:val="auto"/>
              </w:rPr>
            </w:pPr>
            <w:r>
              <w:rPr>
                <w:rFonts w:ascii="Arial" w:cs="Arial" w:eastAsia="Arial" w:hAnsi="Arial"/>
                <w:sz w:val="17"/>
                <w:szCs w:val="17"/>
                <w:b w:val="1"/>
                <w:bCs w:val="1"/>
                <w:color w:val="auto"/>
                <w:w w:val="97"/>
              </w:rPr>
              <w:t>General</w:t>
            </w:r>
          </w:p>
        </w:tc>
        <w:tc>
          <w:tcPr>
            <w:tcW w:w="380" w:type="dxa"/>
            <w:vAlign w:val="bottom"/>
          </w:tcPr>
          <w:p>
            <w:pPr>
              <w:spacing w:after="0"/>
              <w:rPr>
                <w:sz w:val="16"/>
                <w:szCs w:val="16"/>
                <w:color w:val="auto"/>
              </w:rPr>
            </w:pPr>
          </w:p>
        </w:tc>
        <w:tc>
          <w:tcPr>
            <w:tcW w:w="920" w:type="dxa"/>
            <w:vAlign w:val="bottom"/>
          </w:tcPr>
          <w:p>
            <w:pPr>
              <w:spacing w:after="0"/>
              <w:rPr>
                <w:sz w:val="16"/>
                <w:szCs w:val="16"/>
                <w:color w:val="auto"/>
              </w:rPr>
            </w:pPr>
          </w:p>
        </w:tc>
      </w:tr>
      <w:tr>
        <w:trPr>
          <w:trHeight w:val="195"/>
        </w:trPr>
        <w:tc>
          <w:tcPr>
            <w:tcW w:w="2380" w:type="dxa"/>
            <w:vAlign w:val="bottom"/>
          </w:tcPr>
          <w:p>
            <w:pPr>
              <w:spacing w:after="0"/>
              <w:rPr>
                <w:sz w:val="16"/>
                <w:szCs w:val="16"/>
                <w:color w:val="auto"/>
              </w:rPr>
            </w:pPr>
          </w:p>
        </w:tc>
        <w:tc>
          <w:tcPr>
            <w:tcW w:w="1320" w:type="dxa"/>
            <w:vAlign w:val="bottom"/>
          </w:tcPr>
          <w:p>
            <w:pPr>
              <w:jc w:val="right"/>
              <w:ind w:right="238"/>
              <w:spacing w:after="0"/>
              <w:rPr>
                <w:sz w:val="20"/>
                <w:szCs w:val="20"/>
                <w:color w:val="auto"/>
              </w:rPr>
            </w:pPr>
            <w:r>
              <w:rPr>
                <w:rFonts w:ascii="Arial" w:cs="Arial" w:eastAsia="Arial" w:hAnsi="Arial"/>
                <w:sz w:val="17"/>
                <w:szCs w:val="17"/>
                <w:b w:val="1"/>
                <w:bCs w:val="1"/>
                <w:color w:val="auto"/>
              </w:rPr>
              <w:t>Workforce</w:t>
            </w:r>
          </w:p>
        </w:tc>
        <w:tc>
          <w:tcPr>
            <w:tcW w:w="1300" w:type="dxa"/>
            <w:vAlign w:val="bottom"/>
          </w:tcPr>
          <w:p>
            <w:pPr>
              <w:jc w:val="center"/>
              <w:spacing w:after="0"/>
              <w:rPr>
                <w:sz w:val="20"/>
                <w:szCs w:val="20"/>
                <w:color w:val="auto"/>
              </w:rPr>
            </w:pPr>
            <w:r>
              <w:rPr>
                <w:rFonts w:ascii="Arial" w:cs="Arial" w:eastAsia="Arial" w:hAnsi="Arial"/>
                <w:sz w:val="17"/>
                <w:szCs w:val="17"/>
                <w:b w:val="1"/>
                <w:bCs w:val="1"/>
                <w:color w:val="auto"/>
                <w:w w:val="96"/>
              </w:rPr>
              <w:t>Information</w:t>
            </w:r>
          </w:p>
        </w:tc>
        <w:tc>
          <w:tcPr>
            <w:tcW w:w="380" w:type="dxa"/>
            <w:vAlign w:val="bottom"/>
          </w:tcPr>
          <w:p>
            <w:pPr>
              <w:spacing w:after="0"/>
              <w:rPr>
                <w:sz w:val="16"/>
                <w:szCs w:val="16"/>
                <w:color w:val="auto"/>
              </w:rPr>
            </w:pPr>
          </w:p>
        </w:tc>
        <w:tc>
          <w:tcPr>
            <w:tcW w:w="104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1220" w:type="dxa"/>
            <w:vAlign w:val="bottom"/>
          </w:tcPr>
          <w:p>
            <w:pPr>
              <w:jc w:val="center"/>
              <w:ind w:right="198"/>
              <w:spacing w:after="0"/>
              <w:rPr>
                <w:sz w:val="20"/>
                <w:szCs w:val="20"/>
                <w:color w:val="auto"/>
              </w:rPr>
            </w:pPr>
            <w:r>
              <w:rPr>
                <w:rFonts w:ascii="Arial" w:cs="Arial" w:eastAsia="Arial" w:hAnsi="Arial"/>
                <w:sz w:val="17"/>
                <w:szCs w:val="17"/>
                <w:b w:val="1"/>
                <w:bCs w:val="1"/>
                <w:color w:val="auto"/>
                <w:w w:val="95"/>
              </w:rPr>
              <w:t>Corporate</w:t>
            </w:r>
          </w:p>
        </w:tc>
        <w:tc>
          <w:tcPr>
            <w:tcW w:w="380" w:type="dxa"/>
            <w:vAlign w:val="bottom"/>
          </w:tcPr>
          <w:p>
            <w:pPr>
              <w:spacing w:after="0"/>
              <w:rPr>
                <w:sz w:val="16"/>
                <w:szCs w:val="16"/>
                <w:color w:val="auto"/>
              </w:rPr>
            </w:pPr>
          </w:p>
        </w:tc>
        <w:tc>
          <w:tcPr>
            <w:tcW w:w="920" w:type="dxa"/>
            <w:vAlign w:val="bottom"/>
          </w:tcPr>
          <w:p>
            <w:pPr>
              <w:spacing w:after="0"/>
              <w:rPr>
                <w:sz w:val="16"/>
                <w:szCs w:val="16"/>
                <w:color w:val="auto"/>
              </w:rPr>
            </w:pPr>
          </w:p>
        </w:tc>
      </w:tr>
      <w:tr>
        <w:trPr>
          <w:trHeight w:val="225"/>
        </w:trPr>
        <w:tc>
          <w:tcPr>
            <w:tcW w:w="2380" w:type="dxa"/>
            <w:vAlign w:val="bottom"/>
          </w:tcPr>
          <w:p>
            <w:pPr>
              <w:spacing w:after="0"/>
              <w:rPr>
                <w:sz w:val="19"/>
                <w:szCs w:val="19"/>
                <w:color w:val="auto"/>
              </w:rPr>
            </w:pPr>
          </w:p>
        </w:tc>
        <w:tc>
          <w:tcPr>
            <w:tcW w:w="1320" w:type="dxa"/>
            <w:vAlign w:val="bottom"/>
          </w:tcPr>
          <w:p>
            <w:pPr>
              <w:jc w:val="right"/>
              <w:ind w:right="258"/>
              <w:spacing w:after="0"/>
              <w:rPr>
                <w:sz w:val="20"/>
                <w:szCs w:val="20"/>
                <w:color w:val="auto"/>
              </w:rPr>
            </w:pPr>
            <w:r>
              <w:rPr>
                <w:rFonts w:ascii="Arial" w:cs="Arial" w:eastAsia="Arial" w:hAnsi="Arial"/>
                <w:sz w:val="17"/>
                <w:szCs w:val="17"/>
                <w:b w:val="1"/>
                <w:bCs w:val="1"/>
                <w:color w:val="auto"/>
              </w:rPr>
              <w:t>Solutions</w:t>
            </w:r>
          </w:p>
        </w:tc>
        <w:tc>
          <w:tcPr>
            <w:tcW w:w="1300" w:type="dxa"/>
            <w:vAlign w:val="bottom"/>
          </w:tcPr>
          <w:p>
            <w:pPr>
              <w:jc w:val="center"/>
              <w:spacing w:after="0"/>
              <w:rPr>
                <w:sz w:val="20"/>
                <w:szCs w:val="20"/>
                <w:color w:val="auto"/>
              </w:rPr>
            </w:pPr>
            <w:r>
              <w:rPr>
                <w:rFonts w:ascii="Arial" w:cs="Arial" w:eastAsia="Arial" w:hAnsi="Arial"/>
                <w:sz w:val="17"/>
                <w:szCs w:val="17"/>
                <w:b w:val="1"/>
                <w:bCs w:val="1"/>
                <w:color w:val="auto"/>
                <w:w w:val="95"/>
              </w:rPr>
              <w:t>Solutions</w:t>
            </w:r>
          </w:p>
        </w:tc>
        <w:tc>
          <w:tcPr>
            <w:tcW w:w="1420" w:type="dxa"/>
            <w:vAlign w:val="bottom"/>
            <w:gridSpan w:val="2"/>
          </w:tcPr>
          <w:p>
            <w:pPr>
              <w:jc w:val="right"/>
              <w:ind w:right="158"/>
              <w:spacing w:after="0"/>
              <w:rPr>
                <w:sz w:val="20"/>
                <w:szCs w:val="20"/>
                <w:color w:val="auto"/>
              </w:rPr>
            </w:pPr>
            <w:r>
              <w:rPr>
                <w:rFonts w:ascii="Arial" w:cs="Arial" w:eastAsia="Arial" w:hAnsi="Arial"/>
                <w:sz w:val="17"/>
                <w:szCs w:val="17"/>
                <w:b w:val="1"/>
                <w:bCs w:val="1"/>
                <w:color w:val="auto"/>
              </w:rPr>
              <w:t>International</w:t>
            </w:r>
          </w:p>
        </w:tc>
        <w:tc>
          <w:tcPr>
            <w:tcW w:w="360" w:type="dxa"/>
            <w:vAlign w:val="bottom"/>
          </w:tcPr>
          <w:p>
            <w:pPr>
              <w:spacing w:after="0"/>
              <w:rPr>
                <w:sz w:val="19"/>
                <w:szCs w:val="19"/>
                <w:color w:val="auto"/>
              </w:rPr>
            </w:pPr>
          </w:p>
        </w:tc>
        <w:tc>
          <w:tcPr>
            <w:tcW w:w="1220" w:type="dxa"/>
            <w:vAlign w:val="bottom"/>
          </w:tcPr>
          <w:p>
            <w:pPr>
              <w:jc w:val="center"/>
              <w:ind w:right="178"/>
              <w:spacing w:after="0"/>
              <w:rPr>
                <w:sz w:val="20"/>
                <w:szCs w:val="20"/>
                <w:color w:val="auto"/>
              </w:rPr>
            </w:pPr>
            <w:r>
              <w:rPr>
                <w:rFonts w:ascii="Arial" w:cs="Arial" w:eastAsia="Arial" w:hAnsi="Arial"/>
                <w:sz w:val="17"/>
                <w:szCs w:val="17"/>
                <w:b w:val="1"/>
                <w:bCs w:val="1"/>
                <w:color w:val="auto"/>
                <w:w w:val="97"/>
              </w:rPr>
              <w:t>Expense</w:t>
            </w:r>
          </w:p>
        </w:tc>
        <w:tc>
          <w:tcPr>
            <w:tcW w:w="380" w:type="dxa"/>
            <w:vAlign w:val="bottom"/>
          </w:tcPr>
          <w:p>
            <w:pPr>
              <w:spacing w:after="0"/>
              <w:rPr>
                <w:sz w:val="19"/>
                <w:szCs w:val="19"/>
                <w:color w:val="auto"/>
              </w:rPr>
            </w:pPr>
          </w:p>
        </w:tc>
        <w:tc>
          <w:tcPr>
            <w:tcW w:w="920" w:type="dxa"/>
            <w:vAlign w:val="bottom"/>
          </w:tcPr>
          <w:p>
            <w:pPr>
              <w:jc w:val="right"/>
              <w:ind w:right="298"/>
              <w:spacing w:after="0"/>
              <w:rPr>
                <w:sz w:val="20"/>
                <w:szCs w:val="20"/>
                <w:color w:val="auto"/>
              </w:rPr>
            </w:pPr>
            <w:r>
              <w:rPr>
                <w:rFonts w:ascii="Arial" w:cs="Arial" w:eastAsia="Arial" w:hAnsi="Arial"/>
                <w:sz w:val="17"/>
                <w:szCs w:val="17"/>
                <w:b w:val="1"/>
                <w:bCs w:val="1"/>
                <w:color w:val="auto"/>
              </w:rPr>
              <w:t>Total</w:t>
            </w:r>
          </w:p>
        </w:tc>
      </w:tr>
      <w:tr>
        <w:trPr>
          <w:trHeight w:val="195"/>
        </w:trPr>
        <w:tc>
          <w:tcPr>
            <w:tcW w:w="2380" w:type="dxa"/>
            <w:vAlign w:val="bottom"/>
          </w:tcPr>
          <w:p>
            <w:pPr>
              <w:spacing w:after="0"/>
              <w:rPr>
                <w:sz w:val="16"/>
                <w:szCs w:val="16"/>
                <w:color w:val="auto"/>
              </w:rPr>
            </w:pPr>
          </w:p>
        </w:tc>
        <w:tc>
          <w:tcPr>
            <w:tcW w:w="1320" w:type="dxa"/>
            <w:vAlign w:val="bottom"/>
          </w:tcPr>
          <w:p>
            <w:pPr>
              <w:jc w:val="right"/>
              <w:ind w:right="658"/>
              <w:spacing w:after="0"/>
              <w:rPr>
                <w:sz w:val="20"/>
                <w:szCs w:val="20"/>
                <w:color w:val="auto"/>
              </w:rPr>
            </w:pPr>
            <w:r>
              <w:rPr>
                <w:rFonts w:ascii="Arial" w:cs="Arial" w:eastAsia="Arial" w:hAnsi="Arial"/>
                <w:sz w:val="17"/>
                <w:szCs w:val="17"/>
                <w:b w:val="1"/>
                <w:bCs w:val="1"/>
                <w:color w:val="auto"/>
              </w:rPr>
              <w:t>$</w:t>
            </w:r>
          </w:p>
        </w:tc>
        <w:tc>
          <w:tcPr>
            <w:tcW w:w="1300" w:type="dxa"/>
            <w:vAlign w:val="bottom"/>
          </w:tcPr>
          <w:p>
            <w:pPr>
              <w:jc w:val="right"/>
              <w:ind w:right="618"/>
              <w:spacing w:after="0"/>
              <w:rPr>
                <w:sz w:val="20"/>
                <w:szCs w:val="20"/>
                <w:color w:val="auto"/>
              </w:rPr>
            </w:pPr>
            <w:r>
              <w:rPr>
                <w:rFonts w:ascii="Arial" w:cs="Arial" w:eastAsia="Arial" w:hAnsi="Arial"/>
                <w:sz w:val="17"/>
                <w:szCs w:val="17"/>
                <w:b w:val="1"/>
                <w:bCs w:val="1"/>
                <w:color w:val="auto"/>
              </w:rPr>
              <w:t>$</w:t>
            </w:r>
          </w:p>
        </w:tc>
        <w:tc>
          <w:tcPr>
            <w:tcW w:w="380" w:type="dxa"/>
            <w:vAlign w:val="bottom"/>
          </w:tcPr>
          <w:p>
            <w:pPr>
              <w:spacing w:after="0"/>
              <w:rPr>
                <w:sz w:val="16"/>
                <w:szCs w:val="16"/>
                <w:color w:val="auto"/>
              </w:rPr>
            </w:pPr>
          </w:p>
        </w:tc>
        <w:tc>
          <w:tcPr>
            <w:tcW w:w="1040" w:type="dxa"/>
            <w:vAlign w:val="bottom"/>
          </w:tcPr>
          <w:p>
            <w:pPr>
              <w:jc w:val="right"/>
              <w:ind w:right="678"/>
              <w:spacing w:after="0"/>
              <w:rPr>
                <w:sz w:val="20"/>
                <w:szCs w:val="20"/>
                <w:color w:val="auto"/>
              </w:rPr>
            </w:pPr>
            <w:r>
              <w:rPr>
                <w:rFonts w:ascii="Arial" w:cs="Arial" w:eastAsia="Arial" w:hAnsi="Arial"/>
                <w:sz w:val="17"/>
                <w:szCs w:val="17"/>
                <w:b w:val="1"/>
                <w:bCs w:val="1"/>
                <w:color w:val="auto"/>
              </w:rPr>
              <w:t>$</w:t>
            </w:r>
          </w:p>
        </w:tc>
        <w:tc>
          <w:tcPr>
            <w:tcW w:w="360" w:type="dxa"/>
            <w:vAlign w:val="bottom"/>
          </w:tcPr>
          <w:p>
            <w:pPr>
              <w:spacing w:after="0"/>
              <w:rPr>
                <w:sz w:val="16"/>
                <w:szCs w:val="16"/>
                <w:color w:val="auto"/>
              </w:rPr>
            </w:pPr>
          </w:p>
        </w:tc>
        <w:tc>
          <w:tcPr>
            <w:tcW w:w="122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920" w:type="dxa"/>
            <w:vAlign w:val="bottom"/>
          </w:tcPr>
          <w:p>
            <w:pPr>
              <w:spacing w:after="0"/>
              <w:rPr>
                <w:sz w:val="16"/>
                <w:szCs w:val="16"/>
                <w:color w:val="auto"/>
              </w:rPr>
            </w:pPr>
          </w:p>
        </w:tc>
      </w:tr>
      <w:tr>
        <w:trPr>
          <w:trHeight w:val="225"/>
        </w:trPr>
        <w:tc>
          <w:tcPr>
            <w:tcW w:w="2380" w:type="dxa"/>
            <w:vAlign w:val="bottom"/>
          </w:tcPr>
          <w:p>
            <w:pPr>
              <w:spacing w:after="0"/>
              <w:rPr>
                <w:sz w:val="20"/>
                <w:szCs w:val="20"/>
                <w:color w:val="auto"/>
              </w:rPr>
            </w:pPr>
            <w:r>
              <w:rPr>
                <w:rFonts w:ascii="Arial" w:cs="Arial" w:eastAsia="Arial" w:hAnsi="Arial"/>
                <w:sz w:val="17"/>
                <w:szCs w:val="17"/>
                <w:color w:val="auto"/>
              </w:rPr>
              <w:t>Revenue</w:t>
            </w:r>
          </w:p>
        </w:tc>
        <w:tc>
          <w:tcPr>
            <w:tcW w:w="1320" w:type="dxa"/>
            <w:vAlign w:val="bottom"/>
          </w:tcPr>
          <w:p>
            <w:pPr>
              <w:jc w:val="right"/>
              <w:ind w:right="198"/>
              <w:spacing w:after="0"/>
              <w:rPr>
                <w:sz w:val="20"/>
                <w:szCs w:val="20"/>
                <w:color w:val="auto"/>
              </w:rPr>
            </w:pPr>
            <w:r>
              <w:rPr>
                <w:rFonts w:ascii="Arial" w:cs="Arial" w:eastAsia="Arial" w:hAnsi="Arial"/>
                <w:sz w:val="17"/>
                <w:szCs w:val="17"/>
                <w:b w:val="1"/>
                <w:bCs w:val="1"/>
                <w:color w:val="auto"/>
              </w:rPr>
              <w:t>582.8</w:t>
            </w:r>
          </w:p>
        </w:tc>
        <w:tc>
          <w:tcPr>
            <w:tcW w:w="1300" w:type="dxa"/>
            <w:vAlign w:val="bottom"/>
          </w:tcPr>
          <w:p>
            <w:pPr>
              <w:jc w:val="right"/>
              <w:ind w:right="138"/>
              <w:spacing w:after="0"/>
              <w:rPr>
                <w:sz w:val="20"/>
                <w:szCs w:val="20"/>
                <w:color w:val="auto"/>
              </w:rPr>
            </w:pPr>
            <w:r>
              <w:rPr>
                <w:rFonts w:ascii="Arial" w:cs="Arial" w:eastAsia="Arial" w:hAnsi="Arial"/>
                <w:sz w:val="17"/>
                <w:szCs w:val="17"/>
                <w:b w:val="1"/>
                <w:bCs w:val="1"/>
                <w:color w:val="auto"/>
              </w:rPr>
              <w:t>445.0</w:t>
            </w:r>
          </w:p>
        </w:tc>
        <w:tc>
          <w:tcPr>
            <w:tcW w:w="380" w:type="dxa"/>
            <w:vAlign w:val="bottom"/>
          </w:tcPr>
          <w:p>
            <w:pPr>
              <w:spacing w:after="0"/>
              <w:rPr>
                <w:sz w:val="19"/>
                <w:szCs w:val="19"/>
                <w:color w:val="auto"/>
              </w:rPr>
            </w:pPr>
          </w:p>
        </w:tc>
        <w:tc>
          <w:tcPr>
            <w:tcW w:w="1040" w:type="dxa"/>
            <w:vAlign w:val="bottom"/>
          </w:tcPr>
          <w:p>
            <w:pPr>
              <w:jc w:val="right"/>
              <w:ind w:right="218"/>
              <w:spacing w:after="0"/>
              <w:rPr>
                <w:sz w:val="20"/>
                <w:szCs w:val="20"/>
                <w:color w:val="auto"/>
              </w:rPr>
            </w:pPr>
            <w:r>
              <w:rPr>
                <w:rFonts w:ascii="Arial" w:cs="Arial" w:eastAsia="Arial" w:hAnsi="Arial"/>
                <w:sz w:val="17"/>
                <w:szCs w:val="17"/>
                <w:b w:val="1"/>
                <w:bCs w:val="1"/>
                <w:color w:val="auto"/>
              </w:rPr>
              <w:t>289.8</w:t>
            </w:r>
          </w:p>
        </w:tc>
        <w:tc>
          <w:tcPr>
            <w:tcW w:w="360" w:type="dxa"/>
            <w:vAlign w:val="bottom"/>
          </w:tcPr>
          <w:p>
            <w:pPr>
              <w:spacing w:after="0"/>
              <w:rPr>
                <w:sz w:val="19"/>
                <w:szCs w:val="19"/>
                <w:color w:val="auto"/>
              </w:rPr>
            </w:pPr>
          </w:p>
        </w:tc>
        <w:tc>
          <w:tcPr>
            <w:tcW w:w="1220" w:type="dxa"/>
            <w:vAlign w:val="bottom"/>
          </w:tcPr>
          <w:p>
            <w:pPr>
              <w:jc w:val="right"/>
              <w:ind w:right="158"/>
              <w:spacing w:after="0"/>
              <w:rPr>
                <w:sz w:val="20"/>
                <w:szCs w:val="20"/>
                <w:color w:val="auto"/>
              </w:rPr>
            </w:pPr>
            <w:r>
              <w:rPr>
                <w:rFonts w:ascii="Arial" w:cs="Arial" w:eastAsia="Arial" w:hAnsi="Arial"/>
                <w:sz w:val="17"/>
                <w:szCs w:val="17"/>
                <w:b w:val="1"/>
                <w:bCs w:val="1"/>
                <w:color w:val="auto"/>
              </w:rPr>
              <w:t>—</w:t>
            </w:r>
          </w:p>
        </w:tc>
        <w:tc>
          <w:tcPr>
            <w:tcW w:w="380" w:type="dxa"/>
            <w:vAlign w:val="bottom"/>
          </w:tcPr>
          <w:p>
            <w:pPr>
              <w:jc w:val="right"/>
              <w:ind w:right="98"/>
              <w:spacing w:after="0"/>
              <w:rPr>
                <w:sz w:val="20"/>
                <w:szCs w:val="20"/>
                <w:color w:val="auto"/>
              </w:rPr>
            </w:pPr>
            <w:r>
              <w:rPr>
                <w:rFonts w:ascii="Arial" w:cs="Arial" w:eastAsia="Arial" w:hAnsi="Arial"/>
                <w:sz w:val="17"/>
                <w:szCs w:val="17"/>
                <w:b w:val="1"/>
                <w:bCs w:val="1"/>
                <w:color w:val="auto"/>
              </w:rPr>
              <w:t>$</w:t>
            </w:r>
          </w:p>
        </w:tc>
        <w:tc>
          <w:tcPr>
            <w:tcW w:w="920" w:type="dxa"/>
            <w:vAlign w:val="bottom"/>
          </w:tcPr>
          <w:p>
            <w:pPr>
              <w:jc w:val="right"/>
              <w:ind w:right="38"/>
              <w:spacing w:after="0"/>
              <w:rPr>
                <w:sz w:val="20"/>
                <w:szCs w:val="20"/>
                <w:color w:val="auto"/>
              </w:rPr>
            </w:pPr>
            <w:r>
              <w:rPr>
                <w:rFonts w:ascii="Arial" w:cs="Arial" w:eastAsia="Arial" w:hAnsi="Arial"/>
                <w:sz w:val="17"/>
                <w:szCs w:val="17"/>
                <w:b w:val="1"/>
                <w:bCs w:val="1"/>
                <w:color w:val="auto"/>
              </w:rPr>
              <w:t>1,317.6</w:t>
            </w:r>
          </w:p>
        </w:tc>
      </w:tr>
      <w:tr>
        <w:trPr>
          <w:trHeight w:val="225"/>
        </w:trPr>
        <w:tc>
          <w:tcPr>
            <w:tcW w:w="2380" w:type="dxa"/>
            <w:vAlign w:val="bottom"/>
          </w:tcPr>
          <w:p>
            <w:pPr>
              <w:spacing w:after="0"/>
              <w:rPr>
                <w:sz w:val="20"/>
                <w:szCs w:val="20"/>
                <w:color w:val="auto"/>
              </w:rPr>
            </w:pPr>
            <w:r>
              <w:rPr>
                <w:rFonts w:ascii="Arial" w:cs="Arial" w:eastAsia="Arial" w:hAnsi="Arial"/>
                <w:sz w:val="17"/>
                <w:szCs w:val="17"/>
                <w:color w:val="auto"/>
              </w:rPr>
              <w:t>Operating income</w:t>
            </w:r>
          </w:p>
        </w:tc>
        <w:tc>
          <w:tcPr>
            <w:tcW w:w="1320" w:type="dxa"/>
            <w:vAlign w:val="bottom"/>
          </w:tcPr>
          <w:p>
            <w:pPr>
              <w:jc w:val="right"/>
              <w:ind w:right="198"/>
              <w:spacing w:after="0"/>
              <w:rPr>
                <w:sz w:val="20"/>
                <w:szCs w:val="20"/>
                <w:color w:val="auto"/>
              </w:rPr>
            </w:pPr>
            <w:r>
              <w:rPr>
                <w:rFonts w:ascii="Arial" w:cs="Arial" w:eastAsia="Arial" w:hAnsi="Arial"/>
                <w:sz w:val="17"/>
                <w:szCs w:val="17"/>
                <w:b w:val="1"/>
                <w:bCs w:val="1"/>
                <w:color w:val="auto"/>
              </w:rPr>
              <w:t>244.6</w:t>
            </w:r>
          </w:p>
        </w:tc>
        <w:tc>
          <w:tcPr>
            <w:tcW w:w="1300" w:type="dxa"/>
            <w:vAlign w:val="bottom"/>
          </w:tcPr>
          <w:p>
            <w:pPr>
              <w:jc w:val="right"/>
              <w:ind w:right="138"/>
              <w:spacing w:after="0"/>
              <w:rPr>
                <w:sz w:val="20"/>
                <w:szCs w:val="20"/>
                <w:color w:val="auto"/>
              </w:rPr>
            </w:pPr>
            <w:r>
              <w:rPr>
                <w:rFonts w:ascii="Arial" w:cs="Arial" w:eastAsia="Arial" w:hAnsi="Arial"/>
                <w:sz w:val="17"/>
                <w:szCs w:val="17"/>
                <w:b w:val="1"/>
                <w:bCs w:val="1"/>
                <w:color w:val="auto"/>
              </w:rPr>
              <w:t>102.8</w:t>
            </w:r>
          </w:p>
        </w:tc>
        <w:tc>
          <w:tcPr>
            <w:tcW w:w="380" w:type="dxa"/>
            <w:vAlign w:val="bottom"/>
          </w:tcPr>
          <w:p>
            <w:pPr>
              <w:spacing w:after="0"/>
              <w:rPr>
                <w:sz w:val="19"/>
                <w:szCs w:val="19"/>
                <w:color w:val="auto"/>
              </w:rPr>
            </w:pPr>
          </w:p>
        </w:tc>
        <w:tc>
          <w:tcPr>
            <w:tcW w:w="1040" w:type="dxa"/>
            <w:vAlign w:val="bottom"/>
          </w:tcPr>
          <w:p>
            <w:pPr>
              <w:jc w:val="right"/>
              <w:ind w:right="218"/>
              <w:spacing w:after="0"/>
              <w:rPr>
                <w:sz w:val="20"/>
                <w:szCs w:val="20"/>
                <w:color w:val="auto"/>
              </w:rPr>
            </w:pPr>
            <w:r>
              <w:rPr>
                <w:rFonts w:ascii="Arial" w:cs="Arial" w:eastAsia="Arial" w:hAnsi="Arial"/>
                <w:sz w:val="17"/>
                <w:szCs w:val="17"/>
                <w:b w:val="1"/>
                <w:bCs w:val="1"/>
                <w:color w:val="auto"/>
              </w:rPr>
              <w:t>34.4</w:t>
            </w:r>
          </w:p>
        </w:tc>
        <w:tc>
          <w:tcPr>
            <w:tcW w:w="360" w:type="dxa"/>
            <w:vAlign w:val="bottom"/>
          </w:tcPr>
          <w:p>
            <w:pPr>
              <w:spacing w:after="0"/>
              <w:rPr>
                <w:sz w:val="19"/>
                <w:szCs w:val="19"/>
                <w:color w:val="auto"/>
              </w:rPr>
            </w:pPr>
          </w:p>
        </w:tc>
        <w:tc>
          <w:tcPr>
            <w:tcW w:w="1220" w:type="dxa"/>
            <w:vAlign w:val="bottom"/>
          </w:tcPr>
          <w:p>
            <w:pPr>
              <w:jc w:val="right"/>
              <w:ind w:right="98"/>
              <w:spacing w:after="0"/>
              <w:rPr>
                <w:sz w:val="20"/>
                <w:szCs w:val="20"/>
                <w:color w:val="auto"/>
              </w:rPr>
            </w:pPr>
            <w:r>
              <w:rPr>
                <w:rFonts w:ascii="Arial" w:cs="Arial" w:eastAsia="Arial" w:hAnsi="Arial"/>
                <w:sz w:val="17"/>
                <w:szCs w:val="17"/>
                <w:b w:val="1"/>
                <w:bCs w:val="1"/>
                <w:color w:val="auto"/>
              </w:rPr>
              <w:t>(144.9)</w:t>
            </w:r>
          </w:p>
        </w:tc>
        <w:tc>
          <w:tcPr>
            <w:tcW w:w="380" w:type="dxa"/>
            <w:vAlign w:val="bottom"/>
          </w:tcPr>
          <w:p>
            <w:pPr>
              <w:spacing w:after="0"/>
              <w:rPr>
                <w:sz w:val="19"/>
                <w:szCs w:val="19"/>
                <w:color w:val="auto"/>
              </w:rPr>
            </w:pPr>
          </w:p>
        </w:tc>
        <w:tc>
          <w:tcPr>
            <w:tcW w:w="920" w:type="dxa"/>
            <w:vAlign w:val="bottom"/>
          </w:tcPr>
          <w:p>
            <w:pPr>
              <w:jc w:val="right"/>
              <w:ind w:right="18"/>
              <w:spacing w:after="0"/>
              <w:rPr>
                <w:sz w:val="20"/>
                <w:szCs w:val="20"/>
                <w:color w:val="auto"/>
              </w:rPr>
            </w:pPr>
            <w:r>
              <w:rPr>
                <w:rFonts w:ascii="Arial" w:cs="Arial" w:eastAsia="Arial" w:hAnsi="Arial"/>
                <w:sz w:val="17"/>
                <w:szCs w:val="17"/>
                <w:b w:val="1"/>
                <w:bCs w:val="1"/>
                <w:color w:val="auto"/>
              </w:rPr>
              <w:t>236.9</w:t>
            </w:r>
          </w:p>
        </w:tc>
      </w:tr>
      <w:tr>
        <w:trPr>
          <w:trHeight w:val="225"/>
        </w:trPr>
        <w:tc>
          <w:tcPr>
            <w:tcW w:w="2380" w:type="dxa"/>
            <w:vAlign w:val="bottom"/>
          </w:tcPr>
          <w:p>
            <w:pPr>
              <w:spacing w:after="0"/>
              <w:rPr>
                <w:sz w:val="20"/>
                <w:szCs w:val="20"/>
                <w:color w:val="auto"/>
              </w:rPr>
            </w:pPr>
            <w:r>
              <w:rPr>
                <w:rFonts w:ascii="Arial" w:cs="Arial" w:eastAsia="Arial" w:hAnsi="Arial"/>
                <w:sz w:val="17"/>
                <w:szCs w:val="17"/>
                <w:color w:val="auto"/>
              </w:rPr>
              <w:t>Depreciation and amortization</w:t>
            </w:r>
          </w:p>
        </w:tc>
        <w:tc>
          <w:tcPr>
            <w:tcW w:w="1320" w:type="dxa"/>
            <w:vAlign w:val="bottom"/>
          </w:tcPr>
          <w:p>
            <w:pPr>
              <w:jc w:val="right"/>
              <w:ind w:right="198"/>
              <w:spacing w:after="0"/>
              <w:rPr>
                <w:sz w:val="20"/>
                <w:szCs w:val="20"/>
                <w:color w:val="auto"/>
              </w:rPr>
            </w:pPr>
            <w:r>
              <w:rPr>
                <w:rFonts w:ascii="Arial" w:cs="Arial" w:eastAsia="Arial" w:hAnsi="Arial"/>
                <w:sz w:val="17"/>
                <w:szCs w:val="17"/>
                <w:b w:val="1"/>
                <w:bCs w:val="1"/>
                <w:color w:val="auto"/>
              </w:rPr>
              <w:t>44.3</w:t>
            </w:r>
          </w:p>
        </w:tc>
        <w:tc>
          <w:tcPr>
            <w:tcW w:w="1300" w:type="dxa"/>
            <w:vAlign w:val="bottom"/>
          </w:tcPr>
          <w:p>
            <w:pPr>
              <w:jc w:val="right"/>
              <w:ind w:right="138"/>
              <w:spacing w:after="0"/>
              <w:rPr>
                <w:sz w:val="20"/>
                <w:szCs w:val="20"/>
                <w:color w:val="auto"/>
              </w:rPr>
            </w:pPr>
            <w:r>
              <w:rPr>
                <w:rFonts w:ascii="Arial" w:cs="Arial" w:eastAsia="Arial" w:hAnsi="Arial"/>
                <w:sz w:val="17"/>
                <w:szCs w:val="17"/>
                <w:b w:val="1"/>
                <w:bCs w:val="1"/>
                <w:color w:val="auto"/>
              </w:rPr>
              <w:t>50.5</w:t>
            </w:r>
          </w:p>
        </w:tc>
        <w:tc>
          <w:tcPr>
            <w:tcW w:w="380" w:type="dxa"/>
            <w:vAlign w:val="bottom"/>
          </w:tcPr>
          <w:p>
            <w:pPr>
              <w:spacing w:after="0"/>
              <w:rPr>
                <w:sz w:val="19"/>
                <w:szCs w:val="19"/>
                <w:color w:val="auto"/>
              </w:rPr>
            </w:pPr>
          </w:p>
        </w:tc>
        <w:tc>
          <w:tcPr>
            <w:tcW w:w="1040" w:type="dxa"/>
            <w:vAlign w:val="bottom"/>
          </w:tcPr>
          <w:p>
            <w:pPr>
              <w:jc w:val="right"/>
              <w:ind w:right="218"/>
              <w:spacing w:after="0"/>
              <w:rPr>
                <w:sz w:val="20"/>
                <w:szCs w:val="20"/>
                <w:color w:val="auto"/>
              </w:rPr>
            </w:pPr>
            <w:r>
              <w:rPr>
                <w:rFonts w:ascii="Arial" w:cs="Arial" w:eastAsia="Arial" w:hAnsi="Arial"/>
                <w:sz w:val="17"/>
                <w:szCs w:val="17"/>
                <w:b w:val="1"/>
                <w:bCs w:val="1"/>
                <w:color w:val="auto"/>
              </w:rPr>
              <w:t>33.6</w:t>
            </w:r>
          </w:p>
        </w:tc>
        <w:tc>
          <w:tcPr>
            <w:tcW w:w="360" w:type="dxa"/>
            <w:vAlign w:val="bottom"/>
          </w:tcPr>
          <w:p>
            <w:pPr>
              <w:spacing w:after="0"/>
              <w:rPr>
                <w:sz w:val="19"/>
                <w:szCs w:val="19"/>
                <w:color w:val="auto"/>
              </w:rPr>
            </w:pPr>
          </w:p>
        </w:tc>
        <w:tc>
          <w:tcPr>
            <w:tcW w:w="1220" w:type="dxa"/>
            <w:vAlign w:val="bottom"/>
          </w:tcPr>
          <w:p>
            <w:pPr>
              <w:jc w:val="right"/>
              <w:ind w:right="138"/>
              <w:spacing w:after="0"/>
              <w:rPr>
                <w:sz w:val="20"/>
                <w:szCs w:val="20"/>
                <w:color w:val="auto"/>
              </w:rPr>
            </w:pPr>
            <w:r>
              <w:rPr>
                <w:rFonts w:ascii="Arial" w:cs="Arial" w:eastAsia="Arial" w:hAnsi="Arial"/>
                <w:sz w:val="17"/>
                <w:szCs w:val="17"/>
                <w:b w:val="1"/>
                <w:bCs w:val="1"/>
                <w:color w:val="auto"/>
              </w:rPr>
              <w:t>21.2</w:t>
            </w:r>
          </w:p>
        </w:tc>
        <w:tc>
          <w:tcPr>
            <w:tcW w:w="380" w:type="dxa"/>
            <w:vAlign w:val="bottom"/>
          </w:tcPr>
          <w:p>
            <w:pPr>
              <w:spacing w:after="0"/>
              <w:rPr>
                <w:sz w:val="19"/>
                <w:szCs w:val="19"/>
                <w:color w:val="auto"/>
              </w:rPr>
            </w:pPr>
          </w:p>
        </w:tc>
        <w:tc>
          <w:tcPr>
            <w:tcW w:w="920" w:type="dxa"/>
            <w:vAlign w:val="bottom"/>
          </w:tcPr>
          <w:p>
            <w:pPr>
              <w:jc w:val="right"/>
              <w:ind w:right="18"/>
              <w:spacing w:after="0"/>
              <w:rPr>
                <w:sz w:val="20"/>
                <w:szCs w:val="20"/>
                <w:color w:val="auto"/>
              </w:rPr>
            </w:pPr>
            <w:r>
              <w:rPr>
                <w:rFonts w:ascii="Arial" w:cs="Arial" w:eastAsia="Arial" w:hAnsi="Arial"/>
                <w:sz w:val="17"/>
                <w:szCs w:val="17"/>
                <w:b w:val="1"/>
                <w:bCs w:val="1"/>
                <w:color w:val="auto"/>
              </w:rPr>
              <w:t>149.6</w:t>
            </w:r>
          </w:p>
        </w:tc>
      </w:tr>
      <w:tr>
        <w:trPr>
          <w:trHeight w:val="225"/>
        </w:trPr>
        <w:tc>
          <w:tcPr>
            <w:tcW w:w="2380" w:type="dxa"/>
            <w:vAlign w:val="bottom"/>
          </w:tcPr>
          <w:p>
            <w:pPr>
              <w:spacing w:after="0"/>
              <w:rPr>
                <w:sz w:val="20"/>
                <w:szCs w:val="20"/>
                <w:color w:val="auto"/>
              </w:rPr>
            </w:pPr>
            <w:r>
              <w:rPr>
                <w:rFonts w:ascii="Arial" w:cs="Arial" w:eastAsia="Arial" w:hAnsi="Arial"/>
                <w:sz w:val="17"/>
                <w:szCs w:val="17"/>
                <w:color w:val="auto"/>
              </w:rPr>
              <w:t>Other income, net*</w:t>
            </w:r>
          </w:p>
        </w:tc>
        <w:tc>
          <w:tcPr>
            <w:tcW w:w="1320" w:type="dxa"/>
            <w:vAlign w:val="bottom"/>
          </w:tcPr>
          <w:p>
            <w:pPr>
              <w:jc w:val="right"/>
              <w:ind w:right="198"/>
              <w:spacing w:after="0"/>
              <w:rPr>
                <w:sz w:val="20"/>
                <w:szCs w:val="20"/>
                <w:color w:val="auto"/>
              </w:rPr>
            </w:pPr>
            <w:r>
              <w:rPr>
                <w:rFonts w:ascii="Arial" w:cs="Arial" w:eastAsia="Arial" w:hAnsi="Arial"/>
                <w:sz w:val="17"/>
                <w:szCs w:val="17"/>
                <w:b w:val="1"/>
                <w:bCs w:val="1"/>
                <w:color w:val="auto"/>
              </w:rPr>
              <w:t>—</w:t>
            </w:r>
          </w:p>
        </w:tc>
        <w:tc>
          <w:tcPr>
            <w:tcW w:w="1300" w:type="dxa"/>
            <w:vAlign w:val="bottom"/>
          </w:tcPr>
          <w:p>
            <w:pPr>
              <w:jc w:val="right"/>
              <w:ind w:right="138"/>
              <w:spacing w:after="0"/>
              <w:rPr>
                <w:sz w:val="20"/>
                <w:szCs w:val="20"/>
                <w:color w:val="auto"/>
              </w:rPr>
            </w:pPr>
            <w:r>
              <w:rPr>
                <w:rFonts w:ascii="Arial" w:cs="Arial" w:eastAsia="Arial" w:hAnsi="Arial"/>
                <w:sz w:val="17"/>
                <w:szCs w:val="17"/>
                <w:b w:val="1"/>
                <w:bCs w:val="1"/>
                <w:color w:val="auto"/>
              </w:rPr>
              <w:t>0.7</w:t>
            </w:r>
          </w:p>
        </w:tc>
        <w:tc>
          <w:tcPr>
            <w:tcW w:w="380" w:type="dxa"/>
            <w:vAlign w:val="bottom"/>
          </w:tcPr>
          <w:p>
            <w:pPr>
              <w:spacing w:after="0"/>
              <w:rPr>
                <w:sz w:val="19"/>
                <w:szCs w:val="19"/>
                <w:color w:val="auto"/>
              </w:rPr>
            </w:pPr>
          </w:p>
        </w:tc>
        <w:tc>
          <w:tcPr>
            <w:tcW w:w="1040" w:type="dxa"/>
            <w:vAlign w:val="bottom"/>
          </w:tcPr>
          <w:p>
            <w:pPr>
              <w:jc w:val="right"/>
              <w:ind w:right="218"/>
              <w:spacing w:after="0"/>
              <w:rPr>
                <w:sz w:val="20"/>
                <w:szCs w:val="20"/>
                <w:color w:val="auto"/>
              </w:rPr>
            </w:pPr>
            <w:r>
              <w:rPr>
                <w:rFonts w:ascii="Arial" w:cs="Arial" w:eastAsia="Arial" w:hAnsi="Arial"/>
                <w:sz w:val="17"/>
                <w:szCs w:val="17"/>
                <w:b w:val="1"/>
                <w:bCs w:val="1"/>
                <w:color w:val="auto"/>
              </w:rPr>
              <w:t>12.2</w:t>
            </w:r>
          </w:p>
        </w:tc>
        <w:tc>
          <w:tcPr>
            <w:tcW w:w="360" w:type="dxa"/>
            <w:vAlign w:val="bottom"/>
          </w:tcPr>
          <w:p>
            <w:pPr>
              <w:spacing w:after="0"/>
              <w:rPr>
                <w:sz w:val="19"/>
                <w:szCs w:val="19"/>
                <w:color w:val="auto"/>
              </w:rPr>
            </w:pPr>
          </w:p>
        </w:tc>
        <w:tc>
          <w:tcPr>
            <w:tcW w:w="1220" w:type="dxa"/>
            <w:vAlign w:val="bottom"/>
          </w:tcPr>
          <w:p>
            <w:pPr>
              <w:jc w:val="right"/>
              <w:ind w:right="138"/>
              <w:spacing w:after="0"/>
              <w:rPr>
                <w:sz w:val="20"/>
                <w:szCs w:val="20"/>
                <w:color w:val="auto"/>
              </w:rPr>
            </w:pPr>
            <w:r>
              <w:rPr>
                <w:rFonts w:ascii="Arial" w:cs="Arial" w:eastAsia="Arial" w:hAnsi="Arial"/>
                <w:sz w:val="17"/>
                <w:szCs w:val="17"/>
                <w:b w:val="1"/>
                <w:bCs w:val="1"/>
                <w:color w:val="auto"/>
              </w:rPr>
              <w:t>0.5</w:t>
            </w:r>
          </w:p>
        </w:tc>
        <w:tc>
          <w:tcPr>
            <w:tcW w:w="380" w:type="dxa"/>
            <w:vAlign w:val="bottom"/>
          </w:tcPr>
          <w:p>
            <w:pPr>
              <w:spacing w:after="0"/>
              <w:rPr>
                <w:sz w:val="19"/>
                <w:szCs w:val="19"/>
                <w:color w:val="auto"/>
              </w:rPr>
            </w:pPr>
          </w:p>
        </w:tc>
        <w:tc>
          <w:tcPr>
            <w:tcW w:w="920" w:type="dxa"/>
            <w:vAlign w:val="bottom"/>
          </w:tcPr>
          <w:p>
            <w:pPr>
              <w:jc w:val="right"/>
              <w:ind w:right="18"/>
              <w:spacing w:after="0"/>
              <w:rPr>
                <w:sz w:val="20"/>
                <w:szCs w:val="20"/>
                <w:color w:val="auto"/>
              </w:rPr>
            </w:pPr>
            <w:r>
              <w:rPr>
                <w:rFonts w:ascii="Arial" w:cs="Arial" w:eastAsia="Arial" w:hAnsi="Arial"/>
                <w:sz w:val="17"/>
                <w:szCs w:val="17"/>
                <w:b w:val="1"/>
                <w:bCs w:val="1"/>
                <w:color w:val="auto"/>
              </w:rPr>
              <w:t>13.4</w:t>
            </w:r>
          </w:p>
        </w:tc>
      </w:tr>
      <w:tr>
        <w:trPr>
          <w:trHeight w:val="231"/>
        </w:trPr>
        <w:tc>
          <w:tcPr>
            <w:tcW w:w="2380" w:type="dxa"/>
            <w:vAlign w:val="bottom"/>
          </w:tcPr>
          <w:p>
            <w:pPr>
              <w:spacing w:after="0"/>
              <w:rPr>
                <w:sz w:val="20"/>
                <w:szCs w:val="20"/>
                <w:color w:val="auto"/>
              </w:rPr>
            </w:pPr>
            <w:r>
              <w:rPr>
                <w:rFonts w:ascii="Arial" w:cs="Arial" w:eastAsia="Arial" w:hAnsi="Arial"/>
                <w:sz w:val="17"/>
                <w:szCs w:val="17"/>
                <w:color w:val="auto"/>
              </w:rPr>
              <w:t>Noncontrolling interest</w:t>
            </w:r>
          </w:p>
        </w:tc>
        <w:tc>
          <w:tcPr>
            <w:tcW w:w="1320" w:type="dxa"/>
            <w:vAlign w:val="bottom"/>
          </w:tcPr>
          <w:p>
            <w:pPr>
              <w:jc w:val="right"/>
              <w:ind w:right="198"/>
              <w:spacing w:after="0"/>
              <w:rPr>
                <w:sz w:val="20"/>
                <w:szCs w:val="20"/>
                <w:color w:val="auto"/>
              </w:rPr>
            </w:pPr>
            <w:r>
              <w:rPr>
                <w:rFonts w:ascii="Arial" w:cs="Arial" w:eastAsia="Arial" w:hAnsi="Arial"/>
                <w:sz w:val="17"/>
                <w:szCs w:val="17"/>
                <w:b w:val="1"/>
                <w:bCs w:val="1"/>
                <w:color w:val="auto"/>
              </w:rPr>
              <w:t>—</w:t>
            </w:r>
          </w:p>
        </w:tc>
        <w:tc>
          <w:tcPr>
            <w:tcW w:w="1300" w:type="dxa"/>
            <w:vAlign w:val="bottom"/>
          </w:tcPr>
          <w:p>
            <w:pPr>
              <w:jc w:val="right"/>
              <w:ind w:right="158"/>
              <w:spacing w:after="0"/>
              <w:rPr>
                <w:sz w:val="20"/>
                <w:szCs w:val="20"/>
                <w:color w:val="auto"/>
              </w:rPr>
            </w:pPr>
            <w:r>
              <w:rPr>
                <w:rFonts w:ascii="Arial" w:cs="Arial" w:eastAsia="Arial" w:hAnsi="Arial"/>
                <w:sz w:val="17"/>
                <w:szCs w:val="17"/>
                <w:b w:val="1"/>
                <w:bCs w:val="1"/>
                <w:color w:val="auto"/>
              </w:rPr>
              <w:t>—</w:t>
            </w:r>
          </w:p>
        </w:tc>
        <w:tc>
          <w:tcPr>
            <w:tcW w:w="380" w:type="dxa"/>
            <w:vAlign w:val="bottom"/>
          </w:tcPr>
          <w:p>
            <w:pPr>
              <w:spacing w:after="0"/>
              <w:rPr>
                <w:sz w:val="20"/>
                <w:szCs w:val="20"/>
                <w:color w:val="auto"/>
              </w:rPr>
            </w:pPr>
          </w:p>
        </w:tc>
        <w:tc>
          <w:tcPr>
            <w:tcW w:w="1040" w:type="dxa"/>
            <w:vAlign w:val="bottom"/>
          </w:tcPr>
          <w:p>
            <w:pPr>
              <w:jc w:val="right"/>
              <w:ind w:right="158"/>
              <w:spacing w:after="0"/>
              <w:rPr>
                <w:sz w:val="20"/>
                <w:szCs w:val="20"/>
                <w:color w:val="auto"/>
              </w:rPr>
            </w:pPr>
            <w:r>
              <w:rPr>
                <w:rFonts w:ascii="Arial" w:cs="Arial" w:eastAsia="Arial" w:hAnsi="Arial"/>
                <w:sz w:val="17"/>
                <w:szCs w:val="17"/>
                <w:b w:val="1"/>
                <w:bCs w:val="1"/>
                <w:color w:val="auto"/>
              </w:rPr>
              <w:t>(1.1)</w:t>
            </w:r>
          </w:p>
        </w:tc>
        <w:tc>
          <w:tcPr>
            <w:tcW w:w="360" w:type="dxa"/>
            <w:vAlign w:val="bottom"/>
          </w:tcPr>
          <w:p>
            <w:pPr>
              <w:spacing w:after="0"/>
              <w:rPr>
                <w:sz w:val="20"/>
                <w:szCs w:val="20"/>
                <w:color w:val="auto"/>
              </w:rPr>
            </w:pPr>
          </w:p>
        </w:tc>
        <w:tc>
          <w:tcPr>
            <w:tcW w:w="1220" w:type="dxa"/>
            <w:vAlign w:val="bottom"/>
          </w:tcPr>
          <w:p>
            <w:pPr>
              <w:jc w:val="right"/>
              <w:ind w:right="158"/>
              <w:spacing w:after="0"/>
              <w:rPr>
                <w:sz w:val="20"/>
                <w:szCs w:val="20"/>
                <w:color w:val="auto"/>
              </w:rPr>
            </w:pPr>
            <w:r>
              <w:rPr>
                <w:rFonts w:ascii="Arial" w:cs="Arial" w:eastAsia="Arial" w:hAnsi="Arial"/>
                <w:sz w:val="17"/>
                <w:szCs w:val="17"/>
                <w:b w:val="1"/>
                <w:bCs w:val="1"/>
                <w:color w:val="auto"/>
              </w:rPr>
              <w:t>—</w:t>
            </w:r>
          </w:p>
        </w:tc>
        <w:tc>
          <w:tcPr>
            <w:tcW w:w="380" w:type="dxa"/>
            <w:vAlign w:val="bottom"/>
          </w:tcPr>
          <w:p>
            <w:pPr>
              <w:spacing w:after="0"/>
              <w:rPr>
                <w:sz w:val="20"/>
                <w:szCs w:val="20"/>
                <w:color w:val="auto"/>
              </w:rPr>
            </w:pPr>
          </w:p>
        </w:tc>
        <w:tc>
          <w:tcPr>
            <w:tcW w:w="920" w:type="dxa"/>
            <w:vAlign w:val="bottom"/>
          </w:tcPr>
          <w:p>
            <w:pPr>
              <w:jc w:val="right"/>
              <w:spacing w:after="0"/>
              <w:rPr>
                <w:sz w:val="20"/>
                <w:szCs w:val="20"/>
                <w:color w:val="auto"/>
              </w:rPr>
            </w:pPr>
            <w:r>
              <w:rPr>
                <w:rFonts w:ascii="Arial" w:cs="Arial" w:eastAsia="Arial" w:hAnsi="Arial"/>
                <w:sz w:val="17"/>
                <w:szCs w:val="17"/>
                <w:b w:val="1"/>
                <w:bCs w:val="1"/>
                <w:color w:val="auto"/>
              </w:rPr>
              <w:t>(1.1)</w:t>
            </w:r>
          </w:p>
        </w:tc>
      </w:tr>
      <w:tr>
        <w:trPr>
          <w:trHeight w:val="264"/>
        </w:trPr>
        <w:tc>
          <w:tcPr>
            <w:tcW w:w="2380" w:type="dxa"/>
            <w:vAlign w:val="bottom"/>
          </w:tcPr>
          <w:p>
            <w:pPr>
              <w:spacing w:after="0" w:line="263" w:lineRule="exact"/>
              <w:rPr>
                <w:sz w:val="20"/>
                <w:szCs w:val="20"/>
                <w:color w:val="auto"/>
              </w:rPr>
            </w:pPr>
            <w:r>
              <w:rPr>
                <w:rFonts w:ascii="Arial" w:cs="Arial" w:eastAsia="Arial" w:hAnsi="Arial"/>
                <w:sz w:val="17"/>
                <w:szCs w:val="17"/>
                <w:color w:val="auto"/>
              </w:rPr>
              <w:t>Adjustments</w:t>
            </w:r>
            <w:r>
              <w:rPr>
                <w:rFonts w:ascii="Arial" w:cs="Arial" w:eastAsia="Arial" w:hAnsi="Arial"/>
                <w:sz w:val="27"/>
                <w:szCs w:val="27"/>
                <w:color w:val="auto"/>
              </w:rPr>
              <w:t xml:space="preserve"> </w:t>
            </w:r>
            <w:r>
              <w:rPr>
                <w:rFonts w:ascii="Arial" w:cs="Arial" w:eastAsia="Arial" w:hAnsi="Arial"/>
                <w:sz w:val="27"/>
                <w:szCs w:val="27"/>
                <w:color w:val="auto"/>
                <w:vertAlign w:val="superscript"/>
              </w:rPr>
              <w:t>(1)</w:t>
            </w:r>
          </w:p>
        </w:tc>
        <w:tc>
          <w:tcPr>
            <w:tcW w:w="1320" w:type="dxa"/>
            <w:vAlign w:val="bottom"/>
          </w:tcPr>
          <w:p>
            <w:pPr>
              <w:jc w:val="right"/>
              <w:ind w:right="198"/>
              <w:spacing w:after="0"/>
              <w:rPr>
                <w:sz w:val="20"/>
                <w:szCs w:val="20"/>
                <w:color w:val="auto"/>
              </w:rPr>
            </w:pPr>
            <w:r>
              <w:rPr>
                <w:rFonts w:ascii="Arial" w:cs="Arial" w:eastAsia="Arial" w:hAnsi="Arial"/>
                <w:sz w:val="17"/>
                <w:szCs w:val="17"/>
                <w:b w:val="1"/>
                <w:bCs w:val="1"/>
                <w:color w:val="auto"/>
              </w:rPr>
              <w:t>11.2</w:t>
            </w:r>
          </w:p>
        </w:tc>
        <w:tc>
          <w:tcPr>
            <w:tcW w:w="1300" w:type="dxa"/>
            <w:vAlign w:val="bottom"/>
          </w:tcPr>
          <w:p>
            <w:pPr>
              <w:jc w:val="right"/>
              <w:ind w:right="138"/>
              <w:spacing w:after="0"/>
              <w:rPr>
                <w:sz w:val="20"/>
                <w:szCs w:val="20"/>
                <w:color w:val="auto"/>
              </w:rPr>
            </w:pPr>
            <w:r>
              <w:rPr>
                <w:rFonts w:ascii="Arial" w:cs="Arial" w:eastAsia="Arial" w:hAnsi="Arial"/>
                <w:sz w:val="17"/>
                <w:szCs w:val="17"/>
                <w:b w:val="1"/>
                <w:bCs w:val="1"/>
                <w:color w:val="auto"/>
              </w:rPr>
              <w:t>6.0</w:t>
            </w:r>
          </w:p>
        </w:tc>
        <w:tc>
          <w:tcPr>
            <w:tcW w:w="380" w:type="dxa"/>
            <w:vAlign w:val="bottom"/>
          </w:tcPr>
          <w:p>
            <w:pPr>
              <w:spacing w:after="0"/>
              <w:rPr>
                <w:sz w:val="22"/>
                <w:szCs w:val="22"/>
                <w:color w:val="auto"/>
              </w:rPr>
            </w:pPr>
          </w:p>
        </w:tc>
        <w:tc>
          <w:tcPr>
            <w:tcW w:w="1040" w:type="dxa"/>
            <w:vAlign w:val="bottom"/>
          </w:tcPr>
          <w:p>
            <w:pPr>
              <w:jc w:val="right"/>
              <w:ind w:right="158"/>
              <w:spacing w:after="0"/>
              <w:rPr>
                <w:sz w:val="20"/>
                <w:szCs w:val="20"/>
                <w:color w:val="auto"/>
              </w:rPr>
            </w:pPr>
            <w:r>
              <w:rPr>
                <w:rFonts w:ascii="Arial" w:cs="Arial" w:eastAsia="Arial" w:hAnsi="Arial"/>
                <w:sz w:val="17"/>
                <w:szCs w:val="17"/>
                <w:b w:val="1"/>
                <w:bCs w:val="1"/>
                <w:color w:val="auto"/>
              </w:rPr>
              <w:t>(8.9)</w:t>
            </w:r>
          </w:p>
        </w:tc>
        <w:tc>
          <w:tcPr>
            <w:tcW w:w="360" w:type="dxa"/>
            <w:vAlign w:val="bottom"/>
          </w:tcPr>
          <w:p>
            <w:pPr>
              <w:spacing w:after="0"/>
              <w:rPr>
                <w:sz w:val="22"/>
                <w:szCs w:val="22"/>
                <w:color w:val="auto"/>
              </w:rPr>
            </w:pPr>
          </w:p>
        </w:tc>
        <w:tc>
          <w:tcPr>
            <w:tcW w:w="1220" w:type="dxa"/>
            <w:vAlign w:val="bottom"/>
          </w:tcPr>
          <w:p>
            <w:pPr>
              <w:jc w:val="right"/>
              <w:ind w:right="138"/>
              <w:spacing w:after="0"/>
              <w:rPr>
                <w:sz w:val="20"/>
                <w:szCs w:val="20"/>
                <w:color w:val="auto"/>
              </w:rPr>
            </w:pPr>
            <w:r>
              <w:rPr>
                <w:rFonts w:ascii="Arial" w:cs="Arial" w:eastAsia="Arial" w:hAnsi="Arial"/>
                <w:sz w:val="17"/>
                <w:szCs w:val="17"/>
                <w:b w:val="1"/>
                <w:bCs w:val="1"/>
                <w:color w:val="auto"/>
              </w:rPr>
              <w:t>24.2</w:t>
            </w:r>
          </w:p>
        </w:tc>
        <w:tc>
          <w:tcPr>
            <w:tcW w:w="380" w:type="dxa"/>
            <w:vAlign w:val="bottom"/>
          </w:tcPr>
          <w:p>
            <w:pPr>
              <w:spacing w:after="0"/>
              <w:rPr>
                <w:sz w:val="22"/>
                <w:szCs w:val="22"/>
                <w:color w:val="auto"/>
              </w:rPr>
            </w:pPr>
          </w:p>
        </w:tc>
        <w:tc>
          <w:tcPr>
            <w:tcW w:w="920" w:type="dxa"/>
            <w:vAlign w:val="bottom"/>
          </w:tcPr>
          <w:p>
            <w:pPr>
              <w:jc w:val="right"/>
              <w:ind w:right="18"/>
              <w:spacing w:after="0"/>
              <w:rPr>
                <w:sz w:val="20"/>
                <w:szCs w:val="20"/>
                <w:color w:val="auto"/>
              </w:rPr>
            </w:pPr>
            <w:r>
              <w:rPr>
                <w:rFonts w:ascii="Arial" w:cs="Arial" w:eastAsia="Arial" w:hAnsi="Arial"/>
                <w:sz w:val="17"/>
                <w:szCs w:val="17"/>
                <w:b w:val="1"/>
                <w:bCs w:val="1"/>
                <w:color w:val="auto"/>
              </w:rPr>
              <w:t>32.5</w:t>
            </w:r>
          </w:p>
        </w:tc>
      </w:tr>
      <w:tr>
        <w:trPr>
          <w:trHeight w:val="195"/>
        </w:trPr>
        <w:tc>
          <w:tcPr>
            <w:tcW w:w="2380" w:type="dxa"/>
            <w:vAlign w:val="bottom"/>
          </w:tcPr>
          <w:p>
            <w:pPr>
              <w:spacing w:after="0"/>
              <w:rPr>
                <w:sz w:val="16"/>
                <w:szCs w:val="16"/>
                <w:color w:val="auto"/>
              </w:rPr>
            </w:pPr>
          </w:p>
        </w:tc>
        <w:tc>
          <w:tcPr>
            <w:tcW w:w="1320" w:type="dxa"/>
            <w:vAlign w:val="bottom"/>
          </w:tcPr>
          <w:p>
            <w:pPr>
              <w:jc w:val="right"/>
              <w:ind w:right="658"/>
              <w:spacing w:after="0"/>
              <w:rPr>
                <w:sz w:val="20"/>
                <w:szCs w:val="20"/>
                <w:color w:val="auto"/>
              </w:rPr>
            </w:pPr>
            <w:r>
              <w:rPr>
                <w:rFonts w:ascii="Arial" w:cs="Arial" w:eastAsia="Arial" w:hAnsi="Arial"/>
                <w:sz w:val="17"/>
                <w:szCs w:val="17"/>
                <w:b w:val="1"/>
                <w:bCs w:val="1"/>
                <w:color w:val="auto"/>
              </w:rPr>
              <w:t>$</w:t>
            </w:r>
          </w:p>
        </w:tc>
        <w:tc>
          <w:tcPr>
            <w:tcW w:w="1300" w:type="dxa"/>
            <w:vAlign w:val="bottom"/>
          </w:tcPr>
          <w:p>
            <w:pPr>
              <w:jc w:val="right"/>
              <w:ind w:right="618"/>
              <w:spacing w:after="0"/>
              <w:rPr>
                <w:sz w:val="20"/>
                <w:szCs w:val="20"/>
                <w:color w:val="auto"/>
              </w:rPr>
            </w:pPr>
            <w:r>
              <w:rPr>
                <w:rFonts w:ascii="Arial" w:cs="Arial" w:eastAsia="Arial" w:hAnsi="Arial"/>
                <w:sz w:val="17"/>
                <w:szCs w:val="17"/>
                <w:b w:val="1"/>
                <w:bCs w:val="1"/>
                <w:color w:val="auto"/>
              </w:rPr>
              <w:t>$</w:t>
            </w:r>
          </w:p>
        </w:tc>
        <w:tc>
          <w:tcPr>
            <w:tcW w:w="380" w:type="dxa"/>
            <w:vAlign w:val="bottom"/>
          </w:tcPr>
          <w:p>
            <w:pPr>
              <w:spacing w:after="0"/>
              <w:rPr>
                <w:sz w:val="16"/>
                <w:szCs w:val="16"/>
                <w:color w:val="auto"/>
              </w:rPr>
            </w:pPr>
          </w:p>
        </w:tc>
        <w:tc>
          <w:tcPr>
            <w:tcW w:w="104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122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920" w:type="dxa"/>
            <w:vAlign w:val="bottom"/>
          </w:tcPr>
          <w:p>
            <w:pPr>
              <w:spacing w:after="0"/>
              <w:rPr>
                <w:sz w:val="16"/>
                <w:szCs w:val="16"/>
                <w:color w:val="auto"/>
              </w:rPr>
            </w:pPr>
          </w:p>
        </w:tc>
      </w:tr>
      <w:tr>
        <w:trPr>
          <w:trHeight w:val="225"/>
        </w:trPr>
        <w:tc>
          <w:tcPr>
            <w:tcW w:w="2380" w:type="dxa"/>
            <w:vAlign w:val="bottom"/>
          </w:tcPr>
          <w:p>
            <w:pPr>
              <w:spacing w:after="0"/>
              <w:rPr>
                <w:sz w:val="20"/>
                <w:szCs w:val="20"/>
                <w:color w:val="auto"/>
              </w:rPr>
            </w:pPr>
            <w:r>
              <w:rPr>
                <w:rFonts w:ascii="Arial" w:cs="Arial" w:eastAsia="Arial" w:hAnsi="Arial"/>
                <w:sz w:val="17"/>
                <w:szCs w:val="17"/>
                <w:color w:val="auto"/>
              </w:rPr>
              <w:t>Adjusted EBITDA</w:t>
            </w:r>
          </w:p>
        </w:tc>
        <w:tc>
          <w:tcPr>
            <w:tcW w:w="1320" w:type="dxa"/>
            <w:vAlign w:val="bottom"/>
          </w:tcPr>
          <w:p>
            <w:pPr>
              <w:jc w:val="right"/>
              <w:ind w:right="198"/>
              <w:spacing w:after="0"/>
              <w:rPr>
                <w:sz w:val="20"/>
                <w:szCs w:val="20"/>
                <w:color w:val="auto"/>
              </w:rPr>
            </w:pPr>
            <w:r>
              <w:rPr>
                <w:rFonts w:ascii="Arial" w:cs="Arial" w:eastAsia="Arial" w:hAnsi="Arial"/>
                <w:sz w:val="17"/>
                <w:szCs w:val="17"/>
                <w:b w:val="1"/>
                <w:bCs w:val="1"/>
                <w:color w:val="auto"/>
              </w:rPr>
              <w:t>300.1</w:t>
            </w:r>
          </w:p>
        </w:tc>
        <w:tc>
          <w:tcPr>
            <w:tcW w:w="1300" w:type="dxa"/>
            <w:vAlign w:val="bottom"/>
          </w:tcPr>
          <w:p>
            <w:pPr>
              <w:jc w:val="right"/>
              <w:ind w:right="138"/>
              <w:spacing w:after="0"/>
              <w:rPr>
                <w:sz w:val="20"/>
                <w:szCs w:val="20"/>
                <w:color w:val="auto"/>
              </w:rPr>
            </w:pPr>
            <w:r>
              <w:rPr>
                <w:rFonts w:ascii="Arial" w:cs="Arial" w:eastAsia="Arial" w:hAnsi="Arial"/>
                <w:sz w:val="17"/>
                <w:szCs w:val="17"/>
                <w:b w:val="1"/>
                <w:bCs w:val="1"/>
                <w:color w:val="auto"/>
              </w:rPr>
              <w:t>160.0</w:t>
            </w:r>
          </w:p>
        </w:tc>
        <w:tc>
          <w:tcPr>
            <w:tcW w:w="380" w:type="dxa"/>
            <w:vAlign w:val="bottom"/>
          </w:tcPr>
          <w:p>
            <w:pPr>
              <w:jc w:val="right"/>
              <w:ind w:right="98"/>
              <w:spacing w:after="0"/>
              <w:rPr>
                <w:sz w:val="20"/>
                <w:szCs w:val="20"/>
                <w:color w:val="auto"/>
              </w:rPr>
            </w:pPr>
            <w:r>
              <w:rPr>
                <w:rFonts w:ascii="Arial" w:cs="Arial" w:eastAsia="Arial" w:hAnsi="Arial"/>
                <w:sz w:val="17"/>
                <w:szCs w:val="17"/>
                <w:b w:val="1"/>
                <w:bCs w:val="1"/>
                <w:color w:val="auto"/>
              </w:rPr>
              <w:t>$</w:t>
            </w:r>
          </w:p>
        </w:tc>
        <w:tc>
          <w:tcPr>
            <w:tcW w:w="1040" w:type="dxa"/>
            <w:vAlign w:val="bottom"/>
          </w:tcPr>
          <w:p>
            <w:pPr>
              <w:jc w:val="right"/>
              <w:ind w:right="218"/>
              <w:spacing w:after="0"/>
              <w:rPr>
                <w:sz w:val="20"/>
                <w:szCs w:val="20"/>
                <w:color w:val="auto"/>
              </w:rPr>
            </w:pPr>
            <w:r>
              <w:rPr>
                <w:rFonts w:ascii="Arial" w:cs="Arial" w:eastAsia="Arial" w:hAnsi="Arial"/>
                <w:sz w:val="17"/>
                <w:szCs w:val="17"/>
                <w:b w:val="1"/>
                <w:bCs w:val="1"/>
                <w:color w:val="auto"/>
              </w:rPr>
              <w:t>70.2</w:t>
            </w:r>
          </w:p>
        </w:tc>
        <w:tc>
          <w:tcPr>
            <w:tcW w:w="360" w:type="dxa"/>
            <w:vAlign w:val="bottom"/>
          </w:tcPr>
          <w:p>
            <w:pPr>
              <w:jc w:val="right"/>
              <w:spacing w:after="0"/>
              <w:rPr>
                <w:sz w:val="20"/>
                <w:szCs w:val="20"/>
                <w:color w:val="auto"/>
              </w:rPr>
            </w:pPr>
            <w:r>
              <w:rPr>
                <w:rFonts w:ascii="Arial" w:cs="Arial" w:eastAsia="Arial" w:hAnsi="Arial"/>
                <w:sz w:val="17"/>
                <w:szCs w:val="17"/>
                <w:b w:val="1"/>
                <w:bCs w:val="1"/>
                <w:color w:val="auto"/>
              </w:rPr>
              <w:t>$</w:t>
            </w:r>
          </w:p>
        </w:tc>
        <w:tc>
          <w:tcPr>
            <w:tcW w:w="1220" w:type="dxa"/>
            <w:vAlign w:val="bottom"/>
          </w:tcPr>
          <w:p>
            <w:pPr>
              <w:jc w:val="right"/>
              <w:ind w:right="98"/>
              <w:spacing w:after="0"/>
              <w:rPr>
                <w:sz w:val="20"/>
                <w:szCs w:val="20"/>
                <w:color w:val="auto"/>
              </w:rPr>
            </w:pPr>
            <w:r>
              <w:rPr>
                <w:rFonts w:ascii="Arial" w:cs="Arial" w:eastAsia="Arial" w:hAnsi="Arial"/>
                <w:sz w:val="17"/>
                <w:szCs w:val="17"/>
                <w:b w:val="1"/>
                <w:bCs w:val="1"/>
                <w:color w:val="auto"/>
              </w:rPr>
              <w:t>(99.0)</w:t>
            </w:r>
          </w:p>
        </w:tc>
        <w:tc>
          <w:tcPr>
            <w:tcW w:w="380" w:type="dxa"/>
            <w:vAlign w:val="bottom"/>
          </w:tcPr>
          <w:p>
            <w:pPr>
              <w:jc w:val="right"/>
              <w:ind w:right="38"/>
              <w:spacing w:after="0"/>
              <w:rPr>
                <w:sz w:val="20"/>
                <w:szCs w:val="20"/>
                <w:color w:val="auto"/>
              </w:rPr>
            </w:pPr>
            <w:r>
              <w:rPr>
                <w:rFonts w:ascii="Arial" w:cs="Arial" w:eastAsia="Arial" w:hAnsi="Arial"/>
                <w:sz w:val="17"/>
                <w:szCs w:val="17"/>
                <w:b w:val="1"/>
                <w:bCs w:val="1"/>
                <w:color w:val="auto"/>
              </w:rPr>
              <w:t>$</w:t>
            </w:r>
          </w:p>
        </w:tc>
        <w:tc>
          <w:tcPr>
            <w:tcW w:w="920" w:type="dxa"/>
            <w:vAlign w:val="bottom"/>
          </w:tcPr>
          <w:p>
            <w:pPr>
              <w:jc w:val="right"/>
              <w:ind w:right="38"/>
              <w:spacing w:after="0"/>
              <w:rPr>
                <w:sz w:val="20"/>
                <w:szCs w:val="20"/>
                <w:color w:val="auto"/>
              </w:rPr>
            </w:pPr>
            <w:r>
              <w:rPr>
                <w:rFonts w:ascii="Arial" w:cs="Arial" w:eastAsia="Arial" w:hAnsi="Arial"/>
                <w:sz w:val="17"/>
                <w:szCs w:val="17"/>
                <w:b w:val="1"/>
                <w:bCs w:val="1"/>
                <w:color w:val="auto"/>
              </w:rPr>
              <w:t>431.3</w:t>
            </w:r>
          </w:p>
        </w:tc>
      </w:tr>
      <w:tr>
        <w:trPr>
          <w:trHeight w:val="225"/>
        </w:trPr>
        <w:tc>
          <w:tcPr>
            <w:tcW w:w="2380" w:type="dxa"/>
            <w:vAlign w:val="bottom"/>
          </w:tcPr>
          <w:p>
            <w:pPr>
              <w:spacing w:after="0"/>
              <w:rPr>
                <w:sz w:val="20"/>
                <w:szCs w:val="20"/>
                <w:color w:val="auto"/>
              </w:rPr>
            </w:pPr>
            <w:r>
              <w:rPr>
                <w:rFonts w:ascii="Arial" w:cs="Arial" w:eastAsia="Arial" w:hAnsi="Arial"/>
                <w:sz w:val="17"/>
                <w:szCs w:val="17"/>
                <w:color w:val="auto"/>
              </w:rPr>
              <w:t>Operating margin</w:t>
            </w:r>
          </w:p>
        </w:tc>
        <w:tc>
          <w:tcPr>
            <w:tcW w:w="1320" w:type="dxa"/>
            <w:vAlign w:val="bottom"/>
          </w:tcPr>
          <w:p>
            <w:pPr>
              <w:jc w:val="right"/>
              <w:ind w:right="78"/>
              <w:spacing w:after="0"/>
              <w:rPr>
                <w:sz w:val="20"/>
                <w:szCs w:val="20"/>
                <w:color w:val="auto"/>
              </w:rPr>
            </w:pPr>
            <w:r>
              <w:rPr>
                <w:rFonts w:ascii="Arial" w:cs="Arial" w:eastAsia="Arial" w:hAnsi="Arial"/>
                <w:sz w:val="17"/>
                <w:szCs w:val="17"/>
                <w:b w:val="1"/>
                <w:bCs w:val="1"/>
                <w:color w:val="auto"/>
              </w:rPr>
              <w:t>42.0 %</w:t>
            </w:r>
          </w:p>
        </w:tc>
        <w:tc>
          <w:tcPr>
            <w:tcW w:w="1300" w:type="dxa"/>
            <w:vAlign w:val="bottom"/>
          </w:tcPr>
          <w:p>
            <w:pPr>
              <w:jc w:val="right"/>
              <w:ind w:right="18"/>
              <w:spacing w:after="0"/>
              <w:rPr>
                <w:sz w:val="20"/>
                <w:szCs w:val="20"/>
                <w:color w:val="auto"/>
              </w:rPr>
            </w:pPr>
            <w:r>
              <w:rPr>
                <w:rFonts w:ascii="Arial" w:cs="Arial" w:eastAsia="Arial" w:hAnsi="Arial"/>
                <w:sz w:val="17"/>
                <w:szCs w:val="17"/>
                <w:b w:val="1"/>
                <w:bCs w:val="1"/>
                <w:color w:val="auto"/>
              </w:rPr>
              <w:t>23.1 %</w:t>
            </w:r>
          </w:p>
        </w:tc>
        <w:tc>
          <w:tcPr>
            <w:tcW w:w="380" w:type="dxa"/>
            <w:vAlign w:val="bottom"/>
          </w:tcPr>
          <w:p>
            <w:pPr>
              <w:spacing w:after="0"/>
              <w:rPr>
                <w:sz w:val="19"/>
                <w:szCs w:val="19"/>
                <w:color w:val="auto"/>
              </w:rPr>
            </w:pPr>
          </w:p>
        </w:tc>
        <w:tc>
          <w:tcPr>
            <w:tcW w:w="1040" w:type="dxa"/>
            <w:vAlign w:val="bottom"/>
          </w:tcPr>
          <w:p>
            <w:pPr>
              <w:jc w:val="right"/>
              <w:ind w:right="98"/>
              <w:spacing w:after="0"/>
              <w:rPr>
                <w:sz w:val="20"/>
                <w:szCs w:val="20"/>
                <w:color w:val="auto"/>
              </w:rPr>
            </w:pPr>
            <w:r>
              <w:rPr>
                <w:rFonts w:ascii="Arial" w:cs="Arial" w:eastAsia="Arial" w:hAnsi="Arial"/>
                <w:sz w:val="17"/>
                <w:szCs w:val="17"/>
                <w:b w:val="1"/>
                <w:bCs w:val="1"/>
                <w:color w:val="auto"/>
              </w:rPr>
              <w:t>11.9 %</w:t>
            </w:r>
          </w:p>
        </w:tc>
        <w:tc>
          <w:tcPr>
            <w:tcW w:w="360" w:type="dxa"/>
            <w:vAlign w:val="bottom"/>
          </w:tcPr>
          <w:p>
            <w:pPr>
              <w:spacing w:after="0"/>
              <w:rPr>
                <w:sz w:val="19"/>
                <w:szCs w:val="19"/>
                <w:color w:val="auto"/>
              </w:rPr>
            </w:pPr>
          </w:p>
        </w:tc>
        <w:tc>
          <w:tcPr>
            <w:tcW w:w="1220" w:type="dxa"/>
            <w:vAlign w:val="bottom"/>
          </w:tcPr>
          <w:p>
            <w:pPr>
              <w:jc w:val="right"/>
              <w:ind w:right="18"/>
              <w:spacing w:after="0"/>
              <w:rPr>
                <w:sz w:val="20"/>
                <w:szCs w:val="20"/>
                <w:color w:val="auto"/>
              </w:rPr>
            </w:pPr>
            <w:r>
              <w:rPr>
                <w:rFonts w:ascii="Arial" w:cs="Arial" w:eastAsia="Arial" w:hAnsi="Arial"/>
                <w:sz w:val="17"/>
                <w:szCs w:val="17"/>
                <w:b w:val="1"/>
                <w:bCs w:val="1"/>
                <w:color w:val="auto"/>
              </w:rPr>
              <w:t>nm</w:t>
            </w:r>
          </w:p>
        </w:tc>
        <w:tc>
          <w:tcPr>
            <w:tcW w:w="380" w:type="dxa"/>
            <w:vAlign w:val="bottom"/>
          </w:tcPr>
          <w:p>
            <w:pPr>
              <w:spacing w:after="0"/>
              <w:rPr>
                <w:sz w:val="19"/>
                <w:szCs w:val="19"/>
                <w:color w:val="auto"/>
              </w:rPr>
            </w:pPr>
          </w:p>
        </w:tc>
        <w:tc>
          <w:tcPr>
            <w:tcW w:w="920" w:type="dxa"/>
            <w:vAlign w:val="bottom"/>
          </w:tcPr>
          <w:p>
            <w:pPr>
              <w:jc w:val="right"/>
              <w:spacing w:after="0"/>
              <w:rPr>
                <w:sz w:val="20"/>
                <w:szCs w:val="20"/>
                <w:color w:val="auto"/>
              </w:rPr>
            </w:pPr>
            <w:r>
              <w:rPr>
                <w:rFonts w:ascii="Arial" w:cs="Arial" w:eastAsia="Arial" w:hAnsi="Arial"/>
                <w:sz w:val="17"/>
                <w:szCs w:val="17"/>
                <w:b w:val="1"/>
                <w:bCs w:val="1"/>
                <w:color w:val="auto"/>
              </w:rPr>
              <w:t>18.0 %</w:t>
            </w:r>
          </w:p>
        </w:tc>
      </w:tr>
      <w:tr>
        <w:trPr>
          <w:trHeight w:val="231"/>
        </w:trPr>
        <w:tc>
          <w:tcPr>
            <w:tcW w:w="2380" w:type="dxa"/>
            <w:vAlign w:val="bottom"/>
          </w:tcPr>
          <w:p>
            <w:pPr>
              <w:spacing w:after="0"/>
              <w:rPr>
                <w:sz w:val="20"/>
                <w:szCs w:val="20"/>
                <w:color w:val="auto"/>
              </w:rPr>
            </w:pPr>
            <w:r>
              <w:rPr>
                <w:rFonts w:ascii="Arial" w:cs="Arial" w:eastAsia="Arial" w:hAnsi="Arial"/>
                <w:sz w:val="17"/>
                <w:szCs w:val="17"/>
                <w:color w:val="auto"/>
              </w:rPr>
              <w:t>Adjusted EBITDA margin</w:t>
            </w:r>
          </w:p>
        </w:tc>
        <w:tc>
          <w:tcPr>
            <w:tcW w:w="1320" w:type="dxa"/>
            <w:vAlign w:val="bottom"/>
          </w:tcPr>
          <w:p>
            <w:pPr>
              <w:jc w:val="right"/>
              <w:ind w:right="78"/>
              <w:spacing w:after="0"/>
              <w:rPr>
                <w:sz w:val="20"/>
                <w:szCs w:val="20"/>
                <w:color w:val="auto"/>
              </w:rPr>
            </w:pPr>
            <w:r>
              <w:rPr>
                <w:rFonts w:ascii="Arial" w:cs="Arial" w:eastAsia="Arial" w:hAnsi="Arial"/>
                <w:sz w:val="17"/>
                <w:szCs w:val="17"/>
                <w:b w:val="1"/>
                <w:bCs w:val="1"/>
                <w:color w:val="auto"/>
              </w:rPr>
              <w:t>51.5 %</w:t>
            </w:r>
          </w:p>
        </w:tc>
        <w:tc>
          <w:tcPr>
            <w:tcW w:w="1300" w:type="dxa"/>
            <w:vAlign w:val="bottom"/>
          </w:tcPr>
          <w:p>
            <w:pPr>
              <w:jc w:val="right"/>
              <w:ind w:right="18"/>
              <w:spacing w:after="0"/>
              <w:rPr>
                <w:sz w:val="20"/>
                <w:szCs w:val="20"/>
                <w:color w:val="auto"/>
              </w:rPr>
            </w:pPr>
            <w:r>
              <w:rPr>
                <w:rFonts w:ascii="Arial" w:cs="Arial" w:eastAsia="Arial" w:hAnsi="Arial"/>
                <w:sz w:val="17"/>
                <w:szCs w:val="17"/>
                <w:b w:val="1"/>
                <w:bCs w:val="1"/>
                <w:color w:val="auto"/>
              </w:rPr>
              <w:t>36.0 %</w:t>
            </w:r>
          </w:p>
        </w:tc>
        <w:tc>
          <w:tcPr>
            <w:tcW w:w="380" w:type="dxa"/>
            <w:vAlign w:val="bottom"/>
          </w:tcPr>
          <w:p>
            <w:pPr>
              <w:spacing w:after="0"/>
              <w:rPr>
                <w:sz w:val="20"/>
                <w:szCs w:val="20"/>
                <w:color w:val="auto"/>
              </w:rPr>
            </w:pPr>
          </w:p>
        </w:tc>
        <w:tc>
          <w:tcPr>
            <w:tcW w:w="1040" w:type="dxa"/>
            <w:vAlign w:val="bottom"/>
          </w:tcPr>
          <w:p>
            <w:pPr>
              <w:jc w:val="right"/>
              <w:ind w:right="98"/>
              <w:spacing w:after="0"/>
              <w:rPr>
                <w:sz w:val="20"/>
                <w:szCs w:val="20"/>
                <w:color w:val="auto"/>
              </w:rPr>
            </w:pPr>
            <w:r>
              <w:rPr>
                <w:rFonts w:ascii="Arial" w:cs="Arial" w:eastAsia="Arial" w:hAnsi="Arial"/>
                <w:sz w:val="17"/>
                <w:szCs w:val="17"/>
                <w:b w:val="1"/>
                <w:bCs w:val="1"/>
                <w:color w:val="auto"/>
              </w:rPr>
              <w:t>24.2 %</w:t>
            </w:r>
          </w:p>
        </w:tc>
        <w:tc>
          <w:tcPr>
            <w:tcW w:w="360" w:type="dxa"/>
            <w:vAlign w:val="bottom"/>
          </w:tcPr>
          <w:p>
            <w:pPr>
              <w:spacing w:after="0"/>
              <w:rPr>
                <w:sz w:val="20"/>
                <w:szCs w:val="20"/>
                <w:color w:val="auto"/>
              </w:rPr>
            </w:pPr>
          </w:p>
        </w:tc>
        <w:tc>
          <w:tcPr>
            <w:tcW w:w="1220" w:type="dxa"/>
            <w:vAlign w:val="bottom"/>
          </w:tcPr>
          <w:p>
            <w:pPr>
              <w:jc w:val="right"/>
              <w:ind w:right="18"/>
              <w:spacing w:after="0"/>
              <w:rPr>
                <w:sz w:val="20"/>
                <w:szCs w:val="20"/>
                <w:color w:val="auto"/>
              </w:rPr>
            </w:pPr>
            <w:r>
              <w:rPr>
                <w:rFonts w:ascii="Arial" w:cs="Arial" w:eastAsia="Arial" w:hAnsi="Arial"/>
                <w:sz w:val="17"/>
                <w:szCs w:val="17"/>
                <w:b w:val="1"/>
                <w:bCs w:val="1"/>
                <w:color w:val="auto"/>
              </w:rPr>
              <w:t>nm</w:t>
            </w:r>
          </w:p>
        </w:tc>
        <w:tc>
          <w:tcPr>
            <w:tcW w:w="380" w:type="dxa"/>
            <w:vAlign w:val="bottom"/>
          </w:tcPr>
          <w:p>
            <w:pPr>
              <w:spacing w:after="0"/>
              <w:rPr>
                <w:sz w:val="20"/>
                <w:szCs w:val="20"/>
                <w:color w:val="auto"/>
              </w:rPr>
            </w:pPr>
          </w:p>
        </w:tc>
        <w:tc>
          <w:tcPr>
            <w:tcW w:w="920" w:type="dxa"/>
            <w:vAlign w:val="bottom"/>
          </w:tcPr>
          <w:p>
            <w:pPr>
              <w:jc w:val="right"/>
              <w:spacing w:after="0"/>
              <w:rPr>
                <w:sz w:val="20"/>
                <w:szCs w:val="20"/>
                <w:color w:val="auto"/>
              </w:rPr>
            </w:pPr>
            <w:r>
              <w:rPr>
                <w:rFonts w:ascii="Arial" w:cs="Arial" w:eastAsia="Arial" w:hAnsi="Arial"/>
                <w:sz w:val="17"/>
                <w:szCs w:val="17"/>
                <w:b w:val="1"/>
                <w:bCs w:val="1"/>
                <w:color w:val="auto"/>
              </w:rPr>
              <w:t>32.7 %</w:t>
            </w:r>
          </w:p>
        </w:tc>
      </w:tr>
    </w:tbl>
    <w:p>
      <w:pPr>
        <w:spacing w:after="0" w:line="221" w:lineRule="exact"/>
        <w:rPr>
          <w:sz w:val="20"/>
          <w:szCs w:val="20"/>
          <w:color w:val="auto"/>
        </w:rPr>
      </w:pPr>
    </w:p>
    <w:p>
      <w:pPr>
        <w:ind w:left="60"/>
        <w:spacing w:after="0"/>
        <w:rPr>
          <w:sz w:val="20"/>
          <w:szCs w:val="20"/>
          <w:color w:val="auto"/>
        </w:rPr>
      </w:pPr>
      <w:r>
        <w:rPr>
          <w:rFonts w:ascii="Arial" w:cs="Arial" w:eastAsia="Arial" w:hAnsi="Arial"/>
          <w:sz w:val="17"/>
          <w:szCs w:val="17"/>
          <w:color w:val="auto"/>
        </w:rPr>
        <w:t>nm - not meaningful</w:t>
      </w:r>
    </w:p>
    <w:p>
      <w:pPr>
        <w:spacing w:after="0" w:line="30" w:lineRule="exact"/>
        <w:rPr>
          <w:sz w:val="20"/>
          <w:szCs w:val="20"/>
          <w:color w:val="auto"/>
        </w:rPr>
      </w:pPr>
    </w:p>
    <w:p>
      <w:pPr>
        <w:ind w:left="60"/>
        <w:spacing w:after="0"/>
        <w:rPr>
          <w:sz w:val="20"/>
          <w:szCs w:val="20"/>
          <w:color w:val="auto"/>
        </w:rPr>
      </w:pPr>
      <w:r>
        <w:rPr>
          <w:rFonts w:ascii="Arial" w:cs="Arial" w:eastAsia="Arial" w:hAnsi="Arial"/>
          <w:sz w:val="17"/>
          <w:szCs w:val="17"/>
          <w:color w:val="auto"/>
        </w:rPr>
        <w:t>*Excludes interest income of $0.9 million in International and $1.6 million in General Corporate Expense.</w:t>
      </w: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tbl>
      <w:tblPr>
        <w:tblLayout w:type="fixed"/>
        <w:tblInd w:w="60" w:type="dxa"/>
        <w:tblCellMar>
          <w:top w:w="0" w:type="dxa"/>
          <w:left w:w="0" w:type="dxa"/>
          <w:bottom w:w="0" w:type="dxa"/>
          <w:right w:w="0" w:type="dxa"/>
        </w:tblCellMar>
      </w:tblPr>
      <w:tr>
        <w:trPr>
          <w:trHeight w:val="225"/>
        </w:trPr>
        <w:tc>
          <w:tcPr>
            <w:tcW w:w="2380" w:type="dxa"/>
            <w:vAlign w:val="bottom"/>
          </w:tcPr>
          <w:p>
            <w:pPr>
              <w:spacing w:after="0"/>
              <w:rPr>
                <w:sz w:val="20"/>
                <w:szCs w:val="20"/>
                <w:color w:val="auto"/>
              </w:rPr>
            </w:pPr>
            <w:r>
              <w:rPr>
                <w:rFonts w:ascii="Arial" w:cs="Arial" w:eastAsia="Arial" w:hAnsi="Arial"/>
                <w:sz w:val="17"/>
                <w:szCs w:val="17"/>
                <w:i w:val="1"/>
                <w:iCs w:val="1"/>
                <w:color w:val="auto"/>
              </w:rPr>
              <w:t>(In millions)</w:t>
            </w:r>
          </w:p>
        </w:tc>
        <w:tc>
          <w:tcPr>
            <w:tcW w:w="1340" w:type="dxa"/>
            <w:vAlign w:val="bottom"/>
          </w:tcPr>
          <w:p>
            <w:pPr>
              <w:spacing w:after="0"/>
              <w:rPr>
                <w:sz w:val="19"/>
                <w:szCs w:val="19"/>
                <w:color w:val="auto"/>
              </w:rPr>
            </w:pPr>
          </w:p>
        </w:tc>
        <w:tc>
          <w:tcPr>
            <w:tcW w:w="4380" w:type="dxa"/>
            <w:vAlign w:val="bottom"/>
            <w:gridSpan w:val="5"/>
          </w:tcPr>
          <w:p>
            <w:pPr>
              <w:jc w:val="right"/>
              <w:ind w:right="758"/>
              <w:spacing w:after="0"/>
              <w:rPr>
                <w:sz w:val="20"/>
                <w:szCs w:val="20"/>
                <w:color w:val="auto"/>
              </w:rPr>
            </w:pPr>
            <w:r>
              <w:rPr>
                <w:rFonts w:ascii="Arial" w:cs="Arial" w:eastAsia="Arial" w:hAnsi="Arial"/>
                <w:sz w:val="17"/>
                <w:szCs w:val="17"/>
                <w:b w:val="1"/>
                <w:bCs w:val="1"/>
                <w:color w:val="auto"/>
              </w:rPr>
              <w:t>Three Months Ended June 30, 2022</w:t>
            </w:r>
          </w:p>
        </w:tc>
        <w:tc>
          <w:tcPr>
            <w:tcW w:w="340" w:type="dxa"/>
            <w:vAlign w:val="bottom"/>
          </w:tcPr>
          <w:p>
            <w:pPr>
              <w:spacing w:after="0"/>
              <w:rPr>
                <w:sz w:val="19"/>
                <w:szCs w:val="19"/>
                <w:color w:val="auto"/>
              </w:rPr>
            </w:pPr>
          </w:p>
        </w:tc>
        <w:tc>
          <w:tcPr>
            <w:tcW w:w="960" w:type="dxa"/>
            <w:vAlign w:val="bottom"/>
          </w:tcPr>
          <w:p>
            <w:pPr>
              <w:spacing w:after="0"/>
              <w:rPr>
                <w:sz w:val="19"/>
                <w:szCs w:val="19"/>
                <w:color w:val="auto"/>
              </w:rPr>
            </w:pPr>
          </w:p>
        </w:tc>
      </w:tr>
      <w:tr>
        <w:trPr>
          <w:trHeight w:val="195"/>
        </w:trPr>
        <w:tc>
          <w:tcPr>
            <w:tcW w:w="2380" w:type="dxa"/>
            <w:vAlign w:val="bottom"/>
          </w:tcPr>
          <w:p>
            <w:pPr>
              <w:spacing w:after="0"/>
              <w:rPr>
                <w:sz w:val="16"/>
                <w:szCs w:val="16"/>
                <w:color w:val="auto"/>
              </w:rPr>
            </w:pPr>
          </w:p>
        </w:tc>
        <w:tc>
          <w:tcPr>
            <w:tcW w:w="1340" w:type="dxa"/>
            <w:vAlign w:val="bottom"/>
          </w:tcPr>
          <w:p>
            <w:pPr>
              <w:spacing w:after="0"/>
              <w:rPr>
                <w:sz w:val="16"/>
                <w:szCs w:val="16"/>
                <w:color w:val="auto"/>
              </w:rPr>
            </w:pPr>
          </w:p>
        </w:tc>
        <w:tc>
          <w:tcPr>
            <w:tcW w:w="1320" w:type="dxa"/>
            <w:vAlign w:val="bottom"/>
          </w:tcPr>
          <w:p>
            <w:pPr>
              <w:jc w:val="center"/>
              <w:spacing w:after="0"/>
              <w:rPr>
                <w:sz w:val="20"/>
                <w:szCs w:val="20"/>
                <w:color w:val="auto"/>
              </w:rPr>
            </w:pPr>
            <w:r>
              <w:rPr>
                <w:rFonts w:ascii="Arial" w:cs="Arial" w:eastAsia="Arial" w:hAnsi="Arial"/>
                <w:sz w:val="17"/>
                <w:szCs w:val="17"/>
                <w:b w:val="1"/>
                <w:bCs w:val="1"/>
                <w:color w:val="auto"/>
                <w:w w:val="96"/>
              </w:rPr>
              <w:t>U.S.</w:t>
            </w:r>
          </w:p>
        </w:tc>
        <w:tc>
          <w:tcPr>
            <w:tcW w:w="220" w:type="dxa"/>
            <w:vAlign w:val="bottom"/>
          </w:tcPr>
          <w:p>
            <w:pPr>
              <w:spacing w:after="0"/>
              <w:rPr>
                <w:sz w:val="16"/>
                <w:szCs w:val="16"/>
                <w:color w:val="auto"/>
              </w:rPr>
            </w:pPr>
          </w:p>
        </w:tc>
        <w:tc>
          <w:tcPr>
            <w:tcW w:w="126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1220" w:type="dxa"/>
            <w:vAlign w:val="bottom"/>
          </w:tcPr>
          <w:p>
            <w:pPr>
              <w:ind w:left="160"/>
              <w:spacing w:after="0"/>
              <w:rPr>
                <w:sz w:val="20"/>
                <w:szCs w:val="20"/>
                <w:color w:val="auto"/>
              </w:rPr>
            </w:pPr>
            <w:r>
              <w:rPr>
                <w:rFonts w:ascii="Arial" w:cs="Arial" w:eastAsia="Arial" w:hAnsi="Arial"/>
                <w:sz w:val="17"/>
                <w:szCs w:val="17"/>
                <w:b w:val="1"/>
                <w:bCs w:val="1"/>
                <w:color w:val="auto"/>
              </w:rPr>
              <w:t>General</w:t>
            </w:r>
          </w:p>
        </w:tc>
        <w:tc>
          <w:tcPr>
            <w:tcW w:w="340" w:type="dxa"/>
            <w:vAlign w:val="bottom"/>
          </w:tcPr>
          <w:p>
            <w:pPr>
              <w:spacing w:after="0"/>
              <w:rPr>
                <w:sz w:val="16"/>
                <w:szCs w:val="16"/>
                <w:color w:val="auto"/>
              </w:rPr>
            </w:pPr>
          </w:p>
        </w:tc>
        <w:tc>
          <w:tcPr>
            <w:tcW w:w="960" w:type="dxa"/>
            <w:vAlign w:val="bottom"/>
          </w:tcPr>
          <w:p>
            <w:pPr>
              <w:spacing w:after="0"/>
              <w:rPr>
                <w:sz w:val="16"/>
                <w:szCs w:val="16"/>
                <w:color w:val="auto"/>
              </w:rPr>
            </w:pPr>
          </w:p>
        </w:tc>
      </w:tr>
      <w:tr>
        <w:trPr>
          <w:trHeight w:val="195"/>
        </w:trPr>
        <w:tc>
          <w:tcPr>
            <w:tcW w:w="2380" w:type="dxa"/>
            <w:vAlign w:val="bottom"/>
          </w:tcPr>
          <w:p>
            <w:pPr>
              <w:spacing w:after="0"/>
              <w:rPr>
                <w:sz w:val="16"/>
                <w:szCs w:val="16"/>
                <w:color w:val="auto"/>
              </w:rPr>
            </w:pPr>
          </w:p>
        </w:tc>
        <w:tc>
          <w:tcPr>
            <w:tcW w:w="1340" w:type="dxa"/>
            <w:vAlign w:val="bottom"/>
          </w:tcPr>
          <w:p>
            <w:pPr>
              <w:jc w:val="right"/>
              <w:ind w:right="258"/>
              <w:spacing w:after="0"/>
              <w:rPr>
                <w:sz w:val="20"/>
                <w:szCs w:val="20"/>
                <w:color w:val="auto"/>
              </w:rPr>
            </w:pPr>
            <w:r>
              <w:rPr>
                <w:rFonts w:ascii="Arial" w:cs="Arial" w:eastAsia="Arial" w:hAnsi="Arial"/>
                <w:sz w:val="17"/>
                <w:szCs w:val="17"/>
                <w:b w:val="1"/>
                <w:bCs w:val="1"/>
                <w:color w:val="auto"/>
              </w:rPr>
              <w:t>Workforce</w:t>
            </w:r>
          </w:p>
        </w:tc>
        <w:tc>
          <w:tcPr>
            <w:tcW w:w="1320" w:type="dxa"/>
            <w:vAlign w:val="bottom"/>
          </w:tcPr>
          <w:p>
            <w:pPr>
              <w:jc w:val="center"/>
              <w:spacing w:after="0"/>
              <w:rPr>
                <w:sz w:val="20"/>
                <w:szCs w:val="20"/>
                <w:color w:val="auto"/>
              </w:rPr>
            </w:pPr>
            <w:r>
              <w:rPr>
                <w:rFonts w:ascii="Arial" w:cs="Arial" w:eastAsia="Arial" w:hAnsi="Arial"/>
                <w:sz w:val="17"/>
                <w:szCs w:val="17"/>
                <w:b w:val="1"/>
                <w:bCs w:val="1"/>
                <w:color w:val="auto"/>
                <w:w w:val="96"/>
              </w:rPr>
              <w:t>Information</w:t>
            </w:r>
          </w:p>
        </w:tc>
        <w:tc>
          <w:tcPr>
            <w:tcW w:w="220" w:type="dxa"/>
            <w:vAlign w:val="bottom"/>
          </w:tcPr>
          <w:p>
            <w:pPr>
              <w:spacing w:after="0"/>
              <w:rPr>
                <w:sz w:val="16"/>
                <w:szCs w:val="16"/>
                <w:color w:val="auto"/>
              </w:rPr>
            </w:pPr>
          </w:p>
        </w:tc>
        <w:tc>
          <w:tcPr>
            <w:tcW w:w="126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1220" w:type="dxa"/>
            <w:vAlign w:val="bottom"/>
          </w:tcPr>
          <w:p>
            <w:pPr>
              <w:jc w:val="right"/>
              <w:ind w:right="278"/>
              <w:spacing w:after="0"/>
              <w:rPr>
                <w:sz w:val="20"/>
                <w:szCs w:val="20"/>
                <w:color w:val="auto"/>
              </w:rPr>
            </w:pPr>
            <w:r>
              <w:rPr>
                <w:rFonts w:ascii="Arial" w:cs="Arial" w:eastAsia="Arial" w:hAnsi="Arial"/>
                <w:sz w:val="17"/>
                <w:szCs w:val="17"/>
                <w:b w:val="1"/>
                <w:bCs w:val="1"/>
                <w:color w:val="auto"/>
              </w:rPr>
              <w:t>Corporate</w:t>
            </w:r>
          </w:p>
        </w:tc>
        <w:tc>
          <w:tcPr>
            <w:tcW w:w="340" w:type="dxa"/>
            <w:vAlign w:val="bottom"/>
          </w:tcPr>
          <w:p>
            <w:pPr>
              <w:spacing w:after="0"/>
              <w:rPr>
                <w:sz w:val="16"/>
                <w:szCs w:val="16"/>
                <w:color w:val="auto"/>
              </w:rPr>
            </w:pPr>
          </w:p>
        </w:tc>
        <w:tc>
          <w:tcPr>
            <w:tcW w:w="960" w:type="dxa"/>
            <w:vAlign w:val="bottom"/>
          </w:tcPr>
          <w:p>
            <w:pPr>
              <w:spacing w:after="0"/>
              <w:rPr>
                <w:sz w:val="16"/>
                <w:szCs w:val="16"/>
                <w:color w:val="auto"/>
              </w:rPr>
            </w:pPr>
          </w:p>
        </w:tc>
      </w:tr>
      <w:tr>
        <w:trPr>
          <w:trHeight w:val="227"/>
        </w:trPr>
        <w:tc>
          <w:tcPr>
            <w:tcW w:w="2380" w:type="dxa"/>
            <w:vAlign w:val="bottom"/>
          </w:tcPr>
          <w:p>
            <w:pPr>
              <w:spacing w:after="0"/>
              <w:rPr>
                <w:sz w:val="19"/>
                <w:szCs w:val="19"/>
                <w:color w:val="auto"/>
              </w:rPr>
            </w:pPr>
          </w:p>
        </w:tc>
        <w:tc>
          <w:tcPr>
            <w:tcW w:w="1340" w:type="dxa"/>
            <w:vAlign w:val="bottom"/>
          </w:tcPr>
          <w:p>
            <w:pPr>
              <w:jc w:val="right"/>
              <w:ind w:right="278"/>
              <w:spacing w:after="0"/>
              <w:rPr>
                <w:sz w:val="20"/>
                <w:szCs w:val="20"/>
                <w:color w:val="auto"/>
              </w:rPr>
            </w:pPr>
            <w:r>
              <w:rPr>
                <w:rFonts w:ascii="Arial" w:cs="Arial" w:eastAsia="Arial" w:hAnsi="Arial"/>
                <w:sz w:val="17"/>
                <w:szCs w:val="17"/>
                <w:b w:val="1"/>
                <w:bCs w:val="1"/>
                <w:color w:val="auto"/>
              </w:rPr>
              <w:t>Solutions</w:t>
            </w:r>
          </w:p>
        </w:tc>
        <w:tc>
          <w:tcPr>
            <w:tcW w:w="1320" w:type="dxa"/>
            <w:vAlign w:val="bottom"/>
          </w:tcPr>
          <w:p>
            <w:pPr>
              <w:jc w:val="center"/>
              <w:spacing w:after="0"/>
              <w:rPr>
                <w:sz w:val="20"/>
                <w:szCs w:val="20"/>
                <w:color w:val="auto"/>
              </w:rPr>
            </w:pPr>
            <w:r>
              <w:rPr>
                <w:rFonts w:ascii="Arial" w:cs="Arial" w:eastAsia="Arial" w:hAnsi="Arial"/>
                <w:sz w:val="17"/>
                <w:szCs w:val="17"/>
                <w:b w:val="1"/>
                <w:bCs w:val="1"/>
                <w:color w:val="auto"/>
                <w:w w:val="95"/>
              </w:rPr>
              <w:t>Solutions</w:t>
            </w:r>
          </w:p>
        </w:tc>
        <w:tc>
          <w:tcPr>
            <w:tcW w:w="220" w:type="dxa"/>
            <w:vAlign w:val="bottom"/>
          </w:tcPr>
          <w:p>
            <w:pPr>
              <w:spacing w:after="0"/>
              <w:rPr>
                <w:sz w:val="19"/>
                <w:szCs w:val="19"/>
                <w:color w:val="auto"/>
              </w:rPr>
            </w:pPr>
          </w:p>
        </w:tc>
        <w:tc>
          <w:tcPr>
            <w:tcW w:w="1260" w:type="dxa"/>
            <w:vAlign w:val="bottom"/>
          </w:tcPr>
          <w:p>
            <w:pPr>
              <w:jc w:val="right"/>
              <w:ind w:right="198"/>
              <w:spacing w:after="0"/>
              <w:rPr>
                <w:sz w:val="20"/>
                <w:szCs w:val="20"/>
                <w:color w:val="auto"/>
              </w:rPr>
            </w:pPr>
            <w:r>
              <w:rPr>
                <w:rFonts w:ascii="Arial" w:cs="Arial" w:eastAsia="Arial" w:hAnsi="Arial"/>
                <w:sz w:val="17"/>
                <w:szCs w:val="17"/>
                <w:b w:val="1"/>
                <w:bCs w:val="1"/>
                <w:color w:val="auto"/>
                <w:w w:val="94"/>
              </w:rPr>
              <w:t>International</w:t>
            </w:r>
          </w:p>
        </w:tc>
        <w:tc>
          <w:tcPr>
            <w:tcW w:w="360" w:type="dxa"/>
            <w:vAlign w:val="bottom"/>
          </w:tcPr>
          <w:p>
            <w:pPr>
              <w:spacing w:after="0"/>
              <w:rPr>
                <w:sz w:val="19"/>
                <w:szCs w:val="19"/>
                <w:color w:val="auto"/>
              </w:rPr>
            </w:pPr>
          </w:p>
        </w:tc>
        <w:tc>
          <w:tcPr>
            <w:tcW w:w="1220" w:type="dxa"/>
            <w:vAlign w:val="bottom"/>
          </w:tcPr>
          <w:p>
            <w:pPr>
              <w:ind w:left="140"/>
              <w:spacing w:after="0"/>
              <w:rPr>
                <w:sz w:val="20"/>
                <w:szCs w:val="20"/>
                <w:color w:val="auto"/>
              </w:rPr>
            </w:pPr>
            <w:r>
              <w:rPr>
                <w:rFonts w:ascii="Arial" w:cs="Arial" w:eastAsia="Arial" w:hAnsi="Arial"/>
                <w:sz w:val="17"/>
                <w:szCs w:val="17"/>
                <w:b w:val="1"/>
                <w:bCs w:val="1"/>
                <w:color w:val="auto"/>
              </w:rPr>
              <w:t>Expense</w:t>
            </w:r>
          </w:p>
        </w:tc>
        <w:tc>
          <w:tcPr>
            <w:tcW w:w="340" w:type="dxa"/>
            <w:vAlign w:val="bottom"/>
          </w:tcPr>
          <w:p>
            <w:pPr>
              <w:spacing w:after="0"/>
              <w:rPr>
                <w:sz w:val="19"/>
                <w:szCs w:val="19"/>
                <w:color w:val="auto"/>
              </w:rPr>
            </w:pPr>
          </w:p>
        </w:tc>
        <w:tc>
          <w:tcPr>
            <w:tcW w:w="960" w:type="dxa"/>
            <w:vAlign w:val="bottom"/>
          </w:tcPr>
          <w:p>
            <w:pPr>
              <w:jc w:val="right"/>
              <w:ind w:right="318"/>
              <w:spacing w:after="0"/>
              <w:rPr>
                <w:sz w:val="20"/>
                <w:szCs w:val="20"/>
                <w:color w:val="auto"/>
              </w:rPr>
            </w:pPr>
            <w:r>
              <w:rPr>
                <w:rFonts w:ascii="Arial" w:cs="Arial" w:eastAsia="Arial" w:hAnsi="Arial"/>
                <w:sz w:val="17"/>
                <w:szCs w:val="17"/>
                <w:b w:val="1"/>
                <w:bCs w:val="1"/>
                <w:color w:val="auto"/>
              </w:rPr>
              <w:t>Total</w:t>
            </w:r>
          </w:p>
        </w:tc>
      </w:tr>
      <w:tr>
        <w:trPr>
          <w:trHeight w:val="195"/>
        </w:trPr>
        <w:tc>
          <w:tcPr>
            <w:tcW w:w="2380" w:type="dxa"/>
            <w:vAlign w:val="bottom"/>
          </w:tcPr>
          <w:p>
            <w:pPr>
              <w:spacing w:after="0"/>
              <w:rPr>
                <w:sz w:val="16"/>
                <w:szCs w:val="16"/>
                <w:color w:val="auto"/>
              </w:rPr>
            </w:pPr>
          </w:p>
        </w:tc>
        <w:tc>
          <w:tcPr>
            <w:tcW w:w="1340" w:type="dxa"/>
            <w:vAlign w:val="bottom"/>
          </w:tcPr>
          <w:p>
            <w:pPr>
              <w:jc w:val="right"/>
              <w:ind w:right="678"/>
              <w:spacing w:after="0"/>
              <w:rPr>
                <w:sz w:val="20"/>
                <w:szCs w:val="20"/>
                <w:color w:val="auto"/>
              </w:rPr>
            </w:pPr>
            <w:r>
              <w:rPr>
                <w:rFonts w:ascii="Arial" w:cs="Arial" w:eastAsia="Arial" w:hAnsi="Arial"/>
                <w:sz w:val="17"/>
                <w:szCs w:val="17"/>
                <w:color w:val="auto"/>
              </w:rPr>
              <w:t>$</w:t>
            </w:r>
          </w:p>
        </w:tc>
        <w:tc>
          <w:tcPr>
            <w:tcW w:w="1320" w:type="dxa"/>
            <w:vAlign w:val="bottom"/>
          </w:tcPr>
          <w:p>
            <w:pPr>
              <w:jc w:val="right"/>
              <w:ind w:right="658"/>
              <w:spacing w:after="0"/>
              <w:rPr>
                <w:sz w:val="20"/>
                <w:szCs w:val="20"/>
                <w:color w:val="auto"/>
              </w:rPr>
            </w:pPr>
            <w:r>
              <w:rPr>
                <w:rFonts w:ascii="Arial" w:cs="Arial" w:eastAsia="Arial" w:hAnsi="Arial"/>
                <w:sz w:val="17"/>
                <w:szCs w:val="17"/>
                <w:color w:val="auto"/>
              </w:rPr>
              <w:t>$</w:t>
            </w:r>
          </w:p>
        </w:tc>
        <w:tc>
          <w:tcPr>
            <w:tcW w:w="220" w:type="dxa"/>
            <w:vAlign w:val="bottom"/>
          </w:tcPr>
          <w:p>
            <w:pPr>
              <w:spacing w:after="0"/>
              <w:rPr>
                <w:sz w:val="16"/>
                <w:szCs w:val="16"/>
                <w:color w:val="auto"/>
              </w:rPr>
            </w:pPr>
          </w:p>
        </w:tc>
        <w:tc>
          <w:tcPr>
            <w:tcW w:w="1260" w:type="dxa"/>
            <w:vAlign w:val="bottom"/>
          </w:tcPr>
          <w:p>
            <w:pPr>
              <w:jc w:val="right"/>
              <w:ind w:right="738"/>
              <w:spacing w:after="0"/>
              <w:rPr>
                <w:sz w:val="20"/>
                <w:szCs w:val="20"/>
                <w:color w:val="auto"/>
              </w:rPr>
            </w:pPr>
            <w:r>
              <w:rPr>
                <w:rFonts w:ascii="Arial" w:cs="Arial" w:eastAsia="Arial" w:hAnsi="Arial"/>
                <w:sz w:val="17"/>
                <w:szCs w:val="17"/>
                <w:color w:val="auto"/>
              </w:rPr>
              <w:t>$</w:t>
            </w:r>
          </w:p>
        </w:tc>
        <w:tc>
          <w:tcPr>
            <w:tcW w:w="360" w:type="dxa"/>
            <w:vAlign w:val="bottom"/>
          </w:tcPr>
          <w:p>
            <w:pPr>
              <w:spacing w:after="0"/>
              <w:rPr>
                <w:sz w:val="16"/>
                <w:szCs w:val="16"/>
                <w:color w:val="auto"/>
              </w:rPr>
            </w:pPr>
          </w:p>
        </w:tc>
        <w:tc>
          <w:tcPr>
            <w:tcW w:w="12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960" w:type="dxa"/>
            <w:vAlign w:val="bottom"/>
          </w:tcPr>
          <w:p>
            <w:pPr>
              <w:spacing w:after="0"/>
              <w:rPr>
                <w:sz w:val="16"/>
                <w:szCs w:val="16"/>
                <w:color w:val="auto"/>
              </w:rPr>
            </w:pPr>
          </w:p>
        </w:tc>
      </w:tr>
      <w:tr>
        <w:trPr>
          <w:trHeight w:val="221"/>
        </w:trPr>
        <w:tc>
          <w:tcPr>
            <w:tcW w:w="2380" w:type="dxa"/>
            <w:vAlign w:val="bottom"/>
          </w:tcPr>
          <w:p>
            <w:pPr>
              <w:spacing w:after="0"/>
              <w:rPr>
                <w:sz w:val="20"/>
                <w:szCs w:val="20"/>
                <w:color w:val="auto"/>
              </w:rPr>
            </w:pPr>
            <w:r>
              <w:rPr>
                <w:rFonts w:ascii="Arial" w:cs="Arial" w:eastAsia="Arial" w:hAnsi="Arial"/>
                <w:sz w:val="17"/>
                <w:szCs w:val="17"/>
                <w:color w:val="auto"/>
              </w:rPr>
              <w:t>Revenue</w:t>
            </w:r>
          </w:p>
        </w:tc>
        <w:tc>
          <w:tcPr>
            <w:tcW w:w="1340" w:type="dxa"/>
            <w:vAlign w:val="bottom"/>
          </w:tcPr>
          <w:p>
            <w:pPr>
              <w:jc w:val="right"/>
              <w:ind w:right="218"/>
              <w:spacing w:after="0"/>
              <w:rPr>
                <w:sz w:val="20"/>
                <w:szCs w:val="20"/>
                <w:color w:val="auto"/>
              </w:rPr>
            </w:pPr>
            <w:r>
              <w:rPr>
                <w:rFonts w:ascii="Arial" w:cs="Arial" w:eastAsia="Arial" w:hAnsi="Arial"/>
                <w:sz w:val="17"/>
                <w:szCs w:val="17"/>
                <w:color w:val="auto"/>
              </w:rPr>
              <w:t>609.2</w:t>
            </w:r>
          </w:p>
        </w:tc>
        <w:tc>
          <w:tcPr>
            <w:tcW w:w="1320" w:type="dxa"/>
            <w:vAlign w:val="bottom"/>
          </w:tcPr>
          <w:p>
            <w:pPr>
              <w:jc w:val="right"/>
              <w:ind w:right="138"/>
              <w:spacing w:after="0"/>
              <w:rPr>
                <w:sz w:val="20"/>
                <w:szCs w:val="20"/>
                <w:color w:val="auto"/>
              </w:rPr>
            </w:pPr>
            <w:r>
              <w:rPr>
                <w:rFonts w:ascii="Arial" w:cs="Arial" w:eastAsia="Arial" w:hAnsi="Arial"/>
                <w:sz w:val="17"/>
                <w:szCs w:val="17"/>
                <w:color w:val="auto"/>
              </w:rPr>
              <w:t>421.4</w:t>
            </w:r>
          </w:p>
        </w:tc>
        <w:tc>
          <w:tcPr>
            <w:tcW w:w="220" w:type="dxa"/>
            <w:vAlign w:val="bottom"/>
          </w:tcPr>
          <w:p>
            <w:pPr>
              <w:spacing w:after="0"/>
              <w:rPr>
                <w:sz w:val="19"/>
                <w:szCs w:val="19"/>
                <w:color w:val="auto"/>
              </w:rPr>
            </w:pPr>
          </w:p>
        </w:tc>
        <w:tc>
          <w:tcPr>
            <w:tcW w:w="1260" w:type="dxa"/>
            <w:vAlign w:val="bottom"/>
          </w:tcPr>
          <w:p>
            <w:pPr>
              <w:jc w:val="right"/>
              <w:ind w:right="218"/>
              <w:spacing w:after="0"/>
              <w:rPr>
                <w:sz w:val="20"/>
                <w:szCs w:val="20"/>
                <w:color w:val="auto"/>
              </w:rPr>
            </w:pPr>
            <w:r>
              <w:rPr>
                <w:rFonts w:ascii="Arial" w:cs="Arial" w:eastAsia="Arial" w:hAnsi="Arial"/>
                <w:sz w:val="17"/>
                <w:szCs w:val="17"/>
                <w:color w:val="auto"/>
              </w:rPr>
              <w:t>286.1</w:t>
            </w:r>
          </w:p>
        </w:tc>
        <w:tc>
          <w:tcPr>
            <w:tcW w:w="360" w:type="dxa"/>
            <w:vAlign w:val="bottom"/>
          </w:tcPr>
          <w:p>
            <w:pPr>
              <w:spacing w:after="0"/>
              <w:rPr>
                <w:sz w:val="19"/>
                <w:szCs w:val="19"/>
                <w:color w:val="auto"/>
              </w:rPr>
            </w:pPr>
          </w:p>
        </w:tc>
        <w:tc>
          <w:tcPr>
            <w:tcW w:w="1220" w:type="dxa"/>
            <w:vAlign w:val="bottom"/>
          </w:tcPr>
          <w:p>
            <w:pPr>
              <w:jc w:val="right"/>
              <w:ind w:right="158"/>
              <w:spacing w:after="0"/>
              <w:rPr>
                <w:sz w:val="20"/>
                <w:szCs w:val="20"/>
                <w:color w:val="auto"/>
              </w:rPr>
            </w:pPr>
            <w:r>
              <w:rPr>
                <w:rFonts w:ascii="Arial" w:cs="Arial" w:eastAsia="Arial" w:hAnsi="Arial"/>
                <w:sz w:val="17"/>
                <w:szCs w:val="17"/>
                <w:color w:val="auto"/>
              </w:rPr>
              <w:t>—</w:t>
            </w:r>
          </w:p>
        </w:tc>
        <w:tc>
          <w:tcPr>
            <w:tcW w:w="340" w:type="dxa"/>
            <w:vAlign w:val="bottom"/>
          </w:tcPr>
          <w:p>
            <w:pPr>
              <w:jc w:val="right"/>
              <w:ind w:right="58"/>
              <w:spacing w:after="0"/>
              <w:rPr>
                <w:sz w:val="20"/>
                <w:szCs w:val="20"/>
                <w:color w:val="auto"/>
              </w:rPr>
            </w:pPr>
            <w:r>
              <w:rPr>
                <w:rFonts w:ascii="Arial" w:cs="Arial" w:eastAsia="Arial" w:hAnsi="Arial"/>
                <w:sz w:val="17"/>
                <w:szCs w:val="17"/>
                <w:color w:val="auto"/>
              </w:rPr>
              <w:t>$</w:t>
            </w:r>
          </w:p>
        </w:tc>
        <w:tc>
          <w:tcPr>
            <w:tcW w:w="960" w:type="dxa"/>
            <w:vAlign w:val="bottom"/>
          </w:tcPr>
          <w:p>
            <w:pPr>
              <w:jc w:val="right"/>
              <w:ind w:right="38"/>
              <w:spacing w:after="0"/>
              <w:rPr>
                <w:sz w:val="20"/>
                <w:szCs w:val="20"/>
                <w:color w:val="auto"/>
              </w:rPr>
            </w:pPr>
            <w:r>
              <w:rPr>
                <w:rFonts w:ascii="Arial" w:cs="Arial" w:eastAsia="Arial" w:hAnsi="Arial"/>
                <w:sz w:val="17"/>
                <w:szCs w:val="17"/>
                <w:color w:val="auto"/>
              </w:rPr>
              <w:t>1,316.7</w:t>
            </w:r>
          </w:p>
        </w:tc>
      </w:tr>
      <w:tr>
        <w:trPr>
          <w:trHeight w:val="225"/>
        </w:trPr>
        <w:tc>
          <w:tcPr>
            <w:tcW w:w="2380" w:type="dxa"/>
            <w:vAlign w:val="bottom"/>
          </w:tcPr>
          <w:p>
            <w:pPr>
              <w:spacing w:after="0"/>
              <w:rPr>
                <w:sz w:val="20"/>
                <w:szCs w:val="20"/>
                <w:color w:val="auto"/>
              </w:rPr>
            </w:pPr>
            <w:r>
              <w:rPr>
                <w:rFonts w:ascii="Arial" w:cs="Arial" w:eastAsia="Arial" w:hAnsi="Arial"/>
                <w:sz w:val="17"/>
                <w:szCs w:val="17"/>
                <w:color w:val="auto"/>
              </w:rPr>
              <w:t>Operating income</w:t>
            </w:r>
          </w:p>
        </w:tc>
        <w:tc>
          <w:tcPr>
            <w:tcW w:w="1340" w:type="dxa"/>
            <w:vAlign w:val="bottom"/>
          </w:tcPr>
          <w:p>
            <w:pPr>
              <w:jc w:val="right"/>
              <w:ind w:right="218"/>
              <w:spacing w:after="0"/>
              <w:rPr>
                <w:sz w:val="20"/>
                <w:szCs w:val="20"/>
                <w:color w:val="auto"/>
              </w:rPr>
            </w:pPr>
            <w:r>
              <w:rPr>
                <w:rFonts w:ascii="Arial" w:cs="Arial" w:eastAsia="Arial" w:hAnsi="Arial"/>
                <w:sz w:val="17"/>
                <w:szCs w:val="17"/>
                <w:color w:val="auto"/>
              </w:rPr>
              <w:t>281.2</w:t>
            </w:r>
          </w:p>
        </w:tc>
        <w:tc>
          <w:tcPr>
            <w:tcW w:w="1320" w:type="dxa"/>
            <w:vAlign w:val="bottom"/>
          </w:tcPr>
          <w:p>
            <w:pPr>
              <w:jc w:val="right"/>
              <w:ind w:right="138"/>
              <w:spacing w:after="0"/>
              <w:rPr>
                <w:sz w:val="20"/>
                <w:szCs w:val="20"/>
                <w:color w:val="auto"/>
              </w:rPr>
            </w:pPr>
            <w:r>
              <w:rPr>
                <w:rFonts w:ascii="Arial" w:cs="Arial" w:eastAsia="Arial" w:hAnsi="Arial"/>
                <w:sz w:val="17"/>
                <w:szCs w:val="17"/>
                <w:color w:val="auto"/>
              </w:rPr>
              <w:t>112.0</w:t>
            </w:r>
          </w:p>
        </w:tc>
        <w:tc>
          <w:tcPr>
            <w:tcW w:w="220" w:type="dxa"/>
            <w:vAlign w:val="bottom"/>
          </w:tcPr>
          <w:p>
            <w:pPr>
              <w:spacing w:after="0"/>
              <w:rPr>
                <w:sz w:val="19"/>
                <w:szCs w:val="19"/>
                <w:color w:val="auto"/>
              </w:rPr>
            </w:pPr>
          </w:p>
        </w:tc>
        <w:tc>
          <w:tcPr>
            <w:tcW w:w="1260" w:type="dxa"/>
            <w:vAlign w:val="bottom"/>
          </w:tcPr>
          <w:p>
            <w:pPr>
              <w:jc w:val="right"/>
              <w:ind w:right="218"/>
              <w:spacing w:after="0"/>
              <w:rPr>
                <w:sz w:val="20"/>
                <w:szCs w:val="20"/>
                <w:color w:val="auto"/>
              </w:rPr>
            </w:pPr>
            <w:r>
              <w:rPr>
                <w:rFonts w:ascii="Arial" w:cs="Arial" w:eastAsia="Arial" w:hAnsi="Arial"/>
                <w:sz w:val="17"/>
                <w:szCs w:val="17"/>
                <w:color w:val="auto"/>
              </w:rPr>
              <w:t>32.4</w:t>
            </w:r>
          </w:p>
        </w:tc>
        <w:tc>
          <w:tcPr>
            <w:tcW w:w="360" w:type="dxa"/>
            <w:vAlign w:val="bottom"/>
          </w:tcPr>
          <w:p>
            <w:pPr>
              <w:spacing w:after="0"/>
              <w:rPr>
                <w:sz w:val="19"/>
                <w:szCs w:val="19"/>
                <w:color w:val="auto"/>
              </w:rPr>
            </w:pPr>
          </w:p>
        </w:tc>
        <w:tc>
          <w:tcPr>
            <w:tcW w:w="1220" w:type="dxa"/>
            <w:vAlign w:val="bottom"/>
          </w:tcPr>
          <w:p>
            <w:pPr>
              <w:jc w:val="right"/>
              <w:ind w:right="98"/>
              <w:spacing w:after="0"/>
              <w:rPr>
                <w:sz w:val="20"/>
                <w:szCs w:val="20"/>
                <w:color w:val="auto"/>
              </w:rPr>
            </w:pPr>
            <w:r>
              <w:rPr>
                <w:rFonts w:ascii="Arial" w:cs="Arial" w:eastAsia="Arial" w:hAnsi="Arial"/>
                <w:sz w:val="17"/>
                <w:szCs w:val="17"/>
                <w:color w:val="auto"/>
              </w:rPr>
              <w:t>(121.0)</w:t>
            </w:r>
          </w:p>
        </w:tc>
        <w:tc>
          <w:tcPr>
            <w:tcW w:w="340" w:type="dxa"/>
            <w:vAlign w:val="bottom"/>
          </w:tcPr>
          <w:p>
            <w:pPr>
              <w:spacing w:after="0"/>
              <w:rPr>
                <w:sz w:val="19"/>
                <w:szCs w:val="19"/>
                <w:color w:val="auto"/>
              </w:rPr>
            </w:pPr>
          </w:p>
        </w:tc>
        <w:tc>
          <w:tcPr>
            <w:tcW w:w="960" w:type="dxa"/>
            <w:vAlign w:val="bottom"/>
          </w:tcPr>
          <w:p>
            <w:pPr>
              <w:jc w:val="right"/>
              <w:ind w:right="38"/>
              <w:spacing w:after="0"/>
              <w:rPr>
                <w:sz w:val="20"/>
                <w:szCs w:val="20"/>
                <w:color w:val="auto"/>
              </w:rPr>
            </w:pPr>
            <w:r>
              <w:rPr>
                <w:rFonts w:ascii="Arial" w:cs="Arial" w:eastAsia="Arial" w:hAnsi="Arial"/>
                <w:sz w:val="17"/>
                <w:szCs w:val="17"/>
                <w:color w:val="auto"/>
              </w:rPr>
              <w:t>304.6</w:t>
            </w:r>
          </w:p>
        </w:tc>
      </w:tr>
      <w:tr>
        <w:trPr>
          <w:trHeight w:val="225"/>
        </w:trPr>
        <w:tc>
          <w:tcPr>
            <w:tcW w:w="2380" w:type="dxa"/>
            <w:vAlign w:val="bottom"/>
          </w:tcPr>
          <w:p>
            <w:pPr>
              <w:spacing w:after="0"/>
              <w:rPr>
                <w:sz w:val="20"/>
                <w:szCs w:val="20"/>
                <w:color w:val="auto"/>
              </w:rPr>
            </w:pPr>
            <w:r>
              <w:rPr>
                <w:rFonts w:ascii="Arial" w:cs="Arial" w:eastAsia="Arial" w:hAnsi="Arial"/>
                <w:sz w:val="17"/>
                <w:szCs w:val="17"/>
                <w:color w:val="auto"/>
              </w:rPr>
              <w:t>Depreciation and amortization</w:t>
            </w:r>
          </w:p>
        </w:tc>
        <w:tc>
          <w:tcPr>
            <w:tcW w:w="1340" w:type="dxa"/>
            <w:vAlign w:val="bottom"/>
          </w:tcPr>
          <w:p>
            <w:pPr>
              <w:jc w:val="right"/>
              <w:ind w:right="218"/>
              <w:spacing w:after="0"/>
              <w:rPr>
                <w:sz w:val="20"/>
                <w:szCs w:val="20"/>
                <w:color w:val="auto"/>
              </w:rPr>
            </w:pPr>
            <w:r>
              <w:rPr>
                <w:rFonts w:ascii="Arial" w:cs="Arial" w:eastAsia="Arial" w:hAnsi="Arial"/>
                <w:sz w:val="17"/>
                <w:szCs w:val="17"/>
                <w:color w:val="auto"/>
              </w:rPr>
              <w:t>40.1</w:t>
            </w:r>
          </w:p>
        </w:tc>
        <w:tc>
          <w:tcPr>
            <w:tcW w:w="1320" w:type="dxa"/>
            <w:vAlign w:val="bottom"/>
          </w:tcPr>
          <w:p>
            <w:pPr>
              <w:jc w:val="right"/>
              <w:ind w:right="138"/>
              <w:spacing w:after="0"/>
              <w:rPr>
                <w:sz w:val="20"/>
                <w:szCs w:val="20"/>
                <w:color w:val="auto"/>
              </w:rPr>
            </w:pPr>
            <w:r>
              <w:rPr>
                <w:rFonts w:ascii="Arial" w:cs="Arial" w:eastAsia="Arial" w:hAnsi="Arial"/>
                <w:sz w:val="17"/>
                <w:szCs w:val="17"/>
                <w:color w:val="auto"/>
              </w:rPr>
              <w:t>46.3</w:t>
            </w:r>
          </w:p>
        </w:tc>
        <w:tc>
          <w:tcPr>
            <w:tcW w:w="220" w:type="dxa"/>
            <w:vAlign w:val="bottom"/>
          </w:tcPr>
          <w:p>
            <w:pPr>
              <w:spacing w:after="0"/>
              <w:rPr>
                <w:sz w:val="19"/>
                <w:szCs w:val="19"/>
                <w:color w:val="auto"/>
              </w:rPr>
            </w:pPr>
          </w:p>
        </w:tc>
        <w:tc>
          <w:tcPr>
            <w:tcW w:w="1260" w:type="dxa"/>
            <w:vAlign w:val="bottom"/>
          </w:tcPr>
          <w:p>
            <w:pPr>
              <w:jc w:val="right"/>
              <w:ind w:right="218"/>
              <w:spacing w:after="0"/>
              <w:rPr>
                <w:sz w:val="20"/>
                <w:szCs w:val="20"/>
                <w:color w:val="auto"/>
              </w:rPr>
            </w:pPr>
            <w:r>
              <w:rPr>
                <w:rFonts w:ascii="Arial" w:cs="Arial" w:eastAsia="Arial" w:hAnsi="Arial"/>
                <w:sz w:val="17"/>
                <w:szCs w:val="17"/>
                <w:color w:val="auto"/>
              </w:rPr>
              <w:t>34.0</w:t>
            </w:r>
          </w:p>
        </w:tc>
        <w:tc>
          <w:tcPr>
            <w:tcW w:w="360" w:type="dxa"/>
            <w:vAlign w:val="bottom"/>
          </w:tcPr>
          <w:p>
            <w:pPr>
              <w:spacing w:after="0"/>
              <w:rPr>
                <w:sz w:val="19"/>
                <w:szCs w:val="19"/>
                <w:color w:val="auto"/>
              </w:rPr>
            </w:pPr>
          </w:p>
        </w:tc>
        <w:tc>
          <w:tcPr>
            <w:tcW w:w="1220" w:type="dxa"/>
            <w:vAlign w:val="bottom"/>
          </w:tcPr>
          <w:p>
            <w:pPr>
              <w:jc w:val="right"/>
              <w:ind w:right="158"/>
              <w:spacing w:after="0"/>
              <w:rPr>
                <w:sz w:val="20"/>
                <w:szCs w:val="20"/>
                <w:color w:val="auto"/>
              </w:rPr>
            </w:pPr>
            <w:r>
              <w:rPr>
                <w:rFonts w:ascii="Arial" w:cs="Arial" w:eastAsia="Arial" w:hAnsi="Arial"/>
                <w:sz w:val="17"/>
                <w:szCs w:val="17"/>
                <w:color w:val="auto"/>
              </w:rPr>
              <w:t>19.4</w:t>
            </w:r>
          </w:p>
        </w:tc>
        <w:tc>
          <w:tcPr>
            <w:tcW w:w="340" w:type="dxa"/>
            <w:vAlign w:val="bottom"/>
          </w:tcPr>
          <w:p>
            <w:pPr>
              <w:spacing w:after="0"/>
              <w:rPr>
                <w:sz w:val="19"/>
                <w:szCs w:val="19"/>
                <w:color w:val="auto"/>
              </w:rPr>
            </w:pPr>
          </w:p>
        </w:tc>
        <w:tc>
          <w:tcPr>
            <w:tcW w:w="960" w:type="dxa"/>
            <w:vAlign w:val="bottom"/>
          </w:tcPr>
          <w:p>
            <w:pPr>
              <w:jc w:val="right"/>
              <w:ind w:right="38"/>
              <w:spacing w:after="0"/>
              <w:rPr>
                <w:sz w:val="20"/>
                <w:szCs w:val="20"/>
                <w:color w:val="auto"/>
              </w:rPr>
            </w:pPr>
            <w:r>
              <w:rPr>
                <w:rFonts w:ascii="Arial" w:cs="Arial" w:eastAsia="Arial" w:hAnsi="Arial"/>
                <w:sz w:val="17"/>
                <w:szCs w:val="17"/>
                <w:color w:val="auto"/>
              </w:rPr>
              <w:t>139.8</w:t>
            </w:r>
          </w:p>
        </w:tc>
      </w:tr>
      <w:tr>
        <w:trPr>
          <w:trHeight w:val="225"/>
        </w:trPr>
        <w:tc>
          <w:tcPr>
            <w:tcW w:w="2380" w:type="dxa"/>
            <w:vAlign w:val="bottom"/>
          </w:tcPr>
          <w:p>
            <w:pPr>
              <w:spacing w:after="0"/>
              <w:rPr>
                <w:sz w:val="20"/>
                <w:szCs w:val="20"/>
                <w:color w:val="auto"/>
              </w:rPr>
            </w:pPr>
            <w:r>
              <w:rPr>
                <w:rFonts w:ascii="Arial" w:cs="Arial" w:eastAsia="Arial" w:hAnsi="Arial"/>
                <w:sz w:val="17"/>
                <w:szCs w:val="17"/>
                <w:color w:val="auto"/>
              </w:rPr>
              <w:t>Other income, net*</w:t>
            </w:r>
          </w:p>
        </w:tc>
        <w:tc>
          <w:tcPr>
            <w:tcW w:w="1340" w:type="dxa"/>
            <w:vAlign w:val="bottom"/>
          </w:tcPr>
          <w:p>
            <w:pPr>
              <w:jc w:val="right"/>
              <w:ind w:right="218"/>
              <w:spacing w:after="0"/>
              <w:rPr>
                <w:sz w:val="20"/>
                <w:szCs w:val="20"/>
                <w:color w:val="auto"/>
              </w:rPr>
            </w:pPr>
            <w:r>
              <w:rPr>
                <w:rFonts w:ascii="Arial" w:cs="Arial" w:eastAsia="Arial" w:hAnsi="Arial"/>
                <w:sz w:val="17"/>
                <w:szCs w:val="17"/>
                <w:color w:val="auto"/>
              </w:rPr>
              <w:t>—</w:t>
            </w:r>
          </w:p>
        </w:tc>
        <w:tc>
          <w:tcPr>
            <w:tcW w:w="1320" w:type="dxa"/>
            <w:vAlign w:val="bottom"/>
          </w:tcPr>
          <w:p>
            <w:pPr>
              <w:jc w:val="right"/>
              <w:ind w:right="138"/>
              <w:spacing w:after="0"/>
              <w:rPr>
                <w:sz w:val="20"/>
                <w:szCs w:val="20"/>
                <w:color w:val="auto"/>
              </w:rPr>
            </w:pPr>
            <w:r>
              <w:rPr>
                <w:rFonts w:ascii="Arial" w:cs="Arial" w:eastAsia="Arial" w:hAnsi="Arial"/>
                <w:sz w:val="17"/>
                <w:szCs w:val="17"/>
                <w:color w:val="auto"/>
              </w:rPr>
              <w:t>27.9</w:t>
            </w:r>
          </w:p>
        </w:tc>
        <w:tc>
          <w:tcPr>
            <w:tcW w:w="220" w:type="dxa"/>
            <w:vAlign w:val="bottom"/>
          </w:tcPr>
          <w:p>
            <w:pPr>
              <w:spacing w:after="0"/>
              <w:rPr>
                <w:sz w:val="19"/>
                <w:szCs w:val="19"/>
                <w:color w:val="auto"/>
              </w:rPr>
            </w:pPr>
          </w:p>
        </w:tc>
        <w:tc>
          <w:tcPr>
            <w:tcW w:w="1260" w:type="dxa"/>
            <w:vAlign w:val="bottom"/>
          </w:tcPr>
          <w:p>
            <w:pPr>
              <w:jc w:val="right"/>
              <w:ind w:right="178"/>
              <w:spacing w:after="0"/>
              <w:rPr>
                <w:sz w:val="20"/>
                <w:szCs w:val="20"/>
                <w:color w:val="auto"/>
              </w:rPr>
            </w:pPr>
            <w:r>
              <w:rPr>
                <w:rFonts w:ascii="Arial" w:cs="Arial" w:eastAsia="Arial" w:hAnsi="Arial"/>
                <w:sz w:val="17"/>
                <w:szCs w:val="17"/>
                <w:color w:val="auto"/>
              </w:rPr>
              <w:t>(30.9)</w:t>
            </w:r>
          </w:p>
        </w:tc>
        <w:tc>
          <w:tcPr>
            <w:tcW w:w="360" w:type="dxa"/>
            <w:vAlign w:val="bottom"/>
          </w:tcPr>
          <w:p>
            <w:pPr>
              <w:spacing w:after="0"/>
              <w:rPr>
                <w:sz w:val="19"/>
                <w:szCs w:val="19"/>
                <w:color w:val="auto"/>
              </w:rPr>
            </w:pPr>
          </w:p>
        </w:tc>
        <w:tc>
          <w:tcPr>
            <w:tcW w:w="1220" w:type="dxa"/>
            <w:vAlign w:val="bottom"/>
          </w:tcPr>
          <w:p>
            <w:pPr>
              <w:jc w:val="right"/>
              <w:ind w:right="158"/>
              <w:spacing w:after="0"/>
              <w:rPr>
                <w:sz w:val="20"/>
                <w:szCs w:val="20"/>
                <w:color w:val="auto"/>
              </w:rPr>
            </w:pPr>
            <w:r>
              <w:rPr>
                <w:rFonts w:ascii="Arial" w:cs="Arial" w:eastAsia="Arial" w:hAnsi="Arial"/>
                <w:sz w:val="17"/>
                <w:szCs w:val="17"/>
                <w:color w:val="auto"/>
              </w:rPr>
              <w:t>4.6</w:t>
            </w:r>
          </w:p>
        </w:tc>
        <w:tc>
          <w:tcPr>
            <w:tcW w:w="340" w:type="dxa"/>
            <w:vAlign w:val="bottom"/>
          </w:tcPr>
          <w:p>
            <w:pPr>
              <w:spacing w:after="0"/>
              <w:rPr>
                <w:sz w:val="19"/>
                <w:szCs w:val="19"/>
                <w:color w:val="auto"/>
              </w:rPr>
            </w:pPr>
          </w:p>
        </w:tc>
        <w:tc>
          <w:tcPr>
            <w:tcW w:w="960" w:type="dxa"/>
            <w:vAlign w:val="bottom"/>
          </w:tcPr>
          <w:p>
            <w:pPr>
              <w:jc w:val="right"/>
              <w:ind w:right="38"/>
              <w:spacing w:after="0"/>
              <w:rPr>
                <w:sz w:val="20"/>
                <w:szCs w:val="20"/>
                <w:color w:val="auto"/>
              </w:rPr>
            </w:pPr>
            <w:r>
              <w:rPr>
                <w:rFonts w:ascii="Arial" w:cs="Arial" w:eastAsia="Arial" w:hAnsi="Arial"/>
                <w:sz w:val="17"/>
                <w:szCs w:val="17"/>
                <w:color w:val="auto"/>
              </w:rPr>
              <w:t>1.6</w:t>
            </w:r>
          </w:p>
        </w:tc>
      </w:tr>
      <w:tr>
        <w:trPr>
          <w:trHeight w:val="225"/>
        </w:trPr>
        <w:tc>
          <w:tcPr>
            <w:tcW w:w="2380" w:type="dxa"/>
            <w:vAlign w:val="bottom"/>
          </w:tcPr>
          <w:p>
            <w:pPr>
              <w:spacing w:after="0"/>
              <w:rPr>
                <w:sz w:val="20"/>
                <w:szCs w:val="20"/>
                <w:color w:val="auto"/>
              </w:rPr>
            </w:pPr>
            <w:r>
              <w:rPr>
                <w:rFonts w:ascii="Arial" w:cs="Arial" w:eastAsia="Arial" w:hAnsi="Arial"/>
                <w:sz w:val="17"/>
                <w:szCs w:val="17"/>
                <w:color w:val="auto"/>
              </w:rPr>
              <w:t>Noncontrolling interest</w:t>
            </w:r>
          </w:p>
        </w:tc>
        <w:tc>
          <w:tcPr>
            <w:tcW w:w="1340" w:type="dxa"/>
            <w:vAlign w:val="bottom"/>
          </w:tcPr>
          <w:p>
            <w:pPr>
              <w:jc w:val="right"/>
              <w:ind w:right="218"/>
              <w:spacing w:after="0"/>
              <w:rPr>
                <w:sz w:val="20"/>
                <w:szCs w:val="20"/>
                <w:color w:val="auto"/>
              </w:rPr>
            </w:pPr>
            <w:r>
              <w:rPr>
                <w:rFonts w:ascii="Arial" w:cs="Arial" w:eastAsia="Arial" w:hAnsi="Arial"/>
                <w:sz w:val="17"/>
                <w:szCs w:val="17"/>
                <w:color w:val="auto"/>
              </w:rPr>
              <w:t>—</w:t>
            </w:r>
          </w:p>
        </w:tc>
        <w:tc>
          <w:tcPr>
            <w:tcW w:w="1320" w:type="dxa"/>
            <w:vAlign w:val="bottom"/>
          </w:tcPr>
          <w:p>
            <w:pPr>
              <w:jc w:val="right"/>
              <w:ind w:right="138"/>
              <w:spacing w:after="0"/>
              <w:rPr>
                <w:sz w:val="20"/>
                <w:szCs w:val="20"/>
                <w:color w:val="auto"/>
              </w:rPr>
            </w:pPr>
            <w:r>
              <w:rPr>
                <w:rFonts w:ascii="Arial" w:cs="Arial" w:eastAsia="Arial" w:hAnsi="Arial"/>
                <w:sz w:val="17"/>
                <w:szCs w:val="17"/>
                <w:color w:val="auto"/>
              </w:rPr>
              <w:t>—</w:t>
            </w:r>
          </w:p>
        </w:tc>
        <w:tc>
          <w:tcPr>
            <w:tcW w:w="220" w:type="dxa"/>
            <w:vAlign w:val="bottom"/>
          </w:tcPr>
          <w:p>
            <w:pPr>
              <w:spacing w:after="0"/>
              <w:rPr>
                <w:sz w:val="19"/>
                <w:szCs w:val="19"/>
                <w:color w:val="auto"/>
              </w:rPr>
            </w:pPr>
          </w:p>
        </w:tc>
        <w:tc>
          <w:tcPr>
            <w:tcW w:w="1260" w:type="dxa"/>
            <w:vAlign w:val="bottom"/>
          </w:tcPr>
          <w:p>
            <w:pPr>
              <w:jc w:val="right"/>
              <w:ind w:right="178"/>
              <w:spacing w:after="0"/>
              <w:rPr>
                <w:sz w:val="20"/>
                <w:szCs w:val="20"/>
                <w:color w:val="auto"/>
              </w:rPr>
            </w:pPr>
            <w:r>
              <w:rPr>
                <w:rFonts w:ascii="Arial" w:cs="Arial" w:eastAsia="Arial" w:hAnsi="Arial"/>
                <w:sz w:val="17"/>
                <w:szCs w:val="17"/>
                <w:color w:val="auto"/>
              </w:rPr>
              <w:t>(0.8)</w:t>
            </w:r>
          </w:p>
        </w:tc>
        <w:tc>
          <w:tcPr>
            <w:tcW w:w="360" w:type="dxa"/>
            <w:vAlign w:val="bottom"/>
          </w:tcPr>
          <w:p>
            <w:pPr>
              <w:spacing w:after="0"/>
              <w:rPr>
                <w:sz w:val="19"/>
                <w:szCs w:val="19"/>
                <w:color w:val="auto"/>
              </w:rPr>
            </w:pPr>
          </w:p>
        </w:tc>
        <w:tc>
          <w:tcPr>
            <w:tcW w:w="1220" w:type="dxa"/>
            <w:vAlign w:val="bottom"/>
          </w:tcPr>
          <w:p>
            <w:pPr>
              <w:jc w:val="right"/>
              <w:ind w:right="158"/>
              <w:spacing w:after="0"/>
              <w:rPr>
                <w:sz w:val="20"/>
                <w:szCs w:val="20"/>
                <w:color w:val="auto"/>
              </w:rPr>
            </w:pPr>
            <w:r>
              <w:rPr>
                <w:rFonts w:ascii="Arial" w:cs="Arial" w:eastAsia="Arial" w:hAnsi="Arial"/>
                <w:sz w:val="17"/>
                <w:szCs w:val="17"/>
                <w:color w:val="auto"/>
              </w:rPr>
              <w:t>—</w:t>
            </w:r>
          </w:p>
        </w:tc>
        <w:tc>
          <w:tcPr>
            <w:tcW w:w="340" w:type="dxa"/>
            <w:vAlign w:val="bottom"/>
          </w:tcPr>
          <w:p>
            <w:pPr>
              <w:spacing w:after="0"/>
              <w:rPr>
                <w:sz w:val="19"/>
                <w:szCs w:val="19"/>
                <w:color w:val="auto"/>
              </w:rPr>
            </w:pPr>
          </w:p>
        </w:tc>
        <w:tc>
          <w:tcPr>
            <w:tcW w:w="960" w:type="dxa"/>
            <w:vAlign w:val="bottom"/>
          </w:tcPr>
          <w:p>
            <w:pPr>
              <w:jc w:val="right"/>
              <w:spacing w:after="0"/>
              <w:rPr>
                <w:sz w:val="20"/>
                <w:szCs w:val="20"/>
                <w:color w:val="auto"/>
              </w:rPr>
            </w:pPr>
            <w:r>
              <w:rPr>
                <w:rFonts w:ascii="Arial" w:cs="Arial" w:eastAsia="Arial" w:hAnsi="Arial"/>
                <w:sz w:val="17"/>
                <w:szCs w:val="17"/>
                <w:color w:val="auto"/>
              </w:rPr>
              <w:t>(0.8)</w:t>
            </w:r>
          </w:p>
        </w:tc>
      </w:tr>
      <w:tr>
        <w:trPr>
          <w:trHeight w:val="274"/>
        </w:trPr>
        <w:tc>
          <w:tcPr>
            <w:tcW w:w="2380" w:type="dxa"/>
            <w:vAlign w:val="bottom"/>
          </w:tcPr>
          <w:p>
            <w:pPr>
              <w:spacing w:after="0" w:line="273" w:lineRule="exact"/>
              <w:rPr>
                <w:sz w:val="20"/>
                <w:szCs w:val="20"/>
                <w:color w:val="auto"/>
              </w:rPr>
            </w:pPr>
            <w:r>
              <w:rPr>
                <w:rFonts w:ascii="Arial" w:cs="Arial" w:eastAsia="Arial" w:hAnsi="Arial"/>
                <w:sz w:val="17"/>
                <w:szCs w:val="17"/>
                <w:color w:val="auto"/>
              </w:rPr>
              <w:t>Adjustments</w:t>
            </w:r>
            <w:r>
              <w:rPr>
                <w:rFonts w:ascii="Arial" w:cs="Arial" w:eastAsia="Arial" w:hAnsi="Arial"/>
                <w:sz w:val="27"/>
                <w:szCs w:val="27"/>
                <w:color w:val="auto"/>
              </w:rPr>
              <w:t xml:space="preserve"> </w:t>
            </w:r>
            <w:r>
              <w:rPr>
                <w:rFonts w:ascii="Arial" w:cs="Arial" w:eastAsia="Arial" w:hAnsi="Arial"/>
                <w:sz w:val="27"/>
                <w:szCs w:val="27"/>
                <w:color w:val="auto"/>
                <w:vertAlign w:val="superscript"/>
              </w:rPr>
              <w:t>(1)</w:t>
            </w:r>
          </w:p>
        </w:tc>
        <w:tc>
          <w:tcPr>
            <w:tcW w:w="1340" w:type="dxa"/>
            <w:vAlign w:val="bottom"/>
          </w:tcPr>
          <w:p>
            <w:pPr>
              <w:jc w:val="right"/>
              <w:ind w:right="218"/>
              <w:spacing w:after="0"/>
              <w:rPr>
                <w:sz w:val="20"/>
                <w:szCs w:val="20"/>
                <w:color w:val="auto"/>
              </w:rPr>
            </w:pPr>
            <w:r>
              <w:rPr>
                <w:rFonts w:ascii="Arial" w:cs="Arial" w:eastAsia="Arial" w:hAnsi="Arial"/>
                <w:sz w:val="17"/>
                <w:szCs w:val="17"/>
                <w:color w:val="auto"/>
              </w:rPr>
              <w:t>4.1</w:t>
            </w:r>
          </w:p>
        </w:tc>
        <w:tc>
          <w:tcPr>
            <w:tcW w:w="1320" w:type="dxa"/>
            <w:vAlign w:val="bottom"/>
          </w:tcPr>
          <w:p>
            <w:pPr>
              <w:jc w:val="right"/>
              <w:ind w:right="78"/>
              <w:spacing w:after="0"/>
              <w:rPr>
                <w:sz w:val="20"/>
                <w:szCs w:val="20"/>
                <w:color w:val="auto"/>
              </w:rPr>
            </w:pPr>
            <w:r>
              <w:rPr>
                <w:rFonts w:ascii="Arial" w:cs="Arial" w:eastAsia="Arial" w:hAnsi="Arial"/>
                <w:sz w:val="17"/>
                <w:szCs w:val="17"/>
                <w:color w:val="auto"/>
              </w:rPr>
              <w:t>(25.4)</w:t>
            </w:r>
          </w:p>
        </w:tc>
        <w:tc>
          <w:tcPr>
            <w:tcW w:w="220" w:type="dxa"/>
            <w:vAlign w:val="bottom"/>
          </w:tcPr>
          <w:p>
            <w:pPr>
              <w:spacing w:after="0"/>
              <w:rPr>
                <w:sz w:val="23"/>
                <w:szCs w:val="23"/>
                <w:color w:val="auto"/>
              </w:rPr>
            </w:pPr>
          </w:p>
        </w:tc>
        <w:tc>
          <w:tcPr>
            <w:tcW w:w="1260" w:type="dxa"/>
            <w:vAlign w:val="bottom"/>
          </w:tcPr>
          <w:p>
            <w:pPr>
              <w:jc w:val="right"/>
              <w:ind w:right="218"/>
              <w:spacing w:after="0"/>
              <w:rPr>
                <w:sz w:val="20"/>
                <w:szCs w:val="20"/>
                <w:color w:val="auto"/>
              </w:rPr>
            </w:pPr>
            <w:r>
              <w:rPr>
                <w:rFonts w:ascii="Arial" w:cs="Arial" w:eastAsia="Arial" w:hAnsi="Arial"/>
                <w:sz w:val="17"/>
                <w:szCs w:val="17"/>
                <w:color w:val="auto"/>
              </w:rPr>
              <w:t>35.9</w:t>
            </w:r>
          </w:p>
        </w:tc>
        <w:tc>
          <w:tcPr>
            <w:tcW w:w="360" w:type="dxa"/>
            <w:vAlign w:val="bottom"/>
          </w:tcPr>
          <w:p>
            <w:pPr>
              <w:spacing w:after="0"/>
              <w:rPr>
                <w:sz w:val="23"/>
                <w:szCs w:val="23"/>
                <w:color w:val="auto"/>
              </w:rPr>
            </w:pPr>
          </w:p>
        </w:tc>
        <w:tc>
          <w:tcPr>
            <w:tcW w:w="1220" w:type="dxa"/>
            <w:vAlign w:val="bottom"/>
          </w:tcPr>
          <w:p>
            <w:pPr>
              <w:jc w:val="right"/>
              <w:ind w:right="158"/>
              <w:spacing w:after="0"/>
              <w:rPr>
                <w:sz w:val="20"/>
                <w:szCs w:val="20"/>
                <w:color w:val="auto"/>
              </w:rPr>
            </w:pPr>
            <w:r>
              <w:rPr>
                <w:rFonts w:ascii="Arial" w:cs="Arial" w:eastAsia="Arial" w:hAnsi="Arial"/>
                <w:sz w:val="17"/>
                <w:szCs w:val="17"/>
                <w:color w:val="auto"/>
              </w:rPr>
              <w:t>1.5</w:t>
            </w:r>
          </w:p>
        </w:tc>
        <w:tc>
          <w:tcPr>
            <w:tcW w:w="340" w:type="dxa"/>
            <w:vAlign w:val="bottom"/>
          </w:tcPr>
          <w:p>
            <w:pPr>
              <w:spacing w:after="0"/>
              <w:rPr>
                <w:sz w:val="23"/>
                <w:szCs w:val="23"/>
                <w:color w:val="auto"/>
              </w:rPr>
            </w:pPr>
          </w:p>
        </w:tc>
        <w:tc>
          <w:tcPr>
            <w:tcW w:w="960" w:type="dxa"/>
            <w:vAlign w:val="bottom"/>
          </w:tcPr>
          <w:p>
            <w:pPr>
              <w:jc w:val="right"/>
              <w:ind w:right="38"/>
              <w:spacing w:after="0"/>
              <w:rPr>
                <w:sz w:val="20"/>
                <w:szCs w:val="20"/>
                <w:color w:val="auto"/>
              </w:rPr>
            </w:pPr>
            <w:r>
              <w:rPr>
                <w:rFonts w:ascii="Arial" w:cs="Arial" w:eastAsia="Arial" w:hAnsi="Arial"/>
                <w:sz w:val="17"/>
                <w:szCs w:val="17"/>
                <w:color w:val="auto"/>
              </w:rPr>
              <w:t>16.1</w:t>
            </w:r>
          </w:p>
        </w:tc>
      </w:tr>
      <w:tr>
        <w:trPr>
          <w:trHeight w:val="195"/>
        </w:trPr>
        <w:tc>
          <w:tcPr>
            <w:tcW w:w="2380" w:type="dxa"/>
            <w:vAlign w:val="bottom"/>
          </w:tcPr>
          <w:p>
            <w:pPr>
              <w:spacing w:after="0"/>
              <w:rPr>
                <w:sz w:val="16"/>
                <w:szCs w:val="16"/>
                <w:color w:val="auto"/>
              </w:rPr>
            </w:pPr>
          </w:p>
        </w:tc>
        <w:tc>
          <w:tcPr>
            <w:tcW w:w="1340" w:type="dxa"/>
            <w:vAlign w:val="bottom"/>
          </w:tcPr>
          <w:p>
            <w:pPr>
              <w:jc w:val="right"/>
              <w:ind w:right="678"/>
              <w:spacing w:after="0"/>
              <w:rPr>
                <w:sz w:val="20"/>
                <w:szCs w:val="20"/>
                <w:color w:val="auto"/>
              </w:rPr>
            </w:pPr>
            <w:r>
              <w:rPr>
                <w:rFonts w:ascii="Arial" w:cs="Arial" w:eastAsia="Arial" w:hAnsi="Arial"/>
                <w:sz w:val="17"/>
                <w:szCs w:val="17"/>
                <w:color w:val="auto"/>
              </w:rPr>
              <w:t>$</w:t>
            </w:r>
          </w:p>
        </w:tc>
        <w:tc>
          <w:tcPr>
            <w:tcW w:w="1320" w:type="dxa"/>
            <w:vAlign w:val="bottom"/>
          </w:tcPr>
          <w:p>
            <w:pPr>
              <w:jc w:val="right"/>
              <w:ind w:right="658"/>
              <w:spacing w:after="0"/>
              <w:rPr>
                <w:sz w:val="20"/>
                <w:szCs w:val="20"/>
                <w:color w:val="auto"/>
              </w:rPr>
            </w:pPr>
            <w:r>
              <w:rPr>
                <w:rFonts w:ascii="Arial" w:cs="Arial" w:eastAsia="Arial" w:hAnsi="Arial"/>
                <w:sz w:val="17"/>
                <w:szCs w:val="17"/>
                <w:color w:val="auto"/>
              </w:rPr>
              <w:t>$</w:t>
            </w:r>
          </w:p>
        </w:tc>
        <w:tc>
          <w:tcPr>
            <w:tcW w:w="220" w:type="dxa"/>
            <w:vAlign w:val="bottom"/>
          </w:tcPr>
          <w:p>
            <w:pPr>
              <w:spacing w:after="0"/>
              <w:rPr>
                <w:sz w:val="16"/>
                <w:szCs w:val="16"/>
                <w:color w:val="auto"/>
              </w:rPr>
            </w:pPr>
          </w:p>
        </w:tc>
        <w:tc>
          <w:tcPr>
            <w:tcW w:w="126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12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960" w:type="dxa"/>
            <w:vAlign w:val="bottom"/>
          </w:tcPr>
          <w:p>
            <w:pPr>
              <w:jc w:val="right"/>
              <w:ind w:right="558"/>
              <w:spacing w:after="0"/>
              <w:rPr>
                <w:sz w:val="20"/>
                <w:szCs w:val="20"/>
                <w:color w:val="auto"/>
              </w:rPr>
            </w:pPr>
            <w:r>
              <w:rPr>
                <w:rFonts w:ascii="Arial" w:cs="Arial" w:eastAsia="Arial" w:hAnsi="Arial"/>
                <w:sz w:val="17"/>
                <w:szCs w:val="17"/>
                <w:color w:val="auto"/>
              </w:rPr>
              <w:t>$</w:t>
            </w:r>
          </w:p>
        </w:tc>
      </w:tr>
      <w:tr>
        <w:trPr>
          <w:trHeight w:val="221"/>
        </w:trPr>
        <w:tc>
          <w:tcPr>
            <w:tcW w:w="2380" w:type="dxa"/>
            <w:vAlign w:val="bottom"/>
          </w:tcPr>
          <w:p>
            <w:pPr>
              <w:spacing w:after="0"/>
              <w:rPr>
                <w:sz w:val="20"/>
                <w:szCs w:val="20"/>
                <w:color w:val="auto"/>
              </w:rPr>
            </w:pPr>
            <w:r>
              <w:rPr>
                <w:rFonts w:ascii="Arial" w:cs="Arial" w:eastAsia="Arial" w:hAnsi="Arial"/>
                <w:sz w:val="17"/>
                <w:szCs w:val="17"/>
                <w:color w:val="auto"/>
              </w:rPr>
              <w:t>Adjusted EBITDA</w:t>
            </w:r>
          </w:p>
        </w:tc>
        <w:tc>
          <w:tcPr>
            <w:tcW w:w="1340" w:type="dxa"/>
            <w:vAlign w:val="bottom"/>
          </w:tcPr>
          <w:p>
            <w:pPr>
              <w:jc w:val="right"/>
              <w:ind w:right="218"/>
              <w:spacing w:after="0"/>
              <w:rPr>
                <w:sz w:val="20"/>
                <w:szCs w:val="20"/>
                <w:color w:val="auto"/>
              </w:rPr>
            </w:pPr>
            <w:r>
              <w:rPr>
                <w:rFonts w:ascii="Arial" w:cs="Arial" w:eastAsia="Arial" w:hAnsi="Arial"/>
                <w:sz w:val="17"/>
                <w:szCs w:val="17"/>
                <w:color w:val="auto"/>
              </w:rPr>
              <w:t>325.4</w:t>
            </w:r>
          </w:p>
        </w:tc>
        <w:tc>
          <w:tcPr>
            <w:tcW w:w="1320" w:type="dxa"/>
            <w:vAlign w:val="bottom"/>
          </w:tcPr>
          <w:p>
            <w:pPr>
              <w:jc w:val="right"/>
              <w:ind w:right="138"/>
              <w:spacing w:after="0"/>
              <w:rPr>
                <w:sz w:val="20"/>
                <w:szCs w:val="20"/>
                <w:color w:val="auto"/>
              </w:rPr>
            </w:pPr>
            <w:r>
              <w:rPr>
                <w:rFonts w:ascii="Arial" w:cs="Arial" w:eastAsia="Arial" w:hAnsi="Arial"/>
                <w:sz w:val="17"/>
                <w:szCs w:val="17"/>
                <w:color w:val="auto"/>
              </w:rPr>
              <w:t>160.8</w:t>
            </w:r>
          </w:p>
        </w:tc>
        <w:tc>
          <w:tcPr>
            <w:tcW w:w="220" w:type="dxa"/>
            <w:vAlign w:val="bottom"/>
          </w:tcPr>
          <w:p>
            <w:pPr>
              <w:jc w:val="right"/>
              <w:spacing w:after="0"/>
              <w:rPr>
                <w:sz w:val="20"/>
                <w:szCs w:val="20"/>
                <w:color w:val="auto"/>
              </w:rPr>
            </w:pPr>
            <w:r>
              <w:rPr>
                <w:rFonts w:ascii="Arial" w:cs="Arial" w:eastAsia="Arial" w:hAnsi="Arial"/>
                <w:sz w:val="17"/>
                <w:szCs w:val="17"/>
                <w:color w:val="auto"/>
              </w:rPr>
              <w:t>$</w:t>
            </w:r>
          </w:p>
        </w:tc>
        <w:tc>
          <w:tcPr>
            <w:tcW w:w="1260" w:type="dxa"/>
            <w:vAlign w:val="bottom"/>
          </w:tcPr>
          <w:p>
            <w:pPr>
              <w:jc w:val="right"/>
              <w:ind w:right="218"/>
              <w:spacing w:after="0"/>
              <w:rPr>
                <w:sz w:val="20"/>
                <w:szCs w:val="20"/>
                <w:color w:val="auto"/>
              </w:rPr>
            </w:pPr>
            <w:r>
              <w:rPr>
                <w:rFonts w:ascii="Arial" w:cs="Arial" w:eastAsia="Arial" w:hAnsi="Arial"/>
                <w:sz w:val="17"/>
                <w:szCs w:val="17"/>
                <w:color w:val="auto"/>
              </w:rPr>
              <w:t>70.6</w:t>
            </w:r>
          </w:p>
        </w:tc>
        <w:tc>
          <w:tcPr>
            <w:tcW w:w="360" w:type="dxa"/>
            <w:vAlign w:val="bottom"/>
          </w:tcPr>
          <w:p>
            <w:pPr>
              <w:jc w:val="right"/>
              <w:spacing w:after="0"/>
              <w:rPr>
                <w:sz w:val="20"/>
                <w:szCs w:val="20"/>
                <w:color w:val="auto"/>
              </w:rPr>
            </w:pPr>
            <w:r>
              <w:rPr>
                <w:rFonts w:ascii="Arial" w:cs="Arial" w:eastAsia="Arial" w:hAnsi="Arial"/>
                <w:sz w:val="17"/>
                <w:szCs w:val="17"/>
                <w:color w:val="auto"/>
              </w:rPr>
              <w:t>$</w:t>
            </w:r>
          </w:p>
        </w:tc>
        <w:tc>
          <w:tcPr>
            <w:tcW w:w="1220" w:type="dxa"/>
            <w:vAlign w:val="bottom"/>
          </w:tcPr>
          <w:p>
            <w:pPr>
              <w:jc w:val="right"/>
              <w:ind w:right="98"/>
              <w:spacing w:after="0"/>
              <w:rPr>
                <w:sz w:val="20"/>
                <w:szCs w:val="20"/>
                <w:color w:val="auto"/>
              </w:rPr>
            </w:pPr>
            <w:r>
              <w:rPr>
                <w:rFonts w:ascii="Arial" w:cs="Arial" w:eastAsia="Arial" w:hAnsi="Arial"/>
                <w:sz w:val="17"/>
                <w:szCs w:val="17"/>
                <w:color w:val="auto"/>
              </w:rPr>
              <w:t>(95.5)</w:t>
            </w:r>
          </w:p>
        </w:tc>
        <w:tc>
          <w:tcPr>
            <w:tcW w:w="340" w:type="dxa"/>
            <w:vAlign w:val="bottom"/>
          </w:tcPr>
          <w:p>
            <w:pPr>
              <w:spacing w:after="0"/>
              <w:rPr>
                <w:sz w:val="19"/>
                <w:szCs w:val="19"/>
                <w:color w:val="auto"/>
              </w:rPr>
            </w:pPr>
          </w:p>
        </w:tc>
        <w:tc>
          <w:tcPr>
            <w:tcW w:w="960" w:type="dxa"/>
            <w:vAlign w:val="bottom"/>
          </w:tcPr>
          <w:p>
            <w:pPr>
              <w:jc w:val="right"/>
              <w:ind w:right="38"/>
              <w:spacing w:after="0"/>
              <w:rPr>
                <w:sz w:val="20"/>
                <w:szCs w:val="20"/>
                <w:color w:val="auto"/>
              </w:rPr>
            </w:pPr>
            <w:r>
              <w:rPr>
                <w:rFonts w:ascii="Arial" w:cs="Arial" w:eastAsia="Arial" w:hAnsi="Arial"/>
                <w:sz w:val="17"/>
                <w:szCs w:val="17"/>
                <w:color w:val="auto"/>
              </w:rPr>
              <w:t>461.3</w:t>
            </w:r>
          </w:p>
        </w:tc>
      </w:tr>
      <w:tr>
        <w:trPr>
          <w:trHeight w:val="225"/>
        </w:trPr>
        <w:tc>
          <w:tcPr>
            <w:tcW w:w="2380" w:type="dxa"/>
            <w:vAlign w:val="bottom"/>
          </w:tcPr>
          <w:p>
            <w:pPr>
              <w:spacing w:after="0"/>
              <w:rPr>
                <w:sz w:val="20"/>
                <w:szCs w:val="20"/>
                <w:color w:val="auto"/>
              </w:rPr>
            </w:pPr>
            <w:r>
              <w:rPr>
                <w:rFonts w:ascii="Arial" w:cs="Arial" w:eastAsia="Arial" w:hAnsi="Arial"/>
                <w:sz w:val="17"/>
                <w:szCs w:val="17"/>
                <w:color w:val="auto"/>
              </w:rPr>
              <w:t>Operating margin</w:t>
            </w:r>
          </w:p>
        </w:tc>
        <w:tc>
          <w:tcPr>
            <w:tcW w:w="1340" w:type="dxa"/>
            <w:vAlign w:val="bottom"/>
          </w:tcPr>
          <w:p>
            <w:pPr>
              <w:jc w:val="right"/>
              <w:ind w:right="98"/>
              <w:spacing w:after="0"/>
              <w:rPr>
                <w:sz w:val="20"/>
                <w:szCs w:val="20"/>
                <w:color w:val="auto"/>
              </w:rPr>
            </w:pPr>
            <w:r>
              <w:rPr>
                <w:rFonts w:ascii="Arial" w:cs="Arial" w:eastAsia="Arial" w:hAnsi="Arial"/>
                <w:sz w:val="17"/>
                <w:szCs w:val="17"/>
                <w:color w:val="auto"/>
              </w:rPr>
              <w:t>46.2 %</w:t>
            </w:r>
          </w:p>
        </w:tc>
        <w:tc>
          <w:tcPr>
            <w:tcW w:w="1320" w:type="dxa"/>
            <w:vAlign w:val="bottom"/>
          </w:tcPr>
          <w:p>
            <w:pPr>
              <w:jc w:val="right"/>
              <w:ind w:right="18"/>
              <w:spacing w:after="0"/>
              <w:rPr>
                <w:sz w:val="20"/>
                <w:szCs w:val="20"/>
                <w:color w:val="auto"/>
              </w:rPr>
            </w:pPr>
            <w:r>
              <w:rPr>
                <w:rFonts w:ascii="Arial" w:cs="Arial" w:eastAsia="Arial" w:hAnsi="Arial"/>
                <w:sz w:val="17"/>
                <w:szCs w:val="17"/>
                <w:color w:val="auto"/>
              </w:rPr>
              <w:t>26.6 %</w:t>
            </w:r>
          </w:p>
        </w:tc>
        <w:tc>
          <w:tcPr>
            <w:tcW w:w="220" w:type="dxa"/>
            <w:vAlign w:val="bottom"/>
          </w:tcPr>
          <w:p>
            <w:pPr>
              <w:spacing w:after="0"/>
              <w:rPr>
                <w:sz w:val="19"/>
                <w:szCs w:val="19"/>
                <w:color w:val="auto"/>
              </w:rPr>
            </w:pPr>
          </w:p>
        </w:tc>
        <w:tc>
          <w:tcPr>
            <w:tcW w:w="1260" w:type="dxa"/>
            <w:vAlign w:val="bottom"/>
          </w:tcPr>
          <w:p>
            <w:pPr>
              <w:jc w:val="right"/>
              <w:ind w:right="98"/>
              <w:spacing w:after="0"/>
              <w:rPr>
                <w:sz w:val="20"/>
                <w:szCs w:val="20"/>
                <w:color w:val="auto"/>
              </w:rPr>
            </w:pPr>
            <w:r>
              <w:rPr>
                <w:rFonts w:ascii="Arial" w:cs="Arial" w:eastAsia="Arial" w:hAnsi="Arial"/>
                <w:sz w:val="17"/>
                <w:szCs w:val="17"/>
                <w:color w:val="auto"/>
              </w:rPr>
              <w:t>11.3 %</w:t>
            </w:r>
          </w:p>
        </w:tc>
        <w:tc>
          <w:tcPr>
            <w:tcW w:w="360" w:type="dxa"/>
            <w:vAlign w:val="bottom"/>
          </w:tcPr>
          <w:p>
            <w:pPr>
              <w:spacing w:after="0"/>
              <w:rPr>
                <w:sz w:val="19"/>
                <w:szCs w:val="19"/>
                <w:color w:val="auto"/>
              </w:rPr>
            </w:pPr>
          </w:p>
        </w:tc>
        <w:tc>
          <w:tcPr>
            <w:tcW w:w="1220" w:type="dxa"/>
            <w:vAlign w:val="bottom"/>
          </w:tcPr>
          <w:p>
            <w:pPr>
              <w:jc w:val="right"/>
              <w:ind w:right="38"/>
              <w:spacing w:after="0"/>
              <w:rPr>
                <w:sz w:val="20"/>
                <w:szCs w:val="20"/>
                <w:color w:val="auto"/>
              </w:rPr>
            </w:pPr>
            <w:r>
              <w:rPr>
                <w:rFonts w:ascii="Arial" w:cs="Arial" w:eastAsia="Arial" w:hAnsi="Arial"/>
                <w:sz w:val="17"/>
                <w:szCs w:val="17"/>
                <w:color w:val="auto"/>
              </w:rPr>
              <w:t>nm</w:t>
            </w:r>
          </w:p>
        </w:tc>
        <w:tc>
          <w:tcPr>
            <w:tcW w:w="340" w:type="dxa"/>
            <w:vAlign w:val="bottom"/>
          </w:tcPr>
          <w:p>
            <w:pPr>
              <w:spacing w:after="0"/>
              <w:rPr>
                <w:sz w:val="19"/>
                <w:szCs w:val="19"/>
                <w:color w:val="auto"/>
              </w:rPr>
            </w:pPr>
          </w:p>
        </w:tc>
        <w:tc>
          <w:tcPr>
            <w:tcW w:w="960" w:type="dxa"/>
            <w:vAlign w:val="bottom"/>
          </w:tcPr>
          <w:p>
            <w:pPr>
              <w:jc w:val="right"/>
              <w:spacing w:after="0"/>
              <w:rPr>
                <w:sz w:val="20"/>
                <w:szCs w:val="20"/>
                <w:color w:val="auto"/>
              </w:rPr>
            </w:pPr>
            <w:r>
              <w:rPr>
                <w:rFonts w:ascii="Arial" w:cs="Arial" w:eastAsia="Arial" w:hAnsi="Arial"/>
                <w:sz w:val="17"/>
                <w:szCs w:val="17"/>
                <w:color w:val="auto"/>
              </w:rPr>
              <w:t>23.1 %</w:t>
            </w:r>
          </w:p>
        </w:tc>
      </w:tr>
      <w:tr>
        <w:trPr>
          <w:trHeight w:val="225"/>
        </w:trPr>
        <w:tc>
          <w:tcPr>
            <w:tcW w:w="2380" w:type="dxa"/>
            <w:vAlign w:val="bottom"/>
          </w:tcPr>
          <w:p>
            <w:pPr>
              <w:spacing w:after="0"/>
              <w:rPr>
                <w:sz w:val="20"/>
                <w:szCs w:val="20"/>
                <w:color w:val="auto"/>
              </w:rPr>
            </w:pPr>
            <w:r>
              <w:rPr>
                <w:rFonts w:ascii="Arial" w:cs="Arial" w:eastAsia="Arial" w:hAnsi="Arial"/>
                <w:sz w:val="17"/>
                <w:szCs w:val="17"/>
                <w:color w:val="auto"/>
              </w:rPr>
              <w:t>Adjusted EBITDA margin</w:t>
            </w:r>
          </w:p>
        </w:tc>
        <w:tc>
          <w:tcPr>
            <w:tcW w:w="1340" w:type="dxa"/>
            <w:vAlign w:val="bottom"/>
          </w:tcPr>
          <w:p>
            <w:pPr>
              <w:jc w:val="right"/>
              <w:ind w:right="98"/>
              <w:spacing w:after="0"/>
              <w:rPr>
                <w:sz w:val="20"/>
                <w:szCs w:val="20"/>
                <w:color w:val="auto"/>
              </w:rPr>
            </w:pPr>
            <w:r>
              <w:rPr>
                <w:rFonts w:ascii="Arial" w:cs="Arial" w:eastAsia="Arial" w:hAnsi="Arial"/>
                <w:sz w:val="17"/>
                <w:szCs w:val="17"/>
                <w:color w:val="auto"/>
              </w:rPr>
              <w:t>53.4 %</w:t>
            </w:r>
          </w:p>
        </w:tc>
        <w:tc>
          <w:tcPr>
            <w:tcW w:w="1320" w:type="dxa"/>
            <w:vAlign w:val="bottom"/>
          </w:tcPr>
          <w:p>
            <w:pPr>
              <w:jc w:val="right"/>
              <w:ind w:right="18"/>
              <w:spacing w:after="0"/>
              <w:rPr>
                <w:sz w:val="20"/>
                <w:szCs w:val="20"/>
                <w:color w:val="auto"/>
              </w:rPr>
            </w:pPr>
            <w:r>
              <w:rPr>
                <w:rFonts w:ascii="Arial" w:cs="Arial" w:eastAsia="Arial" w:hAnsi="Arial"/>
                <w:sz w:val="17"/>
                <w:szCs w:val="17"/>
                <w:color w:val="auto"/>
              </w:rPr>
              <w:t>38.2 %</w:t>
            </w:r>
          </w:p>
        </w:tc>
        <w:tc>
          <w:tcPr>
            <w:tcW w:w="220" w:type="dxa"/>
            <w:vAlign w:val="bottom"/>
          </w:tcPr>
          <w:p>
            <w:pPr>
              <w:spacing w:after="0"/>
              <w:rPr>
                <w:sz w:val="19"/>
                <w:szCs w:val="19"/>
                <w:color w:val="auto"/>
              </w:rPr>
            </w:pPr>
          </w:p>
        </w:tc>
        <w:tc>
          <w:tcPr>
            <w:tcW w:w="1260" w:type="dxa"/>
            <w:vAlign w:val="bottom"/>
          </w:tcPr>
          <w:p>
            <w:pPr>
              <w:jc w:val="right"/>
              <w:ind w:right="98"/>
              <w:spacing w:after="0"/>
              <w:rPr>
                <w:sz w:val="20"/>
                <w:szCs w:val="20"/>
                <w:color w:val="auto"/>
              </w:rPr>
            </w:pPr>
            <w:r>
              <w:rPr>
                <w:rFonts w:ascii="Arial" w:cs="Arial" w:eastAsia="Arial" w:hAnsi="Arial"/>
                <w:sz w:val="17"/>
                <w:szCs w:val="17"/>
                <w:color w:val="auto"/>
              </w:rPr>
              <w:t>24.7 %</w:t>
            </w:r>
          </w:p>
        </w:tc>
        <w:tc>
          <w:tcPr>
            <w:tcW w:w="360" w:type="dxa"/>
            <w:vAlign w:val="bottom"/>
          </w:tcPr>
          <w:p>
            <w:pPr>
              <w:spacing w:after="0"/>
              <w:rPr>
                <w:sz w:val="19"/>
                <w:szCs w:val="19"/>
                <w:color w:val="auto"/>
              </w:rPr>
            </w:pPr>
          </w:p>
        </w:tc>
        <w:tc>
          <w:tcPr>
            <w:tcW w:w="1220" w:type="dxa"/>
            <w:vAlign w:val="bottom"/>
          </w:tcPr>
          <w:p>
            <w:pPr>
              <w:jc w:val="right"/>
              <w:ind w:right="38"/>
              <w:spacing w:after="0"/>
              <w:rPr>
                <w:sz w:val="20"/>
                <w:szCs w:val="20"/>
                <w:color w:val="auto"/>
              </w:rPr>
            </w:pPr>
            <w:r>
              <w:rPr>
                <w:rFonts w:ascii="Arial" w:cs="Arial" w:eastAsia="Arial" w:hAnsi="Arial"/>
                <w:sz w:val="17"/>
                <w:szCs w:val="17"/>
                <w:color w:val="auto"/>
              </w:rPr>
              <w:t>nm</w:t>
            </w:r>
          </w:p>
        </w:tc>
        <w:tc>
          <w:tcPr>
            <w:tcW w:w="340" w:type="dxa"/>
            <w:vAlign w:val="bottom"/>
          </w:tcPr>
          <w:p>
            <w:pPr>
              <w:spacing w:after="0"/>
              <w:rPr>
                <w:sz w:val="19"/>
                <w:szCs w:val="19"/>
                <w:color w:val="auto"/>
              </w:rPr>
            </w:pPr>
          </w:p>
        </w:tc>
        <w:tc>
          <w:tcPr>
            <w:tcW w:w="960" w:type="dxa"/>
            <w:vAlign w:val="bottom"/>
          </w:tcPr>
          <w:p>
            <w:pPr>
              <w:jc w:val="right"/>
              <w:spacing w:after="0"/>
              <w:rPr>
                <w:sz w:val="20"/>
                <w:szCs w:val="20"/>
                <w:color w:val="auto"/>
              </w:rPr>
            </w:pPr>
            <w:r>
              <w:rPr>
                <w:rFonts w:ascii="Arial" w:cs="Arial" w:eastAsia="Arial" w:hAnsi="Arial"/>
                <w:sz w:val="17"/>
                <w:szCs w:val="17"/>
                <w:color w:val="auto"/>
              </w:rPr>
              <w:t>35.0 %</w:t>
            </w:r>
          </w:p>
        </w:tc>
      </w:tr>
    </w:tbl>
    <w:p>
      <w:pPr>
        <w:spacing w:after="0" w:line="229" w:lineRule="exact"/>
        <w:rPr>
          <w:sz w:val="20"/>
          <w:szCs w:val="20"/>
          <w:color w:val="auto"/>
        </w:rPr>
      </w:pPr>
    </w:p>
    <w:p>
      <w:pPr>
        <w:ind w:left="60"/>
        <w:spacing w:after="0"/>
        <w:rPr>
          <w:sz w:val="20"/>
          <w:szCs w:val="20"/>
          <w:color w:val="auto"/>
        </w:rPr>
      </w:pPr>
      <w:r>
        <w:rPr>
          <w:rFonts w:ascii="Arial" w:cs="Arial" w:eastAsia="Arial" w:hAnsi="Arial"/>
          <w:sz w:val="17"/>
          <w:szCs w:val="17"/>
          <w:color w:val="auto"/>
        </w:rPr>
        <w:t>nm - not meaningful</w:t>
      </w:r>
    </w:p>
    <w:p>
      <w:pPr>
        <w:spacing w:after="0" w:line="30" w:lineRule="exact"/>
        <w:rPr>
          <w:sz w:val="20"/>
          <w:szCs w:val="20"/>
          <w:color w:val="auto"/>
        </w:rPr>
      </w:pPr>
    </w:p>
    <w:p>
      <w:pPr>
        <w:ind w:left="60"/>
        <w:spacing w:after="0"/>
        <w:rPr>
          <w:sz w:val="20"/>
          <w:szCs w:val="20"/>
          <w:color w:val="auto"/>
        </w:rPr>
      </w:pPr>
      <w:r>
        <w:rPr>
          <w:rFonts w:ascii="Arial" w:cs="Arial" w:eastAsia="Arial" w:hAnsi="Arial"/>
          <w:sz w:val="17"/>
          <w:szCs w:val="17"/>
          <w:color w:val="auto"/>
        </w:rPr>
        <w:t>*Excludes interest income of $0.2 million in International.</w:t>
      </w:r>
    </w:p>
    <w:p>
      <w:pPr>
        <w:spacing w:after="0" w:line="255" w:lineRule="exact"/>
        <w:rPr>
          <w:sz w:val="20"/>
          <w:szCs w:val="20"/>
          <w:color w:val="auto"/>
        </w:rPr>
      </w:pPr>
    </w:p>
    <w:p>
      <w:pPr>
        <w:ind w:left="340" w:right="20" w:hanging="280"/>
        <w:spacing w:after="0" w:line="245" w:lineRule="auto"/>
        <w:tabs>
          <w:tab w:leader="none" w:pos="340" w:val="left"/>
        </w:tabs>
        <w:numPr>
          <w:ilvl w:val="0"/>
          <w:numId w:val="9"/>
        </w:numPr>
        <w:rPr>
          <w:rFonts w:ascii="Arial" w:cs="Arial" w:eastAsia="Arial" w:hAnsi="Arial"/>
          <w:sz w:val="17"/>
          <w:szCs w:val="17"/>
          <w:color w:val="auto"/>
        </w:rPr>
      </w:pPr>
      <w:r>
        <w:rPr>
          <w:rFonts w:ascii="Arial" w:cs="Arial" w:eastAsia="Arial" w:hAnsi="Arial"/>
          <w:sz w:val="17"/>
          <w:szCs w:val="17"/>
          <w:color w:val="auto"/>
        </w:rPr>
        <w:t>During the second quarter of 2023, we recorded pre-tax expenses of $0.3 million for legal expenses related to the 2017 cybersecurity incident, a $10.5 million unrealized gain on the fair value adjustment of equity investments, a $1.8 million foreign currency gain on certain intercompany loans, $26.9 million for acquisition costs other than acquisition-related amortization, a foreign currency loss of $0.1 million related to the impact of remeasuring the peso denominated monetary assets and liabilities as a result of Argentina being a highly inflationary economy and $17.5 million of restructuring charges for the realignment of internal resources and other costs.</w:t>
      </w:r>
    </w:p>
    <w:p>
      <w:pPr>
        <w:spacing w:after="0" w:line="227" w:lineRule="exact"/>
        <w:rPr>
          <w:rFonts w:ascii="Arial" w:cs="Arial" w:eastAsia="Arial" w:hAnsi="Arial"/>
          <w:sz w:val="17"/>
          <w:szCs w:val="17"/>
          <w:color w:val="auto"/>
        </w:rPr>
      </w:pPr>
    </w:p>
    <w:p>
      <w:pPr>
        <w:ind w:left="340"/>
        <w:spacing w:after="0" w:line="247" w:lineRule="auto"/>
        <w:rPr>
          <w:rFonts w:ascii="Arial" w:cs="Arial" w:eastAsia="Arial" w:hAnsi="Arial"/>
          <w:sz w:val="17"/>
          <w:szCs w:val="17"/>
          <w:color w:val="auto"/>
        </w:rPr>
      </w:pPr>
      <w:r>
        <w:rPr>
          <w:rFonts w:ascii="Arial" w:cs="Arial" w:eastAsia="Arial" w:hAnsi="Arial"/>
          <w:sz w:val="17"/>
          <w:szCs w:val="17"/>
          <w:color w:val="auto"/>
        </w:rPr>
        <w:t>During the second quarter of 2022, we recorded pre-tax expenses of $0.5 million for legal expenses related to the 2017 cybersecurity incident, a $6.7 million unrealized loss on the fair value adjustment and gain on sale of equity investments, a $3.0 million foreign currency gain on certain intercompany loans, $12.0 million in acquisition costs other than acquisition-related amortization and a $0.1 million foreign currency gain related to the impact of remeasuring the peso denominated monetary assets and liabilities as a result of Argentina being a highly inflationary economy.</w:t>
      </w:r>
    </w:p>
    <w:p>
      <w:pPr>
        <w:sectPr>
          <w:pgSz w:w="12240" w:h="15840" w:orient="portrait"/>
          <w:cols w:equalWidth="0" w:num="1">
            <w:col w:w="9760"/>
          </w:cols>
          <w:pgMar w:left="1200" w:top="1053" w:right="1280" w:bottom="924" w:gutter="0" w:footer="0" w:header="0"/>
        </w:sectPr>
      </w:pPr>
    </w:p>
    <w:bookmarkStart w:id="13" w:name="page14"/>
    <w:bookmarkEnd w:id="13"/>
    <w:p>
      <w:pPr>
        <w:ind w:right="240"/>
        <w:spacing w:after="0" w:line="301" w:lineRule="auto"/>
        <w:rPr>
          <w:sz w:val="20"/>
          <w:szCs w:val="20"/>
          <w:color w:val="auto"/>
        </w:rPr>
      </w:pPr>
      <w:r>
        <w:rPr>
          <w:rFonts w:ascii="Arial" w:cs="Arial" w:eastAsia="Arial" w:hAnsi="Arial"/>
          <w:sz w:val="24"/>
          <w:szCs w:val="24"/>
          <w:b w:val="1"/>
          <w:bCs w:val="1"/>
          <w:i w:val="1"/>
          <w:iCs w:val="1"/>
          <w:color w:val="auto"/>
        </w:rPr>
        <w:t>Notes to Reconciliations of Non-GAAP Financial Measures to the Comparable GAAP Financial Measures</w:t>
      </w:r>
    </w:p>
    <w:p>
      <w:pPr>
        <w:spacing w:after="0" w:line="11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Diluted EPS attributable to Equifax is adjusted for the following items:</w:t>
      </w:r>
    </w:p>
    <w:p>
      <w:pPr>
        <w:spacing w:after="0" w:line="249" w:lineRule="exact"/>
        <w:rPr>
          <w:sz w:val="20"/>
          <w:szCs w:val="20"/>
          <w:color w:val="auto"/>
        </w:rPr>
      </w:pPr>
    </w:p>
    <w:p>
      <w:pPr>
        <w:ind w:right="200"/>
        <w:spacing w:after="0" w:line="262" w:lineRule="auto"/>
        <w:rPr>
          <w:sz w:val="20"/>
          <w:szCs w:val="20"/>
          <w:color w:val="auto"/>
        </w:rPr>
      </w:pPr>
      <w:r>
        <w:rPr>
          <w:rFonts w:ascii="Arial" w:cs="Arial" w:eastAsia="Arial" w:hAnsi="Arial"/>
          <w:sz w:val="23"/>
          <w:szCs w:val="23"/>
          <w:b w:val="1"/>
          <w:bCs w:val="1"/>
          <w:color w:val="auto"/>
        </w:rPr>
        <w:t>Acquisition- related amortization expense</w:t>
      </w:r>
      <w:r>
        <w:rPr>
          <w:rFonts w:ascii="Arial" w:cs="Arial" w:eastAsia="Arial" w:hAnsi="Arial"/>
          <w:sz w:val="23"/>
          <w:szCs w:val="23"/>
          <w:color w:val="auto"/>
        </w:rPr>
        <w:t xml:space="preserve"> - During the second quarter of 2023 and 2022, we recorded acquisition-related amortization expense of certain acquired intangibles of $60.3 million ($49.0 million, net of tax) and $57.9 million ($47.2 million, net of tax), respectively. We calculate this financial measure by excluding the impact of acquisition-related amortization expense and including a benefit to reflect the material cash income tax savings resulting from the income tax deductibility of amortization for certain acquired intangibles. These financial measures are not prepared in conformity with GAAP. Management believes excluding the impact of amortization expense is useful because excluding acquisition -related amortization and other items that are not comparable allows investors to evaluate our performance for different periods on a more comparable basis. Certain acquired intangibles result in material cash income tax savings which are not reflected in earnings. Management believes that including a benefit to reflect the cash income tax savings is useful as it allows investors to better value Equifax. Management makes these adjustments to earnings when measuring profitability, evaluating performance trends, setting performance objectives and calculating our return on invested capital.</w:t>
      </w:r>
    </w:p>
    <w:p>
      <w:pPr>
        <w:spacing w:after="0" w:line="184" w:lineRule="exact"/>
        <w:rPr>
          <w:sz w:val="20"/>
          <w:szCs w:val="20"/>
          <w:color w:val="auto"/>
        </w:rPr>
      </w:pPr>
    </w:p>
    <w:p>
      <w:pPr>
        <w:jc w:val="both"/>
        <w:ind w:right="360"/>
        <w:spacing w:after="0" w:line="255" w:lineRule="auto"/>
        <w:rPr>
          <w:sz w:val="20"/>
          <w:szCs w:val="20"/>
          <w:color w:val="auto"/>
        </w:rPr>
      </w:pPr>
      <w:r>
        <w:rPr>
          <w:rFonts w:ascii="Arial" w:cs="Arial" w:eastAsia="Arial" w:hAnsi="Arial"/>
          <w:sz w:val="24"/>
          <w:szCs w:val="24"/>
          <w:b w:val="1"/>
          <w:bCs w:val="1"/>
          <w:color w:val="auto"/>
        </w:rPr>
        <w:t>Legal expenses related to the 2017 cybersecurity incident</w:t>
      </w:r>
      <w:r>
        <w:rPr>
          <w:rFonts w:ascii="Arial" w:cs="Arial" w:eastAsia="Arial" w:hAnsi="Arial"/>
          <w:sz w:val="24"/>
          <w:szCs w:val="24"/>
          <w:color w:val="auto"/>
        </w:rPr>
        <w:t xml:space="preserve"> - Legal expenses related to the 2017 cybersecurity incident include legal fees to respond to subsequent litigation and government investigations for both periods presented. During the second quarter of 2023 and 2022, we recorded legal expenses related to the 2017 cybersecurity incident of</w:t>
      </w:r>
    </w:p>
    <w:p>
      <w:pPr>
        <w:spacing w:after="0" w:line="1" w:lineRule="exact"/>
        <w:rPr>
          <w:sz w:val="20"/>
          <w:szCs w:val="20"/>
          <w:color w:val="auto"/>
        </w:rPr>
      </w:pPr>
    </w:p>
    <w:p>
      <w:pPr>
        <w:spacing w:after="0" w:line="249" w:lineRule="auto"/>
        <w:rPr>
          <w:sz w:val="20"/>
          <w:szCs w:val="20"/>
          <w:color w:val="auto"/>
        </w:rPr>
      </w:pPr>
      <w:r>
        <w:rPr>
          <w:rFonts w:ascii="Arial" w:cs="Arial" w:eastAsia="Arial" w:hAnsi="Arial"/>
          <w:sz w:val="24"/>
          <w:szCs w:val="24"/>
          <w:color w:val="auto"/>
        </w:rPr>
        <w:t>$0.3 million ($0.2 million, net of tax) and $0.5 million ($0.4 million, net of tax). Management believes excluding these charges is useful as it allows investors to evaluate our performance for different periods on a more comparable basis. Management makes these adjustments to net income when measuring profitability, evaluating performance trends, setting performance objectives and calculating our return on invested capital. This is consistent with how management reviews and assesses Equifax's historical performance and is useful when planning, forecasting and analyzing future periods. The legal expenses related to the 2017 cybersecurity incident do not include losses accrued for certain legal proceedings and government investigations related to the 2017 cybersecurity incident.</w:t>
      </w:r>
    </w:p>
    <w:p>
      <w:pPr>
        <w:spacing w:after="0" w:line="194" w:lineRule="exact"/>
        <w:rPr>
          <w:sz w:val="20"/>
          <w:szCs w:val="20"/>
          <w:color w:val="auto"/>
        </w:rPr>
      </w:pPr>
    </w:p>
    <w:p>
      <w:pPr>
        <w:ind w:right="60"/>
        <w:spacing w:after="0" w:line="255" w:lineRule="auto"/>
        <w:rPr>
          <w:sz w:val="20"/>
          <w:szCs w:val="20"/>
          <w:color w:val="auto"/>
        </w:rPr>
      </w:pPr>
      <w:r>
        <w:rPr>
          <w:rFonts w:ascii="Arial" w:cs="Arial" w:eastAsia="Arial" w:hAnsi="Arial"/>
          <w:sz w:val="24"/>
          <w:szCs w:val="24"/>
          <w:b w:val="1"/>
          <w:bCs w:val="1"/>
          <w:color w:val="auto"/>
        </w:rPr>
        <w:t>Fair market value adjustment and gain on sale of equity investments</w:t>
      </w:r>
      <w:r>
        <w:rPr>
          <w:rFonts w:ascii="Arial" w:cs="Arial" w:eastAsia="Arial" w:hAnsi="Arial"/>
          <w:sz w:val="24"/>
          <w:szCs w:val="24"/>
          <w:color w:val="auto"/>
        </w:rPr>
        <w:t>- During the second quarter of 2023, we recorded a $10.5 million ($6.8 million, net of tax) unrealized gain related to adjusting our investment in Brazil to fair value and gain related to sale of an equity method investment. During the second quarter of 2022 we recorded a $6.7 million</w:t>
      </w:r>
    </w:p>
    <w:p>
      <w:pPr>
        <w:spacing w:after="0" w:line="1" w:lineRule="exact"/>
        <w:rPr>
          <w:sz w:val="20"/>
          <w:szCs w:val="20"/>
          <w:color w:val="auto"/>
        </w:rPr>
      </w:pPr>
    </w:p>
    <w:p>
      <w:pPr>
        <w:ind w:right="160"/>
        <w:spacing w:after="0" w:line="249" w:lineRule="auto"/>
        <w:rPr>
          <w:sz w:val="20"/>
          <w:szCs w:val="20"/>
          <w:color w:val="auto"/>
        </w:rPr>
      </w:pPr>
      <w:r>
        <w:rPr>
          <w:rFonts w:ascii="Arial" w:cs="Arial" w:eastAsia="Arial" w:hAnsi="Arial"/>
          <w:sz w:val="24"/>
          <w:szCs w:val="24"/>
          <w:color w:val="auto"/>
        </w:rPr>
        <w:t>($5.7 million, net of tax) unrealized loss related to adjusting our investment in Brazil to fair value and gains related to the sale of two equity method investments. The investment in Brazil has a readily determinable fair value and is adjusted to fair value at the end of each reporting period, with unrealized gains or losses to be recorded within the Consolidated Statements of Income in Other income, net. Management believes excluding these charges from certain financial results provides meaningful supplemental information regarding our financial results for the three months ended June 30, 2023 and 2022, since the non-operating gains or losses are not comparable among the periods. This is consistent with how our management reviews and assesses Equifax's historical performance and is useful when planning, forecasting and analyzing future periods.</w:t>
      </w:r>
    </w:p>
    <w:p>
      <w:pPr>
        <w:sectPr>
          <w:pgSz w:w="12240" w:h="15840" w:orient="portrait"/>
          <w:cols w:equalWidth="0" w:num="1">
            <w:col w:w="9840"/>
          </w:cols>
          <w:pgMar w:left="1200" w:top="1057" w:right="1200" w:bottom="389" w:gutter="0" w:footer="0" w:header="0"/>
        </w:sectPr>
      </w:pPr>
    </w:p>
    <w:bookmarkStart w:id="14" w:name="page15"/>
    <w:bookmarkEnd w:id="14"/>
    <w:p>
      <w:pPr>
        <w:ind w:right="160"/>
        <w:spacing w:after="0" w:line="255" w:lineRule="auto"/>
        <w:rPr>
          <w:sz w:val="20"/>
          <w:szCs w:val="20"/>
          <w:color w:val="auto"/>
        </w:rPr>
      </w:pPr>
      <w:r>
        <w:rPr>
          <w:rFonts w:ascii="Arial" w:cs="Arial" w:eastAsia="Arial" w:hAnsi="Arial"/>
          <w:sz w:val="24"/>
          <w:szCs w:val="24"/>
          <w:b w:val="1"/>
          <w:bCs w:val="1"/>
          <w:color w:val="auto"/>
        </w:rPr>
        <w:t>Foreign currency impact of certain intercompany loans -</w:t>
      </w:r>
      <w:r>
        <w:rPr>
          <w:rFonts w:ascii="Arial" w:cs="Arial" w:eastAsia="Arial" w:hAnsi="Arial"/>
          <w:sz w:val="24"/>
          <w:szCs w:val="24"/>
          <w:color w:val="auto"/>
        </w:rPr>
        <w:t xml:space="preserve"> During the second quarter of 2023 and 2022, we recorded a gain of $1.8 million and $3.0 million, respectively, related to foreign currency impact of certain intercompany loans. Management believes excluding this charge is useful as it allows investors to evaluate our performance for different periods on a more comparable basis. This is consistent with how management reviews and assesses Equifax's historical performance and is useful when planning, forecasting and analyzing future periods.</w:t>
      </w:r>
    </w:p>
    <w:p>
      <w:pPr>
        <w:spacing w:after="0" w:line="182" w:lineRule="exact"/>
        <w:rPr>
          <w:sz w:val="20"/>
          <w:szCs w:val="20"/>
          <w:color w:val="auto"/>
        </w:rPr>
      </w:pPr>
    </w:p>
    <w:p>
      <w:pPr>
        <w:ind w:right="280"/>
        <w:spacing w:after="0" w:line="252" w:lineRule="auto"/>
        <w:rPr>
          <w:sz w:val="20"/>
          <w:szCs w:val="20"/>
          <w:color w:val="auto"/>
        </w:rPr>
      </w:pPr>
      <w:r>
        <w:rPr>
          <w:rFonts w:ascii="Arial" w:cs="Arial" w:eastAsia="Arial" w:hAnsi="Arial"/>
          <w:sz w:val="24"/>
          <w:szCs w:val="24"/>
          <w:b w:val="1"/>
          <w:bCs w:val="1"/>
          <w:color w:val="auto"/>
        </w:rPr>
        <w:t>Acquisition-related costs other than acquisition amortization -</w:t>
      </w:r>
      <w:r>
        <w:rPr>
          <w:rFonts w:ascii="Arial" w:cs="Arial" w:eastAsia="Arial" w:hAnsi="Arial"/>
          <w:sz w:val="24"/>
          <w:szCs w:val="24"/>
          <w:color w:val="auto"/>
        </w:rPr>
        <w:t xml:space="preserve"> During the second quarter of 2023 and 2022, we recorded $26.9 million ($21.2 million, net of tax) and $12.0 million ($9.1 million, net of tax), respectively, for acquisition costs other than acquisition-related amortization. These costs primarily related to integration costs resulting from recent acquisitions and were recorded in operating income. Management believes excluding this charge from certain financial results provides meaningful supplemental information regarding our financial results, since a charge of such an amount is not comparable among the periods. This is consistent with how our management reviews and assesses Equifax's historical performance and is useful when planning, forecasting, and analyzing future periods.</w:t>
      </w:r>
    </w:p>
    <w:p>
      <w:pPr>
        <w:spacing w:after="0" w:line="192" w:lineRule="exact"/>
        <w:rPr>
          <w:sz w:val="20"/>
          <w:szCs w:val="20"/>
          <w:color w:val="auto"/>
        </w:rPr>
      </w:pPr>
    </w:p>
    <w:p>
      <w:pPr>
        <w:ind w:right="20"/>
        <w:spacing w:after="0" w:line="251" w:lineRule="auto"/>
        <w:rPr>
          <w:sz w:val="20"/>
          <w:szCs w:val="20"/>
          <w:color w:val="auto"/>
        </w:rPr>
      </w:pPr>
      <w:r>
        <w:rPr>
          <w:rFonts w:ascii="Arial" w:cs="Arial" w:eastAsia="Arial" w:hAnsi="Arial"/>
          <w:sz w:val="24"/>
          <w:szCs w:val="24"/>
          <w:b w:val="1"/>
          <w:bCs w:val="1"/>
          <w:color w:val="auto"/>
        </w:rPr>
        <w:t>Income tax effects of stock awards that are recognized upon vesting or settlement</w:t>
      </w:r>
      <w:r>
        <w:rPr>
          <w:rFonts w:ascii="Arial" w:cs="Arial" w:eastAsia="Arial" w:hAnsi="Arial"/>
          <w:sz w:val="24"/>
          <w:szCs w:val="24"/>
          <w:color w:val="auto"/>
        </w:rPr>
        <w:t>-During the second quarter of 2023, we recorded a tax benefit of $0.8 million related to the tax effects of deductions for stock compensation in excess of amounts recorded for compensation costs. During the second quarter of 2022, we recorded a tax benefit of $2.0 million related to the tax effects of deductions for stock compensation in excess of amounts recorded for compensation costs. Management believes excluding this tax effect from financial results provides meaningful supplemental information regarding our financial results for the three months ended June 30, 2023 and 2022 because these amounts are non-operating and relate to income tax benefits or deficiencies for stock awards recognized when tax amounts differ from recognized stock compensation cost. This is consistent with how management reviews and assesses Equifax's historical performance and is useful when planning, forecasting and analyzing future periods.</w:t>
      </w:r>
    </w:p>
    <w:p>
      <w:pPr>
        <w:spacing w:after="0" w:line="196" w:lineRule="exact"/>
        <w:rPr>
          <w:sz w:val="20"/>
          <w:szCs w:val="20"/>
          <w:color w:val="auto"/>
        </w:rPr>
      </w:pPr>
    </w:p>
    <w:p>
      <w:pPr>
        <w:spacing w:after="0" w:line="252" w:lineRule="auto"/>
        <w:rPr>
          <w:sz w:val="20"/>
          <w:szCs w:val="20"/>
          <w:color w:val="auto"/>
        </w:rPr>
      </w:pPr>
      <w:r>
        <w:rPr>
          <w:rFonts w:ascii="Arial" w:cs="Arial" w:eastAsia="Arial" w:hAnsi="Arial"/>
          <w:sz w:val="24"/>
          <w:szCs w:val="24"/>
          <w:b w:val="1"/>
          <w:bCs w:val="1"/>
          <w:color w:val="auto"/>
        </w:rPr>
        <w:t>Argentina highly inflationary foreign currency adjustment</w:t>
      </w:r>
      <w:r>
        <w:rPr>
          <w:rFonts w:ascii="Arial" w:cs="Arial" w:eastAsia="Arial" w:hAnsi="Arial"/>
          <w:sz w:val="24"/>
          <w:szCs w:val="24"/>
          <w:color w:val="auto"/>
        </w:rPr>
        <w:t xml:space="preserve"> - Argentina experienced multiple periods of increasing inflation rates, devaluation of the peso, and increasing borrowing rates. As such, Argentina was deemed a highly inflationary economy by accounting policymakers. We recorded a foreign currency loss of $0.1 million and a foreign currency gain of $0.1 million during the second quarter of 2023 and 2022, respectively, as a result of remeasuring the peso denominated monetary assets and liabilities due to Argentina being highly inflationary. Management believes excluding this charge is useful as it allows investors to evaluate our performance for different periods on a more comparable basis. This is consistent with how management reviews and assesses Equifax's historical performance and is useful when planning, forecasting and analyzing future periods.</w:t>
      </w:r>
    </w:p>
    <w:p>
      <w:pPr>
        <w:spacing w:after="0" w:line="192" w:lineRule="exact"/>
        <w:rPr>
          <w:sz w:val="20"/>
          <w:szCs w:val="20"/>
          <w:color w:val="auto"/>
        </w:rPr>
      </w:pPr>
    </w:p>
    <w:p>
      <w:pPr>
        <w:ind w:right="160"/>
        <w:spacing w:after="0" w:line="270" w:lineRule="auto"/>
        <w:rPr>
          <w:sz w:val="20"/>
          <w:szCs w:val="20"/>
          <w:color w:val="auto"/>
        </w:rPr>
      </w:pPr>
      <w:r>
        <w:rPr>
          <w:rFonts w:ascii="Arial" w:cs="Arial" w:eastAsia="Arial" w:hAnsi="Arial"/>
          <w:sz w:val="23"/>
          <w:szCs w:val="23"/>
          <w:b w:val="1"/>
          <w:bCs w:val="1"/>
          <w:color w:val="auto"/>
        </w:rPr>
        <w:t>Charge related to the realignment of internal resources and other costs</w:t>
      </w:r>
      <w:r>
        <w:rPr>
          <w:rFonts w:ascii="Arial" w:cs="Arial" w:eastAsia="Arial" w:hAnsi="Arial"/>
          <w:sz w:val="23"/>
          <w:szCs w:val="23"/>
          <w:color w:val="auto"/>
        </w:rPr>
        <w:t>- During the second quarter of 2023, we recorded $17.5 million ($12.4 million, net of tax) of restructuring charges for the realignment of internal resources and other costs, which predominantly relates to the reduction of headcount and the realignment of our internal resources to support the Company's strategic objectives. Management believes excluding this charge from certain financial results provides meaningful supplemental information regarding our</w:t>
      </w:r>
    </w:p>
    <w:p>
      <w:pPr>
        <w:sectPr>
          <w:pgSz w:w="12240" w:h="15840" w:orient="portrait"/>
          <w:cols w:equalWidth="0" w:num="1">
            <w:col w:w="9840"/>
          </w:cols>
          <w:pgMar w:left="1200" w:top="1053" w:right="1200" w:bottom="361" w:gutter="0" w:footer="0" w:header="0"/>
        </w:sectPr>
      </w:pPr>
    </w:p>
    <w:bookmarkStart w:id="15" w:name="page16"/>
    <w:bookmarkEnd w:id="15"/>
    <w:p>
      <w:pPr>
        <w:ind w:right="100"/>
        <w:spacing w:after="0" w:line="261" w:lineRule="auto"/>
        <w:rPr>
          <w:sz w:val="20"/>
          <w:szCs w:val="20"/>
          <w:color w:val="auto"/>
        </w:rPr>
      </w:pPr>
      <w:r>
        <w:rPr>
          <w:rFonts w:ascii="Arial" w:cs="Arial" w:eastAsia="Arial" w:hAnsi="Arial"/>
          <w:sz w:val="24"/>
          <w:szCs w:val="24"/>
          <w:color w:val="auto"/>
        </w:rPr>
        <w:t>financial results for the three months ended June 30, 2023, since the charges are not comparable among the periods. This is consistent with how our management reviews and assesses Equifax's historical performance and is useful when planning, forecasting and analyzing future periods.</w:t>
      </w:r>
    </w:p>
    <w:p>
      <w:pPr>
        <w:spacing w:after="0" w:line="176" w:lineRule="exact"/>
        <w:rPr>
          <w:sz w:val="20"/>
          <w:szCs w:val="20"/>
          <w:color w:val="auto"/>
        </w:rPr>
      </w:pPr>
    </w:p>
    <w:p>
      <w:pPr>
        <w:ind w:right="280"/>
        <w:spacing w:after="0" w:line="272" w:lineRule="auto"/>
        <w:rPr>
          <w:sz w:val="20"/>
          <w:szCs w:val="20"/>
          <w:color w:val="auto"/>
        </w:rPr>
      </w:pPr>
      <w:r>
        <w:rPr>
          <w:rFonts w:ascii="Arial" w:cs="Arial" w:eastAsia="Arial" w:hAnsi="Arial"/>
          <w:sz w:val="23"/>
          <w:szCs w:val="23"/>
          <w:b w:val="1"/>
          <w:bCs w:val="1"/>
          <w:color w:val="auto"/>
        </w:rPr>
        <w:t>Adjusted EBITDA and EBITDA margin</w:t>
      </w:r>
      <w:r>
        <w:rPr>
          <w:rFonts w:ascii="Arial" w:cs="Arial" w:eastAsia="Arial" w:hAnsi="Arial"/>
          <w:sz w:val="23"/>
          <w:szCs w:val="23"/>
          <w:color w:val="auto"/>
        </w:rPr>
        <w:t xml:space="preserve"> - Management defines adjusted EBITDA as consolidated net income attributable to Equifax plus net interest expense, income taxes, depreciation and amortization and also excludes certain one-time items. Management believes the use of adjusted EBITDA and adjusted EBITDA margin allows investors to evaluate our performance for different periods on a more comparable basis.</w:t>
      </w: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right="780"/>
        <w:spacing w:after="0" w:line="268" w:lineRule="auto"/>
        <w:rPr>
          <w:rFonts w:ascii="Arial" w:cs="Arial" w:eastAsia="Arial" w:hAnsi="Arial"/>
          <w:sz w:val="24"/>
          <w:szCs w:val="24"/>
          <w:u w:val="single" w:color="auto"/>
          <w:color w:val="0000EE"/>
        </w:rPr>
      </w:pPr>
      <w:r>
        <w:rPr>
          <w:sz w:val="1"/>
          <w:szCs w:val="1"/>
          <w:color w:val="auto"/>
        </w:rPr>
        <w:drawing>
          <wp:inline distT="0" distB="0" distL="0" distR="0">
            <wp:extent cx="114300" cy="114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4">
                      <a:extLst>
                        <a:ext uri="{28A0092B-C50C-407E-A947-70E740481C1C}"/>
                      </a:extLst>
                    </a:blip>
                    <a:srcRect/>
                    <a:stretch>
                      <a:fillRect/>
                    </a:stretch>
                  </pic:blipFill>
                  <pic:spPr bwMode="auto">
                    <a:xfrm>
                      <a:off x="0" y="0"/>
                      <a:ext cx="114300" cy="114300"/>
                    </a:xfrm>
                    <a:prstGeom prst="rect">
                      <a:avLst/>
                    </a:prstGeom>
                    <a:noFill/>
                    <a:ln>
                      <a:noFill/>
                    </a:ln>
                  </pic:spPr>
                </pic:pic>
              </a:graphicData>
            </a:graphic>
          </wp:inline>
        </w:drawing>
      </w:r>
      <w:hyperlink r:id="rId45">
        <w:r>
          <w:rPr>
            <w:rFonts w:ascii="Arial" w:cs="Arial" w:eastAsia="Arial" w:hAnsi="Arial"/>
            <w:sz w:val="24"/>
            <w:szCs w:val="24"/>
            <w:color w:val="auto"/>
          </w:rPr>
          <w:t xml:space="preserve"> View original content to download multimedia:</w:t>
        </w:r>
        <w:r>
          <w:rPr>
            <w:rFonts w:ascii="Arial" w:cs="Arial" w:eastAsia="Arial" w:hAnsi="Arial"/>
            <w:sz w:val="24"/>
            <w:szCs w:val="24"/>
            <w:u w:val="single" w:color="auto"/>
            <w:color w:val="0000EE"/>
          </w:rPr>
          <w:t>https://www.prnewswire.com/news-</w:t>
        </w:r>
      </w:hyperlink>
      <w:hyperlink r:id="rId45">
        <w:r>
          <w:rPr>
            <w:rFonts w:ascii="Arial" w:cs="Arial" w:eastAsia="Arial" w:hAnsi="Arial"/>
            <w:sz w:val="24"/>
            <w:szCs w:val="24"/>
            <w:u w:val="single" w:color="auto"/>
            <w:color w:val="0000EE"/>
          </w:rPr>
          <w:t>releases/equifax-delivers-solid-second-quarter-in-challenging-mortgage-market-</w:t>
        </w:r>
      </w:hyperlink>
      <w:hyperlink r:id="rId45">
        <w:r>
          <w:rPr>
            <w:rFonts w:ascii="Arial" w:cs="Arial" w:eastAsia="Arial" w:hAnsi="Arial"/>
            <w:sz w:val="24"/>
            <w:szCs w:val="24"/>
            <w:u w:val="single" w:color="auto"/>
            <w:color w:val="0000EE"/>
          </w:rPr>
          <w:t>301881423.html</w:t>
        </w:r>
      </w:hyperlink>
    </w:p>
    <w:p>
      <w:pPr>
        <w:spacing w:after="0" w:line="170" w:lineRule="exact"/>
        <w:rPr>
          <w:rFonts w:ascii="Arial" w:cs="Arial" w:eastAsia="Arial" w:hAnsi="Arial"/>
          <w:sz w:val="24"/>
          <w:szCs w:val="24"/>
          <w:color w:val="auto"/>
        </w:rPr>
      </w:pPr>
    </w:p>
    <w:p>
      <w:pPr>
        <w:spacing w:after="0"/>
        <w:rPr>
          <w:sz w:val="20"/>
          <w:szCs w:val="20"/>
          <w:color w:val="auto"/>
        </w:rPr>
      </w:pPr>
      <w:r>
        <w:rPr>
          <w:rFonts w:ascii="Arial" w:cs="Arial" w:eastAsia="Arial" w:hAnsi="Arial"/>
          <w:sz w:val="24"/>
          <w:szCs w:val="24"/>
          <w:color w:val="auto"/>
        </w:rPr>
        <w:t>SOURCE Equifax Inc.</w:t>
      </w:r>
    </w:p>
    <w:sectPr>
      <w:pgSz w:w="12240" w:h="15840" w:orient="portrait"/>
      <w:cols w:equalWidth="0" w:num="1">
        <w:col w:w="9600"/>
      </w:cols>
      <w:pgMar w:left="1200" w:top="1057"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6E87CCD"/>
    <w:multiLevelType w:val="hybridMultilevel"/>
    <w:lvl w:ilvl="0">
      <w:lvlJc w:val="left"/>
      <w:lvlText w:val="(%1)"/>
      <w:numFmt w:val="decimal"/>
      <w:start w:val="1"/>
    </w:lvl>
  </w:abstractNum>
  <w:abstractNum w:abstractNumId="1">
    <w:nsid w:val="3D1B58BA"/>
    <w:multiLevelType w:val="hybridMultilevel"/>
    <w:lvl w:ilvl="0">
      <w:lvlJc w:val="left"/>
      <w:lvlText w:val="%1"/>
      <w:numFmt w:val="decimal"/>
      <w:start w:val="1"/>
    </w:lvl>
    <w:lvl w:ilvl="1">
      <w:lvlJc w:val="left"/>
      <w:lvlText w:val="(%2)"/>
      <w:numFmt w:val="decimal"/>
      <w:start w:val="1"/>
    </w:lvl>
  </w:abstractNum>
  <w:abstractNum w:abstractNumId="2">
    <w:nsid w:val="507ED7AB"/>
    <w:multiLevelType w:val="hybridMultilevel"/>
    <w:lvl w:ilvl="0">
      <w:lvlJc w:val="left"/>
      <w:lvlText w:val="%1."/>
      <w:numFmt w:val="decimal"/>
      <w:start w:val="2"/>
    </w:lvl>
    <w:lvl w:ilvl="1">
      <w:lvlJc w:val="left"/>
      <w:lvlText w:val="%2"/>
      <w:numFmt w:val="decimal"/>
      <w:start w:val="1"/>
    </w:lvl>
  </w:abstractNum>
  <w:abstractNum w:abstractNumId="3">
    <w:nsid w:val="2EB141F2"/>
    <w:multiLevelType w:val="hybridMultilevel"/>
    <w:lvl w:ilvl="0">
      <w:lvlJc w:val="left"/>
      <w:lvlText w:val="%1."/>
      <w:numFmt w:val="upperLetter"/>
      <w:start w:val="1"/>
    </w:lvl>
  </w:abstractNum>
  <w:abstractNum w:abstractNumId="4">
    <w:nsid w:val="41B71EFB"/>
    <w:multiLevelType w:val="hybridMultilevel"/>
    <w:lvl w:ilvl="0">
      <w:lvlJc w:val="left"/>
      <w:lvlText w:val="%1"/>
      <w:numFmt w:val="upperLetter"/>
      <w:start w:val="1"/>
    </w:lvl>
    <w:lvl w:ilvl="1">
      <w:lvlJc w:val="left"/>
      <w:lvlText w:val="(%2)"/>
      <w:numFmt w:val="decimal"/>
      <w:start w:val="1"/>
    </w:lvl>
  </w:abstractNum>
  <w:abstractNum w:abstractNumId="5">
    <w:nsid w:val="79E2A9E3"/>
    <w:multiLevelType w:val="hybridMultilevel"/>
    <w:lvl w:ilvl="0">
      <w:lvlJc w:val="left"/>
      <w:lvlText w:val="%1."/>
      <w:numFmt w:val="upperLetter"/>
      <w:start w:val="2"/>
    </w:lvl>
    <w:lvl w:ilvl="1">
      <w:lvlJc w:val="left"/>
      <w:lvlText w:val="%2"/>
      <w:numFmt w:val="decimal"/>
      <w:start w:val="1"/>
    </w:lvl>
  </w:abstractNum>
  <w:abstractNum w:abstractNumId="6">
    <w:nsid w:val="7545E146"/>
    <w:multiLevelType w:val="hybridMultilevel"/>
    <w:lvl w:ilvl="0">
      <w:lvlJc w:val="left"/>
      <w:lvlText w:val="(%1)"/>
      <w:numFmt w:val="decimal"/>
      <w:start w:val="1"/>
    </w:lvl>
  </w:abstractNum>
  <w:abstractNum w:abstractNumId="7">
    <w:nsid w:val="515F007C"/>
    <w:multiLevelType w:val="hybridMultilevel"/>
    <w:lvl w:ilvl="0">
      <w:lvlJc w:val="left"/>
      <w:lvlText w:val="%1."/>
      <w:numFmt w:val="upperLetter"/>
      <w:start w:val="3"/>
    </w:lvl>
  </w:abstractNum>
  <w:abstractNum w:abstractNumId="8">
    <w:nsid w:val="5BD062C2"/>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jpeg"/><Relationship Id="rId13" Type="http://schemas.openxmlformats.org/officeDocument/2006/relationships/hyperlink" Target="https://www.equifax.com/about-equifax/who-we-are/" TargetMode="External"/><Relationship Id="rId38" Type="http://schemas.openxmlformats.org/officeDocument/2006/relationships/hyperlink" Target="http://www.equifax.com" TargetMode="External"/><Relationship Id="rId39" Type="http://schemas.openxmlformats.org/officeDocument/2006/relationships/hyperlink" Target="http://www.equifax.com/" TargetMode="External"/><Relationship Id="rId45" Type="http://schemas.openxmlformats.org/officeDocument/2006/relationships/hyperlink" Target="https://www.prnewswire.com/news-releases/equifax-delivers-solid-second-quarter-in-challenging-mortgage-market-301881423.html"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2023-10-25T23:20:18Z</dcterms:created>
  <dcterms:modified xsi:type="dcterms:W3CDTF">2023-10-25T23:20:18Z</dcterms:modified>
</cp:coreProperties>
</file>