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4"/>
          <w:szCs w:val="24"/>
          <w:color w:val="auto"/>
        </w:rPr>
        <w:t>October 18,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4343400</wp:posOffset>
            </wp:positionH>
            <wp:positionV relativeFrom="paragraph">
              <wp:posOffset>-160655</wp:posOffset>
            </wp:positionV>
            <wp:extent cx="1905000" cy="342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905000" cy="342900"/>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Equifax Third Quarter Results Show</w:t>
      </w:r>
    </w:p>
    <w:p>
      <w:pPr>
        <w:spacing w:after="0" w:line="71"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Strong Execution Towards Strategic</w:t>
      </w:r>
    </w:p>
    <w:p>
      <w:pPr>
        <w:spacing w:after="0" w:line="3"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Priorities In Challenging Mortgage Market</w:t>
      </w:r>
    </w:p>
    <w:p>
      <w:pPr>
        <w:spacing w:after="0" w:line="297" w:lineRule="exact"/>
        <w:rPr>
          <w:sz w:val="24"/>
          <w:szCs w:val="24"/>
          <w:color w:val="auto"/>
        </w:rPr>
      </w:pPr>
    </w:p>
    <w:p>
      <w:pPr>
        <w:ind w:right="80"/>
        <w:spacing w:after="0" w:line="215" w:lineRule="auto"/>
        <w:rPr>
          <w:rFonts w:ascii="Arial" w:cs="Arial" w:eastAsia="Arial" w:hAnsi="Arial"/>
          <w:sz w:val="24"/>
          <w:szCs w:val="24"/>
          <w:color w:val="auto"/>
        </w:rPr>
      </w:pPr>
      <w:r>
        <w:rPr>
          <w:rFonts w:ascii="Arial" w:cs="Arial" w:eastAsia="Arial" w:hAnsi="Arial"/>
          <w:sz w:val="24"/>
          <w:szCs w:val="24"/>
          <w:color w:val="auto"/>
        </w:rPr>
        <w:t>ATLANTA, Oct. 18, 2023 /PRNewswire/ --</w:t>
      </w:r>
      <w:r>
        <w:rPr>
          <w:rFonts w:ascii="Arial" w:cs="Arial" w:eastAsia="Arial" w:hAnsi="Arial"/>
          <w:sz w:val="24"/>
          <w:szCs w:val="24"/>
          <w:color w:val="0000EE"/>
        </w:rPr>
        <w:t xml:space="preserve"> </w:t>
      </w:r>
      <w:hyperlink r:id="rId13">
        <w:r>
          <w:rPr>
            <w:rFonts w:ascii="Arial" w:cs="Arial" w:eastAsia="Arial" w:hAnsi="Arial"/>
            <w:sz w:val="24"/>
            <w:szCs w:val="24"/>
            <w:u w:val="single" w:color="auto"/>
            <w:color w:val="0000EE"/>
          </w:rPr>
          <w:t>Equifax</w:t>
        </w:r>
      </w:hyperlink>
      <w:r>
        <w:rPr>
          <w:rFonts w:ascii="Arial" w:cs="Arial" w:eastAsia="Arial" w:hAnsi="Arial"/>
          <w:sz w:val="39"/>
          <w:szCs w:val="39"/>
          <w:color w:val="auto"/>
          <w:vertAlign w:val="superscript"/>
        </w:rPr>
        <w:t>®</w:t>
      </w:r>
      <w:r>
        <w:rPr>
          <w:rFonts w:ascii="Arial" w:cs="Arial" w:eastAsia="Arial" w:hAnsi="Arial"/>
          <w:sz w:val="24"/>
          <w:szCs w:val="24"/>
          <w:color w:val="auto"/>
        </w:rPr>
        <w:t xml:space="preserve"> (NYSE: EFX) today announced financial results for the quarter ended September 30,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144145</wp:posOffset>
            </wp:positionV>
            <wp:extent cx="3810000" cy="7143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3810000" cy="7143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ind w:left="600"/>
        <w:spacing w:after="0" w:line="252" w:lineRule="auto"/>
        <w:rPr>
          <w:sz w:val="20"/>
          <w:szCs w:val="20"/>
          <w:color w:val="auto"/>
        </w:rPr>
      </w:pPr>
      <w:r>
        <w:rPr>
          <w:rFonts w:ascii="Arial" w:cs="Arial" w:eastAsia="Arial" w:hAnsi="Arial"/>
          <w:sz w:val="24"/>
          <w:szCs w:val="24"/>
          <w:color w:val="auto"/>
        </w:rPr>
        <w:t>Third quarter 2023 revenue of $1.319 billion up 6% and up 6.5% in local currency against a weaker than expected mortgage market estimated to be down 29% based on Equifax mortgage credit inquiries and the strengthening U.S. dollar, which negatively impacted revenue. Excluding Brazil revenue of $ 23 million that was not included in July guidance, third quarter revenue of $1.296 billion was up 4% and up 5% in local currency.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-1031875</wp:posOffset>
            </wp:positionV>
            <wp:extent cx="66675" cy="666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540"/>
        <w:spacing w:after="0" w:line="247" w:lineRule="auto"/>
        <w:rPr>
          <w:sz w:val="20"/>
          <w:szCs w:val="20"/>
          <w:color w:val="auto"/>
        </w:rPr>
      </w:pPr>
      <w:r>
        <w:rPr>
          <w:rFonts w:ascii="Arial" w:cs="Arial" w:eastAsia="Arial" w:hAnsi="Arial"/>
          <w:sz w:val="24"/>
          <w:szCs w:val="24"/>
          <w:color w:val="auto"/>
        </w:rPr>
        <w:t>Strong execution of the 2023 Cloud spending reduction plan, delivering savings of $210 million and 2024 run rate savings of $275 million.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40"/>
        <w:spacing w:after="0" w:line="247" w:lineRule="auto"/>
        <w:rPr>
          <w:sz w:val="20"/>
          <w:szCs w:val="20"/>
          <w:color w:val="auto"/>
        </w:rPr>
      </w:pPr>
      <w:r>
        <w:rPr>
          <w:rFonts w:ascii="Arial" w:cs="Arial" w:eastAsia="Arial" w:hAnsi="Arial"/>
          <w:sz w:val="24"/>
          <w:szCs w:val="24"/>
          <w:color w:val="auto"/>
        </w:rPr>
        <w:t>Organic local currency non-mortgage revenue growth of 7% with strong new product innovation leveraging the Equifax Cloud and record New Product Vitality Index of 15%. Workforce Solutions non-mortgage revenue up a strong 11% from very strong Government growth. Total revenue up 3% due to challenging mortgage market.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-668655</wp:posOffset>
            </wp:positionV>
            <wp:extent cx="66675" cy="66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6675" cy="66675"/>
                    </a:xfrm>
                    <a:prstGeom prst="rect">
                      <a:avLst/>
                    </a:prstGeom>
                    <a:noFill/>
                  </pic:spPr>
                </pic:pic>
              </a:graphicData>
            </a:graphic>
          </wp:anchor>
        </w:drawing>
        <w:drawing>
          <wp:anchor simplePos="0" relativeHeight="251657728" behindDoc="1" locked="0" layoutInCell="0" allowOverlap="1">
            <wp:simplePos x="0" y="0"/>
            <wp:positionH relativeFrom="column">
              <wp:posOffset>209550</wp:posOffset>
            </wp:positionH>
            <wp:positionV relativeFrom="paragraph">
              <wp:posOffset>-306705</wp:posOffset>
            </wp:positionV>
            <wp:extent cx="66675" cy="666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200"/>
        <w:spacing w:after="0" w:line="247" w:lineRule="auto"/>
        <w:rPr>
          <w:sz w:val="20"/>
          <w:szCs w:val="20"/>
          <w:color w:val="auto"/>
        </w:rPr>
      </w:pPr>
      <w:r>
        <w:rPr>
          <w:rFonts w:ascii="Arial" w:cs="Arial" w:eastAsia="Arial" w:hAnsi="Arial"/>
          <w:sz w:val="24"/>
          <w:szCs w:val="24"/>
          <w:color w:val="auto"/>
        </w:rPr>
        <w:t>USIS revenue up 7%, with B2B non-mortgage revenue growth of 8% and strong 10% B2B Online non-mortgage revenue growth.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620"/>
        <w:spacing w:after="0" w:line="247" w:lineRule="auto"/>
        <w:rPr>
          <w:sz w:val="20"/>
          <w:szCs w:val="20"/>
          <w:color w:val="auto"/>
        </w:rPr>
      </w:pPr>
      <w:r>
        <w:rPr>
          <w:rFonts w:ascii="Arial" w:cs="Arial" w:eastAsia="Arial" w:hAnsi="Arial"/>
          <w:sz w:val="24"/>
          <w:szCs w:val="24"/>
          <w:color w:val="auto"/>
        </w:rPr>
        <w:t>International revenue grew 10% on a reported basis and 12% on a local currency basis, with organic local currency revenue growth of 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420"/>
        <w:spacing w:after="0" w:line="247" w:lineRule="auto"/>
        <w:rPr>
          <w:sz w:val="20"/>
          <w:szCs w:val="20"/>
          <w:color w:val="auto"/>
        </w:rPr>
      </w:pPr>
      <w:r>
        <w:rPr>
          <w:rFonts w:ascii="Arial" w:cs="Arial" w:eastAsia="Arial" w:hAnsi="Arial"/>
          <w:sz w:val="24"/>
          <w:szCs w:val="24"/>
          <w:color w:val="auto"/>
        </w:rPr>
        <w:t>Closed the acquisition of Boa Vista Serviços, the second largest credit bureau in Brazil, which will expand Equifax capabilities in the large and fast-growing Brazilian market.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-488315</wp:posOffset>
            </wp:positionV>
            <wp:extent cx="66675" cy="666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80"/>
        <w:spacing w:after="0" w:line="252" w:lineRule="auto"/>
        <w:rPr>
          <w:sz w:val="20"/>
          <w:szCs w:val="20"/>
          <w:color w:val="auto"/>
        </w:rPr>
      </w:pPr>
      <w:r>
        <w:rPr>
          <w:rFonts w:ascii="Arial" w:cs="Arial" w:eastAsia="Arial" w:hAnsi="Arial"/>
          <w:sz w:val="24"/>
          <w:szCs w:val="24"/>
          <w:color w:val="auto"/>
        </w:rPr>
        <w:t>Revising guidance down to reflect the impact of weaker than expected U.S. mortgage market and foreign exchange, partially offset by acquisition of Boa Vista Serviços. Reducing full year 2023 guidance at the midpoint to revenue of $5.256 billion and Adjusted EPS of $6.67 per share.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209550</wp:posOffset>
            </wp:positionH>
            <wp:positionV relativeFrom="paragraph">
              <wp:posOffset>-683260</wp:posOffset>
            </wp:positionV>
            <wp:extent cx="66675" cy="66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71" w:lineRule="exact"/>
        <w:rPr>
          <w:sz w:val="24"/>
          <w:szCs w:val="24"/>
          <w:color w:val="auto"/>
        </w:rPr>
      </w:pPr>
    </w:p>
    <w:p>
      <w:pPr>
        <w:ind w:right="280"/>
        <w:spacing w:after="0" w:line="267" w:lineRule="auto"/>
        <w:rPr>
          <w:sz w:val="20"/>
          <w:szCs w:val="20"/>
          <w:color w:val="auto"/>
        </w:rPr>
      </w:pPr>
      <w:r>
        <w:rPr>
          <w:rFonts w:ascii="Arial" w:cs="Arial" w:eastAsia="Arial" w:hAnsi="Arial"/>
          <w:sz w:val="23"/>
          <w:szCs w:val="23"/>
          <w:color w:val="auto"/>
        </w:rPr>
        <w:t>"Equifax executed well against our strategic priorities, our $210 million spending reduction plan, and earnings framework in the third quarter, despite lower than expected revenue principally due to a challenging mortgage market as well as foreign exchange. Revenue of $1.319 billion, including $23 million of revenue from the Boa Vista acquisition, was up 6% with Adjusted EPS of $1.76 per share up 2% versus last year. Equifax had strong organic local currency non-mortgage revenue growth of 7% from continued strong new product performance with a record New Product Vitality Index of 15%. However, throughout the</w:t>
      </w:r>
    </w:p>
    <w:p>
      <w:pPr>
        <w:sectPr>
          <w:pgSz w:w="12240" w:h="15840" w:orient="portrait"/>
          <w:cols w:equalWidth="0" w:num="1">
            <w:col w:w="9820"/>
          </w:cols>
          <w:pgMar w:left="1200" w:top="1057" w:right="1220" w:bottom="248" w:gutter="0" w:footer="0" w:header="0"/>
        </w:sectPr>
      </w:pPr>
    </w:p>
    <w:bookmarkStart w:id="1" w:name="page2"/>
    <w:bookmarkEnd w:id="1"/>
    <w:p>
      <w:pPr>
        <w:ind w:right="180"/>
        <w:spacing w:after="0" w:line="256" w:lineRule="auto"/>
        <w:rPr>
          <w:sz w:val="20"/>
          <w:szCs w:val="20"/>
          <w:color w:val="auto"/>
        </w:rPr>
      </w:pPr>
      <w:r>
        <w:rPr>
          <w:rFonts w:ascii="Arial" w:cs="Arial" w:eastAsia="Arial" w:hAnsi="Arial"/>
          <w:sz w:val="24"/>
          <w:szCs w:val="24"/>
          <w:color w:val="auto"/>
        </w:rPr>
        <w:t>quarter, we saw U.S. mortgage activity decline to levels below our expectations as interest rates increased, which impacted mortgage revenue in Workforce Solutions and USIS. Workforce Solutions delivered strong 11% non-mortgage revenue growth from very strong revenue growth in Government. USIS delivered a strong quarter, with strong B2B Online non-mortgage revenue growth of 10%, and International delivered total local currency revenue growth of 12% and organic local currency revenue growth of 3%.</w:t>
      </w:r>
    </w:p>
    <w:p>
      <w:pPr>
        <w:spacing w:after="0" w:line="184" w:lineRule="exact"/>
        <w:rPr>
          <w:sz w:val="20"/>
          <w:szCs w:val="20"/>
          <w:color w:val="auto"/>
        </w:rPr>
      </w:pPr>
    </w:p>
    <w:p>
      <w:pPr>
        <w:ind w:right="20"/>
        <w:spacing w:after="0" w:line="254" w:lineRule="auto"/>
        <w:rPr>
          <w:sz w:val="20"/>
          <w:szCs w:val="20"/>
          <w:color w:val="auto"/>
        </w:rPr>
      </w:pPr>
      <w:r>
        <w:rPr>
          <w:rFonts w:ascii="Arial" w:cs="Arial" w:eastAsia="Arial" w:hAnsi="Arial"/>
          <w:sz w:val="24"/>
          <w:szCs w:val="24"/>
          <w:color w:val="auto"/>
        </w:rPr>
        <w:t>In August, we closed the acquisition of Boa Vista Serviços, the second largest credit bureau in Brazil. This acquisition will expand Equifax capabilities in the large and fast-growing Brazilian market and add to our diverse International portfolio while giving Boa Vista Serviços access to our expansive global capabilities and cloud-native data, products, decisioning and analytical technology for the rapid development of new products and services, and expansion into new industries." said Mark W. Begor, Equifax Chief Executive Officer.</w:t>
      </w:r>
    </w:p>
    <w:p>
      <w:pPr>
        <w:spacing w:after="0" w:line="190" w:lineRule="exact"/>
        <w:rPr>
          <w:sz w:val="20"/>
          <w:szCs w:val="20"/>
          <w:color w:val="auto"/>
        </w:rPr>
      </w:pPr>
    </w:p>
    <w:p>
      <w:pPr>
        <w:ind w:right="120"/>
        <w:spacing w:after="0" w:line="253" w:lineRule="auto"/>
        <w:rPr>
          <w:sz w:val="20"/>
          <w:szCs w:val="20"/>
          <w:color w:val="auto"/>
        </w:rPr>
      </w:pPr>
      <w:r>
        <w:rPr>
          <w:rFonts w:ascii="Arial" w:cs="Arial" w:eastAsia="Arial" w:hAnsi="Arial"/>
          <w:sz w:val="24"/>
          <w:szCs w:val="24"/>
          <w:color w:val="auto"/>
        </w:rPr>
        <w:t>"We are reducing full year 2023 guidance at the midpoint to revenue of $5.256 billion and Adjusted EPS guidance of $6.67 per share, a reduction of $44 million and $0.31 per share, respectively. The reduction in both revenue and Adjusted EPS are principally due to the weaker U.S. mortgage market and the impact of foreign exchange partially offset by the benefit from our Boa Vista acquisition. We expect the weaker U.S. mortgage market at current high interest rates to continue in the fourth quarter, and we now expect full year Equifax mortgage credit inquiries to decline about 34%, which is down over 3 percentage points from our prior framework.</w:t>
      </w:r>
    </w:p>
    <w:p>
      <w:pPr>
        <w:spacing w:after="0" w:line="193" w:lineRule="exact"/>
        <w:rPr>
          <w:sz w:val="20"/>
          <w:szCs w:val="20"/>
          <w:color w:val="auto"/>
        </w:rPr>
      </w:pPr>
    </w:p>
    <w:p>
      <w:pPr>
        <w:spacing w:after="0" w:line="254" w:lineRule="auto"/>
        <w:rPr>
          <w:sz w:val="20"/>
          <w:szCs w:val="20"/>
          <w:color w:val="auto"/>
        </w:rPr>
      </w:pPr>
      <w:r>
        <w:rPr>
          <w:rFonts w:ascii="Arial" w:cs="Arial" w:eastAsia="Arial" w:hAnsi="Arial"/>
          <w:sz w:val="24"/>
          <w:szCs w:val="24"/>
          <w:color w:val="auto"/>
        </w:rPr>
        <w:t>While the second half of 2023 has been challenging with the accelerated decline in the U.S. mortgage market, we are energized by the expected strong 13% non-mortgage revenue growth in the fourth quarter, which represents over 85% of Equifax revenue. We are confident in the future of the New Equifax as we move toward completion of our EFX Cloud and Data transformation, leveraging our new Cloud capabilities to accelerate new product roll-outs that 'Only Equifax' can provide, which will drive growth in 2024 and beyond. We are energized about the New Equifax that will deliver higher margins and free cash flow."</w:t>
      </w:r>
    </w:p>
    <w:p>
      <w:pPr>
        <w:spacing w:after="0" w:line="186"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Financial Results Summary</w:t>
      </w:r>
    </w:p>
    <w:p>
      <w:pPr>
        <w:spacing w:after="0" w:line="253" w:lineRule="exact"/>
        <w:rPr>
          <w:sz w:val="20"/>
          <w:szCs w:val="20"/>
          <w:color w:val="auto"/>
        </w:rPr>
      </w:pPr>
    </w:p>
    <w:p>
      <w:pPr>
        <w:ind w:right="380"/>
        <w:spacing w:after="0" w:line="268" w:lineRule="auto"/>
        <w:rPr>
          <w:sz w:val="20"/>
          <w:szCs w:val="20"/>
          <w:color w:val="auto"/>
        </w:rPr>
      </w:pPr>
      <w:r>
        <w:rPr>
          <w:rFonts w:ascii="Arial" w:cs="Arial" w:eastAsia="Arial" w:hAnsi="Arial"/>
          <w:sz w:val="24"/>
          <w:szCs w:val="24"/>
          <w:color w:val="auto"/>
        </w:rPr>
        <w:t>The company reported revenue of $1,319.1 million in the third quarter of 2023, up 6% compared to the third quarter of 2022 on a reported basis and up 7% on a local currency basis.</w:t>
      </w:r>
    </w:p>
    <w:p>
      <w:pPr>
        <w:spacing w:after="0" w:line="170" w:lineRule="exact"/>
        <w:rPr>
          <w:sz w:val="20"/>
          <w:szCs w:val="20"/>
          <w:color w:val="auto"/>
        </w:rPr>
      </w:pPr>
    </w:p>
    <w:p>
      <w:pPr>
        <w:ind w:right="500"/>
        <w:spacing w:after="0" w:line="288" w:lineRule="auto"/>
        <w:rPr>
          <w:sz w:val="20"/>
          <w:szCs w:val="20"/>
          <w:color w:val="auto"/>
        </w:rPr>
      </w:pPr>
      <w:r>
        <w:rPr>
          <w:rFonts w:ascii="Arial" w:cs="Arial" w:eastAsia="Arial" w:hAnsi="Arial"/>
          <w:sz w:val="24"/>
          <w:szCs w:val="24"/>
          <w:color w:val="auto"/>
        </w:rPr>
        <w:t>Net income attributable to Equifax of $162.2 million was down 2% in the third quarter of 2023 compared to $165.7 million in the third quarter of 2022.</w:t>
      </w:r>
    </w:p>
    <w:p>
      <w:pPr>
        <w:spacing w:after="0" w:line="148" w:lineRule="exact"/>
        <w:rPr>
          <w:sz w:val="20"/>
          <w:szCs w:val="20"/>
          <w:color w:val="auto"/>
        </w:rPr>
      </w:pPr>
    </w:p>
    <w:p>
      <w:pPr>
        <w:ind w:right="820"/>
        <w:spacing w:after="0" w:line="288" w:lineRule="auto"/>
        <w:rPr>
          <w:sz w:val="20"/>
          <w:szCs w:val="20"/>
          <w:color w:val="auto"/>
        </w:rPr>
      </w:pPr>
      <w:r>
        <w:rPr>
          <w:rFonts w:ascii="Arial" w:cs="Arial" w:eastAsia="Arial" w:hAnsi="Arial"/>
          <w:sz w:val="24"/>
          <w:szCs w:val="24"/>
          <w:color w:val="auto"/>
        </w:rPr>
        <w:t>Diluted EPS attributable to Equifax was $1.31 for the third quarter of 2023, down 2% compared to $1.34 in the third quarter of 2022.</w:t>
      </w:r>
    </w:p>
    <w:p>
      <w:pPr>
        <w:spacing w:after="0" w:line="1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Workforce Solutions third quarter results</w:t>
      </w:r>
    </w:p>
    <w:p>
      <w:pPr>
        <w:spacing w:after="0" w:line="253" w:lineRule="exact"/>
        <w:rPr>
          <w:sz w:val="20"/>
          <w:szCs w:val="20"/>
          <w:color w:val="auto"/>
        </w:rPr>
      </w:pPr>
    </w:p>
    <w:p>
      <w:pPr>
        <w:ind w:left="600" w:right="20"/>
        <w:spacing w:after="0" w:line="276" w:lineRule="auto"/>
        <w:rPr>
          <w:sz w:val="20"/>
          <w:szCs w:val="20"/>
          <w:color w:val="auto"/>
        </w:rPr>
      </w:pPr>
      <w:r>
        <w:rPr>
          <w:rFonts w:ascii="Arial" w:cs="Arial" w:eastAsia="Arial" w:hAnsi="Arial"/>
          <w:sz w:val="23"/>
          <w:szCs w:val="23"/>
          <w:color w:val="auto"/>
        </w:rPr>
        <w:t>Total revenue was $577.2 million in the third quarter of 2023, up 3% compared to the third quarter of 2022. Operating margin for Workforce Solutions was 41.8% in the third quarter of 2023 compared to 41.3% in the third quarter of 2022. Adjusted EBITDA margin for Workforce Solutions was 50.9% in the third quarter of 2023 compared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-700405</wp:posOffset>
            </wp:positionV>
            <wp:extent cx="66675" cy="666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ectPr>
          <w:pgSz w:w="12240" w:h="15840" w:orient="portrait"/>
          <w:cols w:equalWidth="0" w:num="1">
            <w:col w:w="9740"/>
          </w:cols>
          <w:pgMar w:left="1200" w:top="1057" w:right="1300" w:bottom="296" w:gutter="0" w:footer="0" w:header="0"/>
        </w:sectPr>
      </w:pPr>
    </w:p>
    <w:bookmarkStart w:id="2" w:name="page3"/>
    <w:bookmarkEnd w:id="2"/>
    <w:p>
      <w:pPr>
        <w:ind w:left="600"/>
        <w:spacing w:after="0"/>
        <w:rPr>
          <w:sz w:val="20"/>
          <w:szCs w:val="20"/>
          <w:color w:val="auto"/>
        </w:rPr>
      </w:pPr>
      <w:r>
        <w:rPr>
          <w:rFonts w:ascii="Arial" w:cs="Arial" w:eastAsia="Arial" w:hAnsi="Arial"/>
          <w:sz w:val="24"/>
          <w:szCs w:val="24"/>
          <w:color w:val="auto"/>
        </w:rPr>
        <w:t>49.5% in the third quarter of 2022.</w:t>
      </w:r>
    </w:p>
    <w:p>
      <w:pPr>
        <w:spacing w:after="0" w:line="39" w:lineRule="exact"/>
        <w:rPr>
          <w:sz w:val="20"/>
          <w:szCs w:val="20"/>
          <w:color w:val="auto"/>
        </w:rPr>
      </w:pPr>
    </w:p>
    <w:p>
      <w:pPr>
        <w:ind w:left="600" w:right="80"/>
        <w:spacing w:after="0" w:line="247" w:lineRule="auto"/>
        <w:rPr>
          <w:sz w:val="20"/>
          <w:szCs w:val="20"/>
          <w:color w:val="auto"/>
        </w:rPr>
      </w:pPr>
      <w:r>
        <w:rPr>
          <w:rFonts w:ascii="Arial" w:cs="Arial" w:eastAsia="Arial" w:hAnsi="Arial"/>
          <w:sz w:val="24"/>
          <w:szCs w:val="24"/>
          <w:color w:val="auto"/>
        </w:rPr>
        <w:t>Verification Services revenue was $459.3 million, up 1% compared to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20"/>
        <w:spacing w:after="0" w:line="262" w:lineRule="auto"/>
        <w:rPr>
          <w:sz w:val="20"/>
          <w:szCs w:val="20"/>
          <w:color w:val="auto"/>
        </w:rPr>
      </w:pPr>
      <w:r>
        <w:rPr>
          <w:rFonts w:ascii="Arial" w:cs="Arial" w:eastAsia="Arial" w:hAnsi="Arial"/>
          <w:sz w:val="24"/>
          <w:szCs w:val="24"/>
          <w:color w:val="auto"/>
        </w:rPr>
        <w:t>Employer Services revenue was $117.9 million, up 13% compared to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USIS third quarter results</w:t>
      </w:r>
    </w:p>
    <w:p>
      <w:pPr>
        <w:spacing w:after="0" w:line="253" w:lineRule="exact"/>
        <w:rPr>
          <w:sz w:val="20"/>
          <w:szCs w:val="20"/>
          <w:color w:val="auto"/>
        </w:rPr>
      </w:pPr>
    </w:p>
    <w:p>
      <w:pPr>
        <w:ind w:left="600"/>
        <w:spacing w:after="0" w:line="253" w:lineRule="auto"/>
        <w:rPr>
          <w:sz w:val="20"/>
          <w:szCs w:val="20"/>
          <w:color w:val="auto"/>
        </w:rPr>
      </w:pPr>
      <w:r>
        <w:rPr>
          <w:rFonts w:ascii="Arial" w:cs="Arial" w:eastAsia="Arial" w:hAnsi="Arial"/>
          <w:sz w:val="24"/>
          <w:szCs w:val="24"/>
          <w:color w:val="auto"/>
        </w:rPr>
        <w:t>Total revenue was $ 426.0 million in the third quarter of 2023, up 7% compared to $397.4 million in the third quarter of 2022. Operating margin for USIS was 21.1% in the third quarter of 2023 compared to 20.6% in the third quarter of 2022. Adjusted EBITDA margin for USIS was 34.2% in the third quarter of 2023 compared to 34.1% in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-851535</wp:posOffset>
            </wp:positionV>
            <wp:extent cx="66675" cy="666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480"/>
        <w:spacing w:after="0" w:line="247" w:lineRule="auto"/>
        <w:rPr>
          <w:sz w:val="20"/>
          <w:szCs w:val="20"/>
          <w:color w:val="auto"/>
        </w:rPr>
      </w:pPr>
      <w:r>
        <w:rPr>
          <w:rFonts w:ascii="Arial" w:cs="Arial" w:eastAsia="Arial" w:hAnsi="Arial"/>
          <w:sz w:val="24"/>
          <w:szCs w:val="24"/>
          <w:color w:val="auto"/>
        </w:rPr>
        <w:t>Online Information Solutions revenue was $348.2 million, up 11% compared to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720"/>
        <w:spacing w:after="0" w:line="247" w:lineRule="auto"/>
        <w:rPr>
          <w:sz w:val="20"/>
          <w:szCs w:val="20"/>
          <w:color w:val="auto"/>
        </w:rPr>
      </w:pPr>
      <w:r>
        <w:rPr>
          <w:rFonts w:ascii="Arial" w:cs="Arial" w:eastAsia="Arial" w:hAnsi="Arial"/>
          <w:sz w:val="24"/>
          <w:szCs w:val="24"/>
          <w:color w:val="auto"/>
        </w:rPr>
        <w:t>Mortgage Solutions revenue was $27.3 million, down 15% compared to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380"/>
        <w:spacing w:after="0" w:line="262" w:lineRule="auto"/>
        <w:rPr>
          <w:sz w:val="20"/>
          <w:szCs w:val="20"/>
          <w:color w:val="auto"/>
        </w:rPr>
      </w:pPr>
      <w:r>
        <w:rPr>
          <w:rFonts w:ascii="Arial" w:cs="Arial" w:eastAsia="Arial" w:hAnsi="Arial"/>
          <w:sz w:val="24"/>
          <w:szCs w:val="24"/>
          <w:color w:val="auto"/>
        </w:rPr>
        <w:t>Financial Marketing Services revenue was $50.5 million, down 1% compared to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International third quarter results</w:t>
      </w:r>
    </w:p>
    <w:p>
      <w:pPr>
        <w:spacing w:after="0" w:line="253" w:lineRule="exact"/>
        <w:rPr>
          <w:sz w:val="20"/>
          <w:szCs w:val="20"/>
          <w:color w:val="auto"/>
        </w:rPr>
      </w:pPr>
    </w:p>
    <w:p>
      <w:pPr>
        <w:ind w:left="600" w:right="40"/>
        <w:spacing w:after="0" w:line="252" w:lineRule="auto"/>
        <w:rPr>
          <w:sz w:val="20"/>
          <w:szCs w:val="20"/>
          <w:color w:val="auto"/>
        </w:rPr>
      </w:pPr>
      <w:r>
        <w:rPr>
          <w:rFonts w:ascii="Arial" w:cs="Arial" w:eastAsia="Arial" w:hAnsi="Arial"/>
          <w:sz w:val="24"/>
          <w:szCs w:val="24"/>
          <w:color w:val="auto"/>
        </w:rPr>
        <w:t>Total revenue was $315.9 million in the third quarter of 2023, up 10% and 12% compared to the third quarter of 2022 on a reported and local currency basis, respectively. Operating margin for International was 12.7% in the third quarter of 2023, compared to 14.8% in the third quarter of 2022. Adjusted EBITDA margin for International was 26.2% in the third quarter of 2023, compared to 26.8% in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-1031875</wp:posOffset>
            </wp:positionV>
            <wp:extent cx="66675" cy="666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460"/>
        <w:spacing w:after="0" w:line="247" w:lineRule="auto"/>
        <w:rPr>
          <w:sz w:val="20"/>
          <w:szCs w:val="20"/>
          <w:color w:val="auto"/>
        </w:rPr>
      </w:pPr>
      <w:r>
        <w:rPr>
          <w:rFonts w:ascii="Arial" w:cs="Arial" w:eastAsia="Arial" w:hAnsi="Arial"/>
          <w:sz w:val="24"/>
          <w:szCs w:val="24"/>
          <w:color w:val="auto"/>
        </w:rPr>
        <w:t>Asia Pacific revenue was $85.5 million, down 2% and up 2% compared to the third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00"/>
        <w:spacing w:after="0" w:line="247" w:lineRule="auto"/>
        <w:rPr>
          <w:sz w:val="20"/>
          <w:szCs w:val="20"/>
          <w:color w:val="auto"/>
        </w:rPr>
      </w:pPr>
      <w:r>
        <w:rPr>
          <w:rFonts w:ascii="Arial" w:cs="Arial" w:eastAsia="Arial" w:hAnsi="Arial"/>
          <w:sz w:val="24"/>
          <w:szCs w:val="24"/>
          <w:color w:val="auto"/>
        </w:rPr>
        <w:t>Europe revenue was $85.2 million, up 6% and down 2% compared to the third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120"/>
        <w:spacing w:after="0" w:line="247" w:lineRule="auto"/>
        <w:rPr>
          <w:sz w:val="20"/>
          <w:szCs w:val="20"/>
          <w:color w:val="auto"/>
        </w:rPr>
      </w:pPr>
      <w:r>
        <w:rPr>
          <w:rFonts w:ascii="Arial" w:cs="Arial" w:eastAsia="Arial" w:hAnsi="Arial"/>
          <w:sz w:val="24"/>
          <w:szCs w:val="24"/>
          <w:color w:val="auto"/>
        </w:rPr>
        <w:t>Canada revenue was $65.1 million, down 2% and flat compared to the third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600"/>
        <w:spacing w:after="0" w:line="262" w:lineRule="auto"/>
        <w:rPr>
          <w:sz w:val="20"/>
          <w:szCs w:val="20"/>
          <w:color w:val="auto"/>
        </w:rPr>
      </w:pPr>
      <w:r>
        <w:rPr>
          <w:rFonts w:ascii="Arial" w:cs="Arial" w:eastAsia="Arial" w:hAnsi="Arial"/>
          <w:sz w:val="24"/>
          <w:szCs w:val="24"/>
          <w:color w:val="auto"/>
        </w:rPr>
        <w:t>Latin America revenue was $80.1 million, up 48% and 62% compared to the third quarter of 2022 on a reported and local currency basis,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Adjusted EPS and Adjusted EBITDA Margin</w:t>
      </w:r>
    </w:p>
    <w:p>
      <w:pPr>
        <w:spacing w:after="0" w:line="253" w:lineRule="exact"/>
        <w:rPr>
          <w:sz w:val="20"/>
          <w:szCs w:val="20"/>
          <w:color w:val="auto"/>
        </w:rPr>
      </w:pPr>
    </w:p>
    <w:p>
      <w:pPr>
        <w:ind w:left="600" w:right="480"/>
        <w:spacing w:after="0" w:line="260" w:lineRule="auto"/>
        <w:rPr>
          <w:sz w:val="20"/>
          <w:szCs w:val="20"/>
          <w:color w:val="auto"/>
        </w:rPr>
      </w:pPr>
      <w:r>
        <w:rPr>
          <w:rFonts w:ascii="Arial" w:cs="Arial" w:eastAsia="Arial" w:hAnsi="Arial"/>
          <w:sz w:val="24"/>
          <w:szCs w:val="24"/>
          <w:color w:val="auto"/>
        </w:rPr>
        <w:t>Adjusted EPS attributable to Equifax was $1.76 in the third quarter of 2023, up 2% compared to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20"/>
        <w:spacing w:after="0" w:line="247" w:lineRule="auto"/>
        <w:rPr>
          <w:sz w:val="20"/>
          <w:szCs w:val="20"/>
          <w:color w:val="auto"/>
        </w:rPr>
      </w:pPr>
      <w:r>
        <w:rPr>
          <w:rFonts w:ascii="Arial" w:cs="Arial" w:eastAsia="Arial" w:hAnsi="Arial"/>
          <w:sz w:val="24"/>
          <w:szCs w:val="24"/>
          <w:color w:val="auto"/>
        </w:rPr>
        <w:t>Adjusted EBITDA margin was 33.1% in the third quarter of 2023 compared to 32.5% in the third quarter of 2022.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-307975</wp:posOffset>
            </wp:positionV>
            <wp:extent cx="66675" cy="666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ind w:left="600" w:right="60"/>
        <w:spacing w:after="0" w:line="262" w:lineRule="auto"/>
        <w:rPr>
          <w:sz w:val="20"/>
          <w:szCs w:val="20"/>
          <w:color w:val="auto"/>
        </w:rPr>
      </w:pPr>
      <w:r>
        <w:rPr>
          <w:rFonts w:ascii="Arial" w:cs="Arial" w:eastAsia="Arial" w:hAnsi="Arial"/>
          <w:sz w:val="24"/>
          <w:szCs w:val="24"/>
          <w:color w:val="auto"/>
        </w:rPr>
        <w:t>These financial measures exclude certain items as described further in the Non-GAAP Financial Measures section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wp:posOffset>
            </wp:positionH>
            <wp:positionV relativeFrom="paragraph">
              <wp:posOffset>-329565</wp:posOffset>
            </wp:positionV>
            <wp:extent cx="66675" cy="666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66675" cy="66675"/>
                    </a:xfrm>
                    <a:prstGeom prst="rect">
                      <a:avLst/>
                    </a:prstGeom>
                    <a:noFill/>
                  </pic:spPr>
                </pic:pic>
              </a:graphicData>
            </a:graphic>
          </wp:anchor>
        </w:drawing>
      </w:r>
    </w:p>
    <w:p>
      <w:pPr>
        <w:sectPr>
          <w:pgSz w:w="12240" w:h="15840" w:orient="portrait"/>
          <w:cols w:equalWidth="0" w:num="1">
            <w:col w:w="9800"/>
          </w:cols>
          <w:pgMar w:left="1200" w:top="1057" w:right="1240" w:bottom="1440" w:gutter="0" w:footer="0" w:header="0"/>
        </w:sectPr>
      </w:pPr>
    </w:p>
    <w:bookmarkStart w:id="3" w:name="page4"/>
    <w:bookmarkEnd w:id="3"/>
    <w:tbl>
      <w:tblPr>
        <w:tblLayout w:type="fixed"/>
        <w:tblInd w:w="60" w:type="dxa"/>
        <w:tblCellMar>
          <w:top w:w="0" w:type="dxa"/>
          <w:left w:w="0" w:type="dxa"/>
          <w:bottom w:w="0" w:type="dxa"/>
          <w:right w:w="0" w:type="dxa"/>
        </w:tblCellMar>
      </w:tblPr>
      <w:tr>
        <w:trPr>
          <w:trHeight w:val="310"/>
        </w:trPr>
        <w:tc>
          <w:tcPr>
            <w:tcW w:w="3840" w:type="dxa"/>
            <w:vAlign w:val="bottom"/>
            <w:gridSpan w:val="4"/>
          </w:tcPr>
          <w:p>
            <w:pPr>
              <w:spacing w:after="0"/>
              <w:rPr>
                <w:sz w:val="20"/>
                <w:szCs w:val="20"/>
                <w:color w:val="auto"/>
              </w:rPr>
            </w:pPr>
            <w:r>
              <w:rPr>
                <w:rFonts w:ascii="Arial" w:cs="Arial" w:eastAsia="Arial" w:hAnsi="Arial"/>
                <w:sz w:val="17"/>
                <w:szCs w:val="17"/>
                <w:b w:val="1"/>
                <w:bCs w:val="1"/>
                <w:color w:val="auto"/>
              </w:rPr>
              <w:t>2023 Fourth Quarter and Full Year Guidance</w:t>
            </w:r>
            <w:r>
              <w:rPr>
                <w:rFonts w:ascii="Arial" w:cs="Arial" w:eastAsia="Arial" w:hAnsi="Arial"/>
                <w:sz w:val="27"/>
                <w:szCs w:val="27"/>
                <w:b w:val="1"/>
                <w:bCs w:val="1"/>
                <w:color w:val="auto"/>
                <w:vertAlign w:val="superscript"/>
              </w:rPr>
              <w:t>(2)</w:t>
            </w:r>
          </w:p>
        </w:tc>
        <w:tc>
          <w:tcPr>
            <w:tcW w:w="3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227"/>
        </w:trPr>
        <w:tc>
          <w:tcPr>
            <w:tcW w:w="25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720" w:type="dxa"/>
            <w:vAlign w:val="bottom"/>
            <w:gridSpan w:val="4"/>
          </w:tcPr>
          <w:p>
            <w:pPr>
              <w:ind w:left="40"/>
              <w:spacing w:after="0"/>
              <w:rPr>
                <w:sz w:val="20"/>
                <w:szCs w:val="20"/>
                <w:color w:val="auto"/>
              </w:rPr>
            </w:pPr>
            <w:r>
              <w:rPr>
                <w:rFonts w:ascii="Arial" w:cs="Arial" w:eastAsia="Arial" w:hAnsi="Arial"/>
                <w:sz w:val="17"/>
                <w:szCs w:val="17"/>
                <w:b w:val="1"/>
                <w:bCs w:val="1"/>
                <w:color w:val="auto"/>
              </w:rPr>
              <w:t>Q4 2023</w:t>
            </w:r>
          </w:p>
        </w:tc>
        <w:tc>
          <w:tcPr>
            <w:tcW w:w="36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500" w:type="dxa"/>
            <w:vAlign w:val="bottom"/>
            <w:gridSpan w:val="4"/>
          </w:tcPr>
          <w:p>
            <w:pPr>
              <w:ind w:left="40"/>
              <w:spacing w:after="0"/>
              <w:rPr>
                <w:sz w:val="20"/>
                <w:szCs w:val="20"/>
                <w:color w:val="auto"/>
              </w:rPr>
            </w:pPr>
            <w:r>
              <w:rPr>
                <w:rFonts w:ascii="Arial" w:cs="Arial" w:eastAsia="Arial" w:hAnsi="Arial"/>
                <w:sz w:val="17"/>
                <w:szCs w:val="17"/>
                <w:b w:val="1"/>
                <w:bCs w:val="1"/>
                <w:color w:val="auto"/>
              </w:rPr>
              <w:t>FY 2023</w:t>
            </w:r>
          </w:p>
        </w:tc>
      </w:tr>
      <w:tr>
        <w:trPr>
          <w:trHeight w:val="184"/>
        </w:trPr>
        <w:tc>
          <w:tcPr>
            <w:tcW w:w="25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Low-End</w:t>
            </w:r>
          </w:p>
        </w:tc>
        <w:tc>
          <w:tcPr>
            <w:tcW w:w="3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68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High-End</w:t>
            </w:r>
          </w:p>
        </w:tc>
        <w:tc>
          <w:tcPr>
            <w:tcW w:w="3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66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Low-End</w:t>
            </w:r>
          </w:p>
        </w:tc>
        <w:tc>
          <w:tcPr>
            <w:tcW w:w="3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00" w:type="dxa"/>
            <w:vAlign w:val="bottom"/>
            <w:tcBorders>
              <w:bottom w:val="single" w:sz="8" w:color="auto"/>
            </w:tcBorders>
          </w:tcPr>
          <w:p>
            <w:pPr>
              <w:jc w:val="center"/>
              <w:spacing w:after="0" w:line="185" w:lineRule="exact"/>
              <w:rPr>
                <w:sz w:val="20"/>
                <w:szCs w:val="20"/>
                <w:color w:val="auto"/>
              </w:rPr>
            </w:pPr>
            <w:r>
              <w:rPr>
                <w:rFonts w:ascii="Arial" w:cs="Arial" w:eastAsia="Arial" w:hAnsi="Arial"/>
                <w:sz w:val="17"/>
                <w:szCs w:val="17"/>
                <w:color w:val="auto"/>
                <w:w w:val="95"/>
              </w:rPr>
              <w:t>High-End</w:t>
            </w:r>
          </w:p>
        </w:tc>
        <w:tc>
          <w:tcPr>
            <w:tcW w:w="140" w:type="dxa"/>
            <w:vAlign w:val="bottom"/>
          </w:tcPr>
          <w:p>
            <w:pPr>
              <w:spacing w:after="0"/>
              <w:rPr>
                <w:sz w:val="16"/>
                <w:szCs w:val="16"/>
                <w:color w:val="auto"/>
              </w:rPr>
            </w:pPr>
          </w:p>
        </w:tc>
      </w:tr>
      <w:tr>
        <w:trPr>
          <w:trHeight w:val="242"/>
        </w:trPr>
        <w:tc>
          <w:tcPr>
            <w:tcW w:w="2580" w:type="dxa"/>
            <w:vAlign w:val="bottom"/>
          </w:tcPr>
          <w:p>
            <w:pPr>
              <w:spacing w:after="0"/>
              <w:rPr>
                <w:sz w:val="20"/>
                <w:szCs w:val="20"/>
                <w:color w:val="auto"/>
              </w:rPr>
            </w:pPr>
            <w:r>
              <w:rPr>
                <w:rFonts w:ascii="Arial" w:cs="Arial" w:eastAsia="Arial" w:hAnsi="Arial"/>
                <w:sz w:val="17"/>
                <w:szCs w:val="17"/>
                <w:color w:val="auto"/>
              </w:rPr>
              <w:t>Reported Revenue</w:t>
            </w:r>
          </w:p>
        </w:tc>
        <w:tc>
          <w:tcPr>
            <w:tcW w:w="1260" w:type="dxa"/>
            <w:vAlign w:val="bottom"/>
            <w:gridSpan w:val="3"/>
          </w:tcPr>
          <w:p>
            <w:pPr>
              <w:jc w:val="center"/>
              <w:ind w:right="38"/>
              <w:spacing w:after="0"/>
              <w:rPr>
                <w:sz w:val="20"/>
                <w:szCs w:val="20"/>
                <w:color w:val="auto"/>
              </w:rPr>
            </w:pPr>
            <w:r>
              <w:rPr>
                <w:rFonts w:ascii="Arial" w:cs="Arial" w:eastAsia="Arial" w:hAnsi="Arial"/>
                <w:sz w:val="17"/>
                <w:szCs w:val="17"/>
                <w:color w:val="auto"/>
                <w:w w:val="97"/>
              </w:rPr>
              <w:t>$1.307 billion</w:t>
            </w:r>
          </w:p>
        </w:tc>
        <w:tc>
          <w:tcPr>
            <w:tcW w:w="1360" w:type="dxa"/>
            <w:vAlign w:val="bottom"/>
            <w:gridSpan w:val="3"/>
          </w:tcPr>
          <w:p>
            <w:pPr>
              <w:jc w:val="center"/>
              <w:ind w:right="20"/>
              <w:spacing w:after="0"/>
              <w:rPr>
                <w:sz w:val="20"/>
                <w:szCs w:val="20"/>
                <w:color w:val="auto"/>
              </w:rPr>
            </w:pPr>
            <w:r>
              <w:rPr>
                <w:rFonts w:ascii="Arial" w:cs="Arial" w:eastAsia="Arial" w:hAnsi="Arial"/>
                <w:sz w:val="17"/>
                <w:szCs w:val="17"/>
                <w:color w:val="auto"/>
                <w:w w:val="97"/>
              </w:rPr>
              <w:t>$1.327 billion</w:t>
            </w:r>
          </w:p>
        </w:tc>
        <w:tc>
          <w:tcPr>
            <w:tcW w:w="1360" w:type="dxa"/>
            <w:vAlign w:val="bottom"/>
            <w:gridSpan w:val="3"/>
          </w:tcPr>
          <w:p>
            <w:pPr>
              <w:jc w:val="center"/>
              <w:spacing w:after="0"/>
              <w:rPr>
                <w:sz w:val="20"/>
                <w:szCs w:val="20"/>
                <w:color w:val="auto"/>
              </w:rPr>
            </w:pPr>
            <w:r>
              <w:rPr>
                <w:rFonts w:ascii="Arial" w:cs="Arial" w:eastAsia="Arial" w:hAnsi="Arial"/>
                <w:sz w:val="17"/>
                <w:szCs w:val="17"/>
                <w:color w:val="auto"/>
                <w:w w:val="95"/>
              </w:rPr>
              <w:t>$5.246 billion</w:t>
            </w:r>
          </w:p>
        </w:tc>
        <w:tc>
          <w:tcPr>
            <w:tcW w:w="1160" w:type="dxa"/>
            <w:vAlign w:val="bottom"/>
            <w:gridSpan w:val="3"/>
          </w:tcPr>
          <w:p>
            <w:pPr>
              <w:jc w:val="center"/>
              <w:ind w:left="118"/>
              <w:spacing w:after="0"/>
              <w:rPr>
                <w:sz w:val="20"/>
                <w:szCs w:val="20"/>
                <w:color w:val="auto"/>
              </w:rPr>
            </w:pPr>
            <w:r>
              <w:rPr>
                <w:rFonts w:ascii="Arial" w:cs="Arial" w:eastAsia="Arial" w:hAnsi="Arial"/>
                <w:sz w:val="17"/>
                <w:szCs w:val="17"/>
                <w:color w:val="auto"/>
                <w:w w:val="95"/>
              </w:rPr>
              <w:t>$5.266 billion</w:t>
            </w:r>
          </w:p>
        </w:tc>
      </w:tr>
      <w:tr>
        <w:trPr>
          <w:trHeight w:val="225"/>
        </w:trPr>
        <w:tc>
          <w:tcPr>
            <w:tcW w:w="2580" w:type="dxa"/>
            <w:vAlign w:val="bottom"/>
          </w:tcPr>
          <w:p>
            <w:pPr>
              <w:spacing w:after="0"/>
              <w:rPr>
                <w:sz w:val="20"/>
                <w:szCs w:val="20"/>
                <w:color w:val="auto"/>
              </w:rPr>
            </w:pPr>
            <w:r>
              <w:rPr>
                <w:rFonts w:ascii="Arial" w:cs="Arial" w:eastAsia="Arial" w:hAnsi="Arial"/>
                <w:sz w:val="17"/>
                <w:szCs w:val="17"/>
                <w:color w:val="auto"/>
              </w:rPr>
              <w:t>Reported Revenue Growth</w:t>
            </w:r>
          </w:p>
        </w:tc>
        <w:tc>
          <w:tcPr>
            <w:tcW w:w="900" w:type="dxa"/>
            <w:vAlign w:val="bottom"/>
            <w:gridSpan w:val="2"/>
          </w:tcPr>
          <w:p>
            <w:pPr>
              <w:jc w:val="center"/>
              <w:ind w:left="158"/>
              <w:spacing w:after="0"/>
              <w:rPr>
                <w:sz w:val="20"/>
                <w:szCs w:val="20"/>
                <w:color w:val="auto"/>
              </w:rPr>
            </w:pPr>
            <w:r>
              <w:rPr>
                <w:rFonts w:ascii="Arial" w:cs="Arial" w:eastAsia="Arial" w:hAnsi="Arial"/>
                <w:sz w:val="17"/>
                <w:szCs w:val="17"/>
                <w:color w:val="auto"/>
                <w:w w:val="96"/>
              </w:rPr>
              <w:t>9.1 %</w:t>
            </w:r>
          </w:p>
        </w:tc>
        <w:tc>
          <w:tcPr>
            <w:tcW w:w="360" w:type="dxa"/>
            <w:vAlign w:val="bottom"/>
          </w:tcPr>
          <w:p>
            <w:pPr>
              <w:spacing w:after="0"/>
              <w:rPr>
                <w:sz w:val="19"/>
                <w:szCs w:val="19"/>
                <w:color w:val="auto"/>
              </w:rPr>
            </w:pPr>
          </w:p>
        </w:tc>
        <w:tc>
          <w:tcPr>
            <w:tcW w:w="1020" w:type="dxa"/>
            <w:vAlign w:val="bottom"/>
            <w:gridSpan w:val="2"/>
          </w:tcPr>
          <w:p>
            <w:pPr>
              <w:jc w:val="center"/>
              <w:ind w:left="258"/>
              <w:spacing w:after="0"/>
              <w:rPr>
                <w:sz w:val="20"/>
                <w:szCs w:val="20"/>
                <w:color w:val="auto"/>
              </w:rPr>
            </w:pPr>
            <w:r>
              <w:rPr>
                <w:rFonts w:ascii="Arial" w:cs="Arial" w:eastAsia="Arial" w:hAnsi="Arial"/>
                <w:sz w:val="17"/>
                <w:szCs w:val="17"/>
                <w:color w:val="auto"/>
                <w:w w:val="98"/>
              </w:rPr>
              <w:t>10.8 %</w:t>
            </w:r>
          </w:p>
        </w:tc>
        <w:tc>
          <w:tcPr>
            <w:tcW w:w="340" w:type="dxa"/>
            <w:vAlign w:val="bottom"/>
          </w:tcPr>
          <w:p>
            <w:pPr>
              <w:spacing w:after="0"/>
              <w:rPr>
                <w:sz w:val="19"/>
                <w:szCs w:val="19"/>
                <w:color w:val="auto"/>
              </w:rPr>
            </w:pPr>
          </w:p>
        </w:tc>
        <w:tc>
          <w:tcPr>
            <w:tcW w:w="1020" w:type="dxa"/>
            <w:vAlign w:val="bottom"/>
            <w:gridSpan w:val="2"/>
          </w:tcPr>
          <w:p>
            <w:pPr>
              <w:jc w:val="center"/>
              <w:ind w:left="278"/>
              <w:spacing w:after="0"/>
              <w:rPr>
                <w:sz w:val="20"/>
                <w:szCs w:val="20"/>
                <w:color w:val="auto"/>
              </w:rPr>
            </w:pPr>
            <w:r>
              <w:rPr>
                <w:rFonts w:ascii="Arial" w:cs="Arial" w:eastAsia="Arial" w:hAnsi="Arial"/>
                <w:sz w:val="17"/>
                <w:szCs w:val="17"/>
                <w:color w:val="auto"/>
                <w:w w:val="96"/>
              </w:rPr>
              <w:t>2.4 %</w:t>
            </w:r>
          </w:p>
        </w:tc>
        <w:tc>
          <w:tcPr>
            <w:tcW w:w="340" w:type="dxa"/>
            <w:vAlign w:val="bottom"/>
          </w:tcPr>
          <w:p>
            <w:pPr>
              <w:spacing w:after="0"/>
              <w:rPr>
                <w:sz w:val="19"/>
                <w:szCs w:val="19"/>
                <w:color w:val="auto"/>
              </w:rPr>
            </w:pPr>
          </w:p>
        </w:tc>
        <w:tc>
          <w:tcPr>
            <w:tcW w:w="1040" w:type="dxa"/>
            <w:vAlign w:val="bottom"/>
            <w:gridSpan w:val="2"/>
          </w:tcPr>
          <w:p>
            <w:pPr>
              <w:jc w:val="center"/>
              <w:ind w:left="258"/>
              <w:spacing w:after="0"/>
              <w:rPr>
                <w:sz w:val="20"/>
                <w:szCs w:val="20"/>
                <w:color w:val="auto"/>
              </w:rPr>
            </w:pPr>
            <w:r>
              <w:rPr>
                <w:rFonts w:ascii="Arial" w:cs="Arial" w:eastAsia="Arial" w:hAnsi="Arial"/>
                <w:sz w:val="17"/>
                <w:szCs w:val="17"/>
                <w:color w:val="auto"/>
                <w:w w:val="96"/>
              </w:rPr>
              <w:t>2.8 %</w:t>
            </w:r>
          </w:p>
        </w:tc>
        <w:tc>
          <w:tcPr>
            <w:tcW w:w="140" w:type="dxa"/>
            <w:vAlign w:val="bottom"/>
          </w:tcPr>
          <w:p>
            <w:pPr>
              <w:spacing w:after="0"/>
              <w:rPr>
                <w:sz w:val="19"/>
                <w:szCs w:val="19"/>
                <w:color w:val="auto"/>
              </w:rPr>
            </w:pPr>
          </w:p>
        </w:tc>
      </w:tr>
      <w:tr>
        <w:trPr>
          <w:trHeight w:val="290"/>
        </w:trPr>
        <w:tc>
          <w:tcPr>
            <w:tcW w:w="2580" w:type="dxa"/>
            <w:vAlign w:val="bottom"/>
          </w:tcPr>
          <w:p>
            <w:pPr>
              <w:spacing w:after="0" w:line="290" w:lineRule="exact"/>
              <w:rPr>
                <w:sz w:val="20"/>
                <w:szCs w:val="20"/>
                <w:color w:val="auto"/>
              </w:rPr>
            </w:pPr>
            <w:r>
              <w:rPr>
                <w:rFonts w:ascii="Arial" w:cs="Arial" w:eastAsia="Arial" w:hAnsi="Arial"/>
                <w:sz w:val="17"/>
                <w:szCs w:val="17"/>
                <w:color w:val="auto"/>
              </w:rPr>
              <w:t>Local Currency Growth</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900" w:type="dxa"/>
            <w:vAlign w:val="bottom"/>
            <w:gridSpan w:val="2"/>
          </w:tcPr>
          <w:p>
            <w:pPr>
              <w:jc w:val="center"/>
              <w:ind w:left="158"/>
              <w:spacing w:after="0"/>
              <w:rPr>
                <w:sz w:val="20"/>
                <w:szCs w:val="20"/>
                <w:color w:val="auto"/>
              </w:rPr>
            </w:pPr>
            <w:r>
              <w:rPr>
                <w:rFonts w:ascii="Arial" w:cs="Arial" w:eastAsia="Arial" w:hAnsi="Arial"/>
                <w:sz w:val="17"/>
                <w:szCs w:val="17"/>
                <w:color w:val="auto"/>
                <w:w w:val="96"/>
              </w:rPr>
              <w:t>9.7 %</w:t>
            </w:r>
          </w:p>
        </w:tc>
        <w:tc>
          <w:tcPr>
            <w:tcW w:w="360" w:type="dxa"/>
            <w:vAlign w:val="bottom"/>
          </w:tcPr>
          <w:p>
            <w:pPr>
              <w:spacing w:after="0"/>
              <w:rPr>
                <w:sz w:val="24"/>
                <w:szCs w:val="24"/>
                <w:color w:val="auto"/>
              </w:rPr>
            </w:pPr>
          </w:p>
        </w:tc>
        <w:tc>
          <w:tcPr>
            <w:tcW w:w="1020" w:type="dxa"/>
            <w:vAlign w:val="bottom"/>
            <w:gridSpan w:val="2"/>
          </w:tcPr>
          <w:p>
            <w:pPr>
              <w:jc w:val="center"/>
              <w:ind w:left="258"/>
              <w:spacing w:after="0"/>
              <w:rPr>
                <w:sz w:val="20"/>
                <w:szCs w:val="20"/>
                <w:color w:val="auto"/>
              </w:rPr>
            </w:pPr>
            <w:r>
              <w:rPr>
                <w:rFonts w:ascii="Arial" w:cs="Arial" w:eastAsia="Arial" w:hAnsi="Arial"/>
                <w:sz w:val="17"/>
                <w:szCs w:val="17"/>
                <w:color w:val="auto"/>
                <w:w w:val="98"/>
              </w:rPr>
              <w:t>11.4 %</w:t>
            </w:r>
          </w:p>
        </w:tc>
        <w:tc>
          <w:tcPr>
            <w:tcW w:w="340" w:type="dxa"/>
            <w:vAlign w:val="bottom"/>
          </w:tcPr>
          <w:p>
            <w:pPr>
              <w:spacing w:after="0"/>
              <w:rPr>
                <w:sz w:val="24"/>
                <w:szCs w:val="24"/>
                <w:color w:val="auto"/>
              </w:rPr>
            </w:pPr>
          </w:p>
        </w:tc>
        <w:tc>
          <w:tcPr>
            <w:tcW w:w="1020" w:type="dxa"/>
            <w:vAlign w:val="bottom"/>
            <w:gridSpan w:val="2"/>
          </w:tcPr>
          <w:p>
            <w:pPr>
              <w:jc w:val="center"/>
              <w:ind w:left="278"/>
              <w:spacing w:after="0"/>
              <w:rPr>
                <w:sz w:val="20"/>
                <w:szCs w:val="20"/>
                <w:color w:val="auto"/>
              </w:rPr>
            </w:pPr>
            <w:r>
              <w:rPr>
                <w:rFonts w:ascii="Arial" w:cs="Arial" w:eastAsia="Arial" w:hAnsi="Arial"/>
                <w:sz w:val="17"/>
                <w:szCs w:val="17"/>
                <w:color w:val="auto"/>
                <w:w w:val="96"/>
              </w:rPr>
              <w:t>3.4 %</w:t>
            </w:r>
          </w:p>
        </w:tc>
        <w:tc>
          <w:tcPr>
            <w:tcW w:w="340" w:type="dxa"/>
            <w:vAlign w:val="bottom"/>
          </w:tcPr>
          <w:p>
            <w:pPr>
              <w:spacing w:after="0"/>
              <w:rPr>
                <w:sz w:val="24"/>
                <w:szCs w:val="24"/>
                <w:color w:val="auto"/>
              </w:rPr>
            </w:pPr>
          </w:p>
        </w:tc>
        <w:tc>
          <w:tcPr>
            <w:tcW w:w="1040" w:type="dxa"/>
            <w:vAlign w:val="bottom"/>
            <w:gridSpan w:val="2"/>
          </w:tcPr>
          <w:p>
            <w:pPr>
              <w:jc w:val="center"/>
              <w:ind w:left="258"/>
              <w:spacing w:after="0"/>
              <w:rPr>
                <w:sz w:val="20"/>
                <w:szCs w:val="20"/>
                <w:color w:val="auto"/>
              </w:rPr>
            </w:pPr>
            <w:r>
              <w:rPr>
                <w:rFonts w:ascii="Arial" w:cs="Arial" w:eastAsia="Arial" w:hAnsi="Arial"/>
                <w:sz w:val="17"/>
                <w:szCs w:val="17"/>
                <w:color w:val="auto"/>
                <w:w w:val="96"/>
              </w:rPr>
              <w:t>3.8 %</w:t>
            </w:r>
          </w:p>
        </w:tc>
        <w:tc>
          <w:tcPr>
            <w:tcW w:w="140" w:type="dxa"/>
            <w:vAlign w:val="bottom"/>
          </w:tcPr>
          <w:p>
            <w:pPr>
              <w:spacing w:after="0"/>
              <w:rPr>
                <w:sz w:val="24"/>
                <w:szCs w:val="24"/>
                <w:color w:val="auto"/>
              </w:rPr>
            </w:pPr>
          </w:p>
        </w:tc>
      </w:tr>
      <w:tr>
        <w:trPr>
          <w:trHeight w:val="254"/>
        </w:trPr>
        <w:tc>
          <w:tcPr>
            <w:tcW w:w="2580" w:type="dxa"/>
            <w:vAlign w:val="bottom"/>
          </w:tcPr>
          <w:p>
            <w:pPr>
              <w:spacing w:after="0" w:line="254" w:lineRule="exact"/>
              <w:rPr>
                <w:sz w:val="20"/>
                <w:szCs w:val="20"/>
                <w:color w:val="auto"/>
              </w:rPr>
            </w:pPr>
            <w:r>
              <w:rPr>
                <w:rFonts w:ascii="Arial" w:cs="Arial" w:eastAsia="Arial" w:hAnsi="Arial"/>
                <w:sz w:val="17"/>
                <w:szCs w:val="17"/>
                <w:color w:val="auto"/>
                <w:w w:val="95"/>
              </w:rPr>
              <w:t>Organic Local Currency Growth</w:t>
            </w:r>
            <w:r>
              <w:rPr>
                <w:rFonts w:ascii="Arial" w:cs="Arial" w:eastAsia="Arial" w:hAnsi="Arial"/>
                <w:sz w:val="27"/>
                <w:szCs w:val="27"/>
                <w:color w:val="auto"/>
                <w:w w:val="95"/>
              </w:rPr>
              <w:t xml:space="preserve"> </w:t>
            </w:r>
            <w:r>
              <w:rPr>
                <w:rFonts w:ascii="Arial" w:cs="Arial" w:eastAsia="Arial" w:hAnsi="Arial"/>
                <w:sz w:val="27"/>
                <w:szCs w:val="27"/>
                <w:color w:val="auto"/>
                <w:w w:val="95"/>
                <w:vertAlign w:val="superscript"/>
              </w:rPr>
              <w:t>(1)</w:t>
            </w:r>
          </w:p>
        </w:tc>
        <w:tc>
          <w:tcPr>
            <w:tcW w:w="900" w:type="dxa"/>
            <w:vAlign w:val="bottom"/>
            <w:gridSpan w:val="2"/>
          </w:tcPr>
          <w:p>
            <w:pPr>
              <w:jc w:val="center"/>
              <w:ind w:left="158"/>
              <w:spacing w:after="0"/>
              <w:rPr>
                <w:sz w:val="20"/>
                <w:szCs w:val="20"/>
                <w:color w:val="auto"/>
              </w:rPr>
            </w:pPr>
            <w:r>
              <w:rPr>
                <w:rFonts w:ascii="Arial" w:cs="Arial" w:eastAsia="Arial" w:hAnsi="Arial"/>
                <w:sz w:val="17"/>
                <w:szCs w:val="17"/>
                <w:color w:val="auto"/>
                <w:w w:val="96"/>
              </w:rPr>
              <w:t>6.0 %</w:t>
            </w:r>
          </w:p>
        </w:tc>
        <w:tc>
          <w:tcPr>
            <w:tcW w:w="360" w:type="dxa"/>
            <w:vAlign w:val="bottom"/>
          </w:tcPr>
          <w:p>
            <w:pPr>
              <w:spacing w:after="0"/>
              <w:rPr>
                <w:sz w:val="22"/>
                <w:szCs w:val="22"/>
                <w:color w:val="auto"/>
              </w:rPr>
            </w:pPr>
          </w:p>
        </w:tc>
        <w:tc>
          <w:tcPr>
            <w:tcW w:w="1020" w:type="dxa"/>
            <w:vAlign w:val="bottom"/>
            <w:gridSpan w:val="2"/>
          </w:tcPr>
          <w:p>
            <w:pPr>
              <w:jc w:val="center"/>
              <w:ind w:left="238"/>
              <w:spacing w:after="0"/>
              <w:rPr>
                <w:sz w:val="20"/>
                <w:szCs w:val="20"/>
                <w:color w:val="auto"/>
              </w:rPr>
            </w:pPr>
            <w:r>
              <w:rPr>
                <w:rFonts w:ascii="Arial" w:cs="Arial" w:eastAsia="Arial" w:hAnsi="Arial"/>
                <w:sz w:val="17"/>
                <w:szCs w:val="17"/>
                <w:color w:val="auto"/>
                <w:w w:val="96"/>
              </w:rPr>
              <w:t>7.7 %</w:t>
            </w:r>
          </w:p>
        </w:tc>
        <w:tc>
          <w:tcPr>
            <w:tcW w:w="340" w:type="dxa"/>
            <w:vAlign w:val="bottom"/>
          </w:tcPr>
          <w:p>
            <w:pPr>
              <w:spacing w:after="0"/>
              <w:rPr>
                <w:sz w:val="22"/>
                <w:szCs w:val="22"/>
                <w:color w:val="auto"/>
              </w:rPr>
            </w:pPr>
          </w:p>
        </w:tc>
        <w:tc>
          <w:tcPr>
            <w:tcW w:w="1020" w:type="dxa"/>
            <w:vAlign w:val="bottom"/>
            <w:gridSpan w:val="2"/>
          </w:tcPr>
          <w:p>
            <w:pPr>
              <w:jc w:val="center"/>
              <w:ind w:left="278"/>
              <w:spacing w:after="0"/>
              <w:rPr>
                <w:sz w:val="20"/>
                <w:szCs w:val="20"/>
                <w:color w:val="auto"/>
              </w:rPr>
            </w:pPr>
            <w:r>
              <w:rPr>
                <w:rFonts w:ascii="Arial" w:cs="Arial" w:eastAsia="Arial" w:hAnsi="Arial"/>
                <w:sz w:val="17"/>
                <w:szCs w:val="17"/>
                <w:color w:val="auto"/>
                <w:w w:val="96"/>
              </w:rPr>
              <w:t>1.1 %</w:t>
            </w:r>
          </w:p>
        </w:tc>
        <w:tc>
          <w:tcPr>
            <w:tcW w:w="340" w:type="dxa"/>
            <w:vAlign w:val="bottom"/>
          </w:tcPr>
          <w:p>
            <w:pPr>
              <w:spacing w:after="0"/>
              <w:rPr>
                <w:sz w:val="22"/>
                <w:szCs w:val="22"/>
                <w:color w:val="auto"/>
              </w:rPr>
            </w:pPr>
          </w:p>
        </w:tc>
        <w:tc>
          <w:tcPr>
            <w:tcW w:w="1040" w:type="dxa"/>
            <w:vAlign w:val="bottom"/>
            <w:gridSpan w:val="2"/>
          </w:tcPr>
          <w:p>
            <w:pPr>
              <w:jc w:val="center"/>
              <w:ind w:left="258"/>
              <w:spacing w:after="0"/>
              <w:rPr>
                <w:sz w:val="20"/>
                <w:szCs w:val="20"/>
                <w:color w:val="auto"/>
              </w:rPr>
            </w:pPr>
            <w:r>
              <w:rPr>
                <w:rFonts w:ascii="Arial" w:cs="Arial" w:eastAsia="Arial" w:hAnsi="Arial"/>
                <w:sz w:val="17"/>
                <w:szCs w:val="17"/>
                <w:color w:val="auto"/>
                <w:w w:val="96"/>
              </w:rPr>
              <w:t>1.5 %</w:t>
            </w:r>
          </w:p>
        </w:tc>
        <w:tc>
          <w:tcPr>
            <w:tcW w:w="140" w:type="dxa"/>
            <w:vAlign w:val="bottom"/>
          </w:tcPr>
          <w:p>
            <w:pPr>
              <w:spacing w:after="0"/>
              <w:rPr>
                <w:sz w:val="22"/>
                <w:szCs w:val="22"/>
                <w:color w:val="auto"/>
              </w:rPr>
            </w:pPr>
          </w:p>
        </w:tc>
      </w:tr>
      <w:tr>
        <w:trPr>
          <w:trHeight w:val="195"/>
        </w:trPr>
        <w:tc>
          <w:tcPr>
            <w:tcW w:w="2580" w:type="dxa"/>
            <w:vAlign w:val="bottom"/>
          </w:tcPr>
          <w:p>
            <w:pPr>
              <w:spacing w:after="0"/>
              <w:rPr>
                <w:sz w:val="16"/>
                <w:szCs w:val="16"/>
                <w:color w:val="auto"/>
              </w:rPr>
            </w:pPr>
          </w:p>
        </w:tc>
        <w:tc>
          <w:tcPr>
            <w:tcW w:w="1260" w:type="dxa"/>
            <w:vAlign w:val="bottom"/>
            <w:gridSpan w:val="3"/>
          </w:tcPr>
          <w:p>
            <w:pPr>
              <w:jc w:val="center"/>
              <w:ind w:right="38"/>
              <w:spacing w:after="0"/>
              <w:rPr>
                <w:sz w:val="20"/>
                <w:szCs w:val="20"/>
                <w:color w:val="auto"/>
              </w:rPr>
            </w:pPr>
            <w:r>
              <w:rPr>
                <w:rFonts w:ascii="Arial" w:cs="Arial" w:eastAsia="Arial" w:hAnsi="Arial"/>
                <w:sz w:val="17"/>
                <w:szCs w:val="17"/>
                <w:color w:val="auto"/>
                <w:w w:val="97"/>
              </w:rPr>
              <w:t>$1.72 per</w:t>
            </w:r>
          </w:p>
        </w:tc>
        <w:tc>
          <w:tcPr>
            <w:tcW w:w="340" w:type="dxa"/>
            <w:vAlign w:val="bottom"/>
          </w:tcPr>
          <w:p>
            <w:pPr>
              <w:spacing w:after="0"/>
              <w:rPr>
                <w:sz w:val="16"/>
                <w:szCs w:val="16"/>
                <w:color w:val="auto"/>
              </w:rPr>
            </w:pPr>
          </w:p>
        </w:tc>
        <w:tc>
          <w:tcPr>
            <w:tcW w:w="1020" w:type="dxa"/>
            <w:vAlign w:val="bottom"/>
            <w:gridSpan w:val="2"/>
          </w:tcPr>
          <w:p>
            <w:pPr>
              <w:jc w:val="center"/>
              <w:ind w:right="340"/>
              <w:spacing w:after="0"/>
              <w:rPr>
                <w:sz w:val="20"/>
                <w:szCs w:val="20"/>
                <w:color w:val="auto"/>
              </w:rPr>
            </w:pPr>
            <w:r>
              <w:rPr>
                <w:rFonts w:ascii="Arial" w:cs="Arial" w:eastAsia="Arial" w:hAnsi="Arial"/>
                <w:sz w:val="17"/>
                <w:szCs w:val="17"/>
                <w:color w:val="auto"/>
                <w:w w:val="94"/>
              </w:rPr>
              <w:t>$1.82 per</w:t>
            </w:r>
          </w:p>
        </w:tc>
        <w:tc>
          <w:tcPr>
            <w:tcW w:w="1360" w:type="dxa"/>
            <w:vAlign w:val="bottom"/>
            <w:gridSpan w:val="3"/>
          </w:tcPr>
          <w:p>
            <w:pPr>
              <w:jc w:val="center"/>
              <w:spacing w:after="0"/>
              <w:rPr>
                <w:sz w:val="20"/>
                <w:szCs w:val="20"/>
                <w:color w:val="auto"/>
              </w:rPr>
            </w:pPr>
            <w:r>
              <w:rPr>
                <w:rFonts w:ascii="Arial" w:cs="Arial" w:eastAsia="Arial" w:hAnsi="Arial"/>
                <w:sz w:val="17"/>
                <w:szCs w:val="17"/>
                <w:color w:val="auto"/>
                <w:w w:val="97"/>
              </w:rPr>
              <w:t>$6.62 per</w:t>
            </w:r>
          </w:p>
        </w:tc>
        <w:tc>
          <w:tcPr>
            <w:tcW w:w="340" w:type="dxa"/>
            <w:vAlign w:val="bottom"/>
          </w:tcPr>
          <w:p>
            <w:pPr>
              <w:spacing w:after="0"/>
              <w:rPr>
                <w:sz w:val="16"/>
                <w:szCs w:val="16"/>
                <w:color w:val="auto"/>
              </w:rPr>
            </w:pPr>
          </w:p>
        </w:tc>
        <w:tc>
          <w:tcPr>
            <w:tcW w:w="820" w:type="dxa"/>
            <w:vAlign w:val="bottom"/>
            <w:gridSpan w:val="2"/>
          </w:tcPr>
          <w:p>
            <w:pPr>
              <w:jc w:val="center"/>
              <w:ind w:right="120"/>
              <w:spacing w:after="0"/>
              <w:rPr>
                <w:sz w:val="20"/>
                <w:szCs w:val="20"/>
                <w:color w:val="auto"/>
              </w:rPr>
            </w:pPr>
            <w:r>
              <w:rPr>
                <w:rFonts w:ascii="Arial" w:cs="Arial" w:eastAsia="Arial" w:hAnsi="Arial"/>
                <w:sz w:val="17"/>
                <w:szCs w:val="17"/>
                <w:color w:val="auto"/>
                <w:w w:val="97"/>
              </w:rPr>
              <w:t>$6.72 per</w:t>
            </w:r>
          </w:p>
        </w:tc>
      </w:tr>
      <w:tr>
        <w:trPr>
          <w:trHeight w:val="221"/>
        </w:trPr>
        <w:tc>
          <w:tcPr>
            <w:tcW w:w="2580" w:type="dxa"/>
            <w:vAlign w:val="bottom"/>
          </w:tcPr>
          <w:p>
            <w:pPr>
              <w:spacing w:after="0"/>
              <w:rPr>
                <w:sz w:val="20"/>
                <w:szCs w:val="20"/>
                <w:color w:val="auto"/>
              </w:rPr>
            </w:pPr>
            <w:r>
              <w:rPr>
                <w:rFonts w:ascii="Arial" w:cs="Arial" w:eastAsia="Arial" w:hAnsi="Arial"/>
                <w:sz w:val="17"/>
                <w:szCs w:val="17"/>
                <w:color w:val="auto"/>
              </w:rPr>
              <w:t>Adjusted Earnings Per Share</w:t>
            </w:r>
          </w:p>
        </w:tc>
        <w:tc>
          <w:tcPr>
            <w:tcW w:w="240" w:type="dxa"/>
            <w:vAlign w:val="bottom"/>
          </w:tcPr>
          <w:p>
            <w:pPr>
              <w:spacing w:after="0"/>
              <w:rPr>
                <w:sz w:val="19"/>
                <w:szCs w:val="19"/>
                <w:color w:val="auto"/>
              </w:rPr>
            </w:pPr>
          </w:p>
        </w:tc>
        <w:tc>
          <w:tcPr>
            <w:tcW w:w="1020" w:type="dxa"/>
            <w:vAlign w:val="bottom"/>
            <w:gridSpan w:val="2"/>
          </w:tcPr>
          <w:p>
            <w:pPr>
              <w:jc w:val="center"/>
              <w:ind w:right="278"/>
              <w:spacing w:after="0"/>
              <w:rPr>
                <w:sz w:val="20"/>
                <w:szCs w:val="20"/>
                <w:color w:val="auto"/>
              </w:rPr>
            </w:pPr>
            <w:r>
              <w:rPr>
                <w:rFonts w:ascii="Arial" w:cs="Arial" w:eastAsia="Arial" w:hAnsi="Arial"/>
                <w:sz w:val="17"/>
                <w:szCs w:val="17"/>
                <w:color w:val="auto"/>
                <w:w w:val="98"/>
              </w:rPr>
              <w:t>share</w:t>
            </w:r>
          </w:p>
        </w:tc>
        <w:tc>
          <w:tcPr>
            <w:tcW w:w="340" w:type="dxa"/>
            <w:vAlign w:val="bottom"/>
          </w:tcPr>
          <w:p>
            <w:pPr>
              <w:spacing w:after="0"/>
              <w:rPr>
                <w:sz w:val="19"/>
                <w:szCs w:val="19"/>
                <w:color w:val="auto"/>
              </w:rPr>
            </w:pPr>
          </w:p>
        </w:tc>
        <w:tc>
          <w:tcPr>
            <w:tcW w:w="1020" w:type="dxa"/>
            <w:vAlign w:val="bottom"/>
            <w:gridSpan w:val="2"/>
          </w:tcPr>
          <w:p>
            <w:pPr>
              <w:jc w:val="center"/>
              <w:ind w:right="340"/>
              <w:spacing w:after="0"/>
              <w:rPr>
                <w:sz w:val="20"/>
                <w:szCs w:val="20"/>
                <w:color w:val="auto"/>
              </w:rPr>
            </w:pPr>
            <w:r>
              <w:rPr>
                <w:rFonts w:ascii="Arial" w:cs="Arial" w:eastAsia="Arial" w:hAnsi="Arial"/>
                <w:sz w:val="17"/>
                <w:szCs w:val="17"/>
                <w:color w:val="auto"/>
                <w:w w:val="93"/>
              </w:rPr>
              <w:t>share</w:t>
            </w:r>
          </w:p>
        </w:tc>
        <w:tc>
          <w:tcPr>
            <w:tcW w:w="360" w:type="dxa"/>
            <w:vAlign w:val="bottom"/>
          </w:tcPr>
          <w:p>
            <w:pPr>
              <w:spacing w:after="0"/>
              <w:rPr>
                <w:sz w:val="19"/>
                <w:szCs w:val="19"/>
                <w:color w:val="auto"/>
              </w:rPr>
            </w:pPr>
          </w:p>
        </w:tc>
        <w:tc>
          <w:tcPr>
            <w:tcW w:w="1000" w:type="dxa"/>
            <w:vAlign w:val="bottom"/>
            <w:gridSpan w:val="2"/>
          </w:tcPr>
          <w:p>
            <w:pPr>
              <w:jc w:val="center"/>
              <w:ind w:right="278"/>
              <w:spacing w:after="0"/>
              <w:rPr>
                <w:sz w:val="20"/>
                <w:szCs w:val="20"/>
                <w:color w:val="auto"/>
              </w:rPr>
            </w:pPr>
            <w:r>
              <w:rPr>
                <w:rFonts w:ascii="Arial" w:cs="Arial" w:eastAsia="Arial" w:hAnsi="Arial"/>
                <w:sz w:val="17"/>
                <w:szCs w:val="17"/>
                <w:color w:val="auto"/>
                <w:w w:val="93"/>
              </w:rPr>
              <w:t>share</w:t>
            </w:r>
          </w:p>
        </w:tc>
        <w:tc>
          <w:tcPr>
            <w:tcW w:w="340" w:type="dxa"/>
            <w:vAlign w:val="bottom"/>
          </w:tcPr>
          <w:p>
            <w:pPr>
              <w:spacing w:after="0"/>
              <w:rPr>
                <w:sz w:val="19"/>
                <w:szCs w:val="19"/>
                <w:color w:val="auto"/>
              </w:rPr>
            </w:pPr>
          </w:p>
        </w:tc>
        <w:tc>
          <w:tcPr>
            <w:tcW w:w="820" w:type="dxa"/>
            <w:vAlign w:val="bottom"/>
            <w:gridSpan w:val="2"/>
          </w:tcPr>
          <w:p>
            <w:pPr>
              <w:jc w:val="center"/>
              <w:ind w:right="120"/>
              <w:spacing w:after="0"/>
              <w:rPr>
                <w:sz w:val="20"/>
                <w:szCs w:val="20"/>
                <w:color w:val="auto"/>
              </w:rPr>
            </w:pPr>
            <w:r>
              <w:rPr>
                <w:rFonts w:ascii="Arial" w:cs="Arial" w:eastAsia="Arial" w:hAnsi="Arial"/>
                <w:sz w:val="17"/>
                <w:szCs w:val="17"/>
                <w:color w:val="auto"/>
                <w:w w:val="98"/>
              </w:rPr>
              <w:t>share</w:t>
            </w:r>
          </w:p>
        </w:tc>
      </w:tr>
    </w:tbl>
    <w:p>
      <w:pPr>
        <w:spacing w:after="0" w:line="4" w:lineRule="exact"/>
        <w:rPr>
          <w:sz w:val="20"/>
          <w:szCs w:val="20"/>
          <w:color w:val="auto"/>
        </w:rPr>
      </w:pPr>
    </w:p>
    <w:p>
      <w:pPr>
        <w:ind w:left="340" w:hanging="280"/>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Refer to page 8 for definitions.</w:t>
      </w:r>
    </w:p>
    <w:p>
      <w:pPr>
        <w:spacing w:after="0" w:line="29" w:lineRule="exact"/>
        <w:rPr>
          <w:rFonts w:ascii="Arial" w:cs="Arial" w:eastAsia="Arial" w:hAnsi="Arial"/>
          <w:sz w:val="17"/>
          <w:szCs w:val="17"/>
          <w:color w:val="auto"/>
        </w:rPr>
      </w:pPr>
    </w:p>
    <w:p>
      <w:pPr>
        <w:ind w:left="340" w:hanging="280"/>
        <w:spacing w:after="0"/>
        <w:tabs>
          <w:tab w:leader="none" w:pos="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Fourth quarter and full year guidance includes Boa Vista Serviços revenue of $38 million and $61 million, respectively.</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About Equifax</w:t>
      </w:r>
    </w:p>
    <w:p>
      <w:pPr>
        <w:spacing w:after="0" w:line="253" w:lineRule="exact"/>
        <w:rPr>
          <w:sz w:val="20"/>
          <w:szCs w:val="20"/>
          <w:color w:val="auto"/>
        </w:rPr>
      </w:pPr>
    </w:p>
    <w:p>
      <w:pPr>
        <w:ind w:right="60"/>
        <w:spacing w:after="0" w:line="253" w:lineRule="auto"/>
        <w:rPr>
          <w:sz w:val="20"/>
          <w:szCs w:val="20"/>
          <w:color w:val="auto"/>
        </w:rPr>
      </w:pPr>
      <w:r>
        <w:rPr>
          <w:rFonts w:ascii="Arial" w:cs="Arial" w:eastAsia="Arial" w:hAnsi="Arial"/>
          <w:sz w:val="24"/>
          <w:szCs w:val="24"/>
          <w:color w:val="auto"/>
        </w:rPr>
        <w:t>At Equifax (NYSE: EFX), we believe knowledge drives progress. As a global data, analytics, and technology company, we play an essential role in the global economy by helping financial institutions, companies, employers, and government agencies make critical decisions with greater confidence. Our unique blend of differentiated data, analytics, and cloud technology drives insights to power decisions to move people forward. Headquartered in Atlanta and supported by 14,000 employees worldwide, Equifax operates or has investments in 24 countries in North America, Central and South America, Europe, and the Asia Pacific region. For more information, visit Equifax.com.</w:t>
      </w:r>
    </w:p>
    <w:p>
      <w:pPr>
        <w:spacing w:after="0" w:line="189"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Earnings Conference Call and Audio Webcas</w:t>
      </w:r>
      <w:r>
        <w:rPr>
          <w:rFonts w:ascii="Arial" w:cs="Arial" w:eastAsia="Arial" w:hAnsi="Arial"/>
          <w:sz w:val="24"/>
          <w:szCs w:val="24"/>
          <w:b w:val="1"/>
          <w:bCs w:val="1"/>
          <w:color w:val="auto"/>
        </w:rPr>
        <w:t>t</w:t>
      </w:r>
    </w:p>
    <w:p>
      <w:pPr>
        <w:spacing w:after="0" w:line="253" w:lineRule="exact"/>
        <w:rPr>
          <w:sz w:val="20"/>
          <w:szCs w:val="20"/>
          <w:color w:val="auto"/>
        </w:rPr>
      </w:pPr>
    </w:p>
    <w:p>
      <w:pPr>
        <w:ind w:right="280"/>
        <w:spacing w:after="0" w:line="258" w:lineRule="auto"/>
        <w:rPr>
          <w:rFonts w:ascii="Arial" w:cs="Arial" w:eastAsia="Arial" w:hAnsi="Arial"/>
          <w:sz w:val="24"/>
          <w:szCs w:val="24"/>
          <w:color w:val="auto"/>
        </w:rPr>
      </w:pPr>
      <w:r>
        <w:rPr>
          <w:rFonts w:ascii="Arial" w:cs="Arial" w:eastAsia="Arial" w:hAnsi="Arial"/>
          <w:sz w:val="24"/>
          <w:szCs w:val="24"/>
          <w:color w:val="auto"/>
        </w:rPr>
        <w:t>In conjunction with this release, Equifax will host a conference call on October 19, 2023 at 8:30 a.m. (ET) via a live audio webcast. To access the webcast and related presentation materials, go to the Investor Relations section of our website at</w:t>
      </w:r>
      <w:r>
        <w:rPr>
          <w:rFonts w:ascii="Arial" w:cs="Arial" w:eastAsia="Arial" w:hAnsi="Arial"/>
          <w:sz w:val="24"/>
          <w:szCs w:val="24"/>
          <w:color w:val="0000EE"/>
        </w:rPr>
        <w:t xml:space="preserve"> </w:t>
      </w:r>
      <w:hyperlink r:id="rId38">
        <w:r>
          <w:rPr>
            <w:rFonts w:ascii="Arial" w:cs="Arial" w:eastAsia="Arial" w:hAnsi="Arial"/>
            <w:sz w:val="24"/>
            <w:szCs w:val="24"/>
            <w:u w:val="single" w:color="auto"/>
            <w:color w:val="0000EE"/>
          </w:rPr>
          <w:t>www.equifax.com</w:t>
        </w:r>
      </w:hyperlink>
      <w:r>
        <w:rPr>
          <w:rFonts w:ascii="Arial" w:cs="Arial" w:eastAsia="Arial" w:hAnsi="Arial"/>
          <w:sz w:val="24"/>
          <w:szCs w:val="24"/>
          <w:color w:val="auto"/>
        </w:rPr>
        <w:t>. The discussion will be available via replay at the same site shortly after the conclusion of the webcast. This press release is also available at that website.</w:t>
      </w:r>
    </w:p>
    <w:p>
      <w:pPr>
        <w:spacing w:after="0" w:line="178"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Non-GAAP Financial Measures</w:t>
      </w:r>
    </w:p>
    <w:p>
      <w:pPr>
        <w:spacing w:after="0" w:line="253" w:lineRule="exact"/>
        <w:rPr>
          <w:sz w:val="20"/>
          <w:szCs w:val="20"/>
          <w:color w:val="auto"/>
        </w:rPr>
      </w:pPr>
    </w:p>
    <w:p>
      <w:pPr>
        <w:spacing w:after="0" w:line="250" w:lineRule="auto"/>
        <w:rPr>
          <w:sz w:val="20"/>
          <w:szCs w:val="20"/>
          <w:color w:val="auto"/>
        </w:rPr>
      </w:pPr>
      <w:r>
        <w:rPr>
          <w:rFonts w:ascii="Arial" w:cs="Arial" w:eastAsia="Arial" w:hAnsi="Arial"/>
          <w:sz w:val="24"/>
          <w:szCs w:val="24"/>
          <w:color w:val="auto"/>
        </w:rPr>
        <w:t>This earnings release presents adjusted EPS attributable to Equifax which is diluted EPS attributable to Equifax adjusted (to the extent noted above for different periods) for acquisition-related amortization expense, accrual for legal and regulatory matters related to the 2017 cybersecurity incident, fair value adjustment and gain on sale of equity investments, foreign currency impact of certain intercompany loans, acquisition-related costs other than acquisition amortization, income tax effect of stock awards recognized upon vesting or settlement, Argentina highly inflationary foreign currency adjustment, realignment of resources and other costs, gain on settlement of Canada pension plan, and adjustments to deferred tax balances. All adjustments are net of tax, with a reconciling item with the aggregated tax impact of the adjustments. This earnings release also presents (i) adjusted EBITDA and adjusted EBITDA margin which is defined as consolidated net income attributable to Equifax plus net interest expense, income taxes, depreciation and amortization, and also excludes certain one-time items, (ii) local currency revenue change which is calculated by conforming 2023 results using 2022 exchange rates and (iii) organic local currency revenue growth which is defined as local currency revenue growth, adjusted to reflect an increase in prior year Equifax revenue from the revenue of acquired companies in the prior year period. These are important financial measures for Equifax but are not</w:t>
      </w:r>
    </w:p>
    <w:p>
      <w:pPr>
        <w:sectPr>
          <w:pgSz w:w="12240" w:h="15840" w:orient="portrait"/>
          <w:cols w:equalWidth="0" w:num="1">
            <w:col w:w="9800"/>
          </w:cols>
          <w:pgMar w:left="1200" w:top="1033" w:right="1240" w:bottom="226" w:gutter="0" w:footer="0" w:header="0"/>
        </w:sectPr>
      </w:pPr>
    </w:p>
    <w:bookmarkStart w:id="4" w:name="page5"/>
    <w:bookmarkEnd w:id="4"/>
    <w:p>
      <w:pPr>
        <w:spacing w:after="0"/>
        <w:rPr>
          <w:sz w:val="20"/>
          <w:szCs w:val="20"/>
          <w:color w:val="auto"/>
        </w:rPr>
      </w:pPr>
      <w:r>
        <w:rPr>
          <w:rFonts w:ascii="Arial" w:cs="Arial" w:eastAsia="Arial" w:hAnsi="Arial"/>
          <w:sz w:val="24"/>
          <w:szCs w:val="24"/>
          <w:color w:val="auto"/>
        </w:rPr>
        <w:t>financial measures as defined by GAAP.</w:t>
      </w:r>
    </w:p>
    <w:p>
      <w:pPr>
        <w:spacing w:after="0" w:line="249"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These non-GAAP financial measures should be reviewed in conjunction with the relevant GAAP financial measures and are not presented as an alternative measure of net income or EPS as determined in accordance with GAAP.</w:t>
      </w:r>
    </w:p>
    <w:p>
      <w:pPr>
        <w:spacing w:after="0" w:line="170" w:lineRule="exact"/>
        <w:rPr>
          <w:sz w:val="20"/>
          <w:szCs w:val="20"/>
          <w:color w:val="auto"/>
        </w:rPr>
      </w:pPr>
    </w:p>
    <w:p>
      <w:pPr>
        <w:ind w:right="100"/>
        <w:spacing w:after="0" w:line="261" w:lineRule="auto"/>
        <w:rPr>
          <w:rFonts w:ascii="Arial" w:cs="Arial" w:eastAsia="Arial" w:hAnsi="Arial"/>
          <w:sz w:val="24"/>
          <w:szCs w:val="24"/>
          <w:color w:val="auto"/>
        </w:rPr>
      </w:pPr>
      <w:r>
        <w:rPr>
          <w:rFonts w:ascii="Arial" w:cs="Arial" w:eastAsia="Arial" w:hAnsi="Arial"/>
          <w:sz w:val="24"/>
          <w:szCs w:val="24"/>
          <w:color w:val="auto"/>
        </w:rPr>
        <w:t>Reconciliations of these non-GAAP financial measures to the most directly comparable GAAP financial measures and related notes are presented in the Q&amp;A. This information can also be found under "Investor Relations/Financial Information/Non-GAAP Financial Measures" on our website at</w:t>
      </w:r>
      <w:r>
        <w:rPr>
          <w:rFonts w:ascii="Arial" w:cs="Arial" w:eastAsia="Arial" w:hAnsi="Arial"/>
          <w:sz w:val="24"/>
          <w:szCs w:val="24"/>
          <w:color w:val="0000EE"/>
        </w:rPr>
        <w:t xml:space="preserve"> </w:t>
      </w:r>
      <w:hyperlink r:id="rId38">
        <w:r>
          <w:rPr>
            <w:rFonts w:ascii="Arial" w:cs="Arial" w:eastAsia="Arial" w:hAnsi="Arial"/>
            <w:sz w:val="24"/>
            <w:szCs w:val="24"/>
            <w:u w:val="single" w:color="auto"/>
            <w:color w:val="0000EE"/>
          </w:rPr>
          <w:t>www.equifax.com</w:t>
        </w:r>
      </w:hyperlink>
      <w:r>
        <w:rPr>
          <w:rFonts w:ascii="Arial" w:cs="Arial" w:eastAsia="Arial" w:hAnsi="Arial"/>
          <w:sz w:val="24"/>
          <w:szCs w:val="24"/>
          <w:color w:val="auto"/>
        </w:rPr>
        <w:t>.</w:t>
      </w:r>
    </w:p>
    <w:p>
      <w:pPr>
        <w:spacing w:after="0" w:line="176"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auto"/>
        </w:rPr>
        <w:t>Forward-Looking Statements</w:t>
      </w:r>
    </w:p>
    <w:p>
      <w:pPr>
        <w:spacing w:after="0" w:line="253" w:lineRule="exact"/>
        <w:rPr>
          <w:sz w:val="20"/>
          <w:szCs w:val="20"/>
          <w:color w:val="auto"/>
        </w:rPr>
      </w:pPr>
    </w:p>
    <w:p>
      <w:pPr>
        <w:ind w:right="160"/>
        <w:spacing w:after="0" w:line="253" w:lineRule="auto"/>
        <w:rPr>
          <w:sz w:val="20"/>
          <w:szCs w:val="20"/>
          <w:color w:val="auto"/>
        </w:rPr>
      </w:pPr>
      <w:r>
        <w:rPr>
          <w:rFonts w:ascii="Arial" w:cs="Arial" w:eastAsia="Arial" w:hAnsi="Arial"/>
          <w:sz w:val="24"/>
          <w:szCs w:val="24"/>
          <w:color w:val="auto"/>
        </w:rPr>
        <w:t>This release contains forward-looking statements and forward-looking information. These statements can be identified by expressions of belief, expectation or intention, as well as statements that are not historical fact. These statements are based on certain factors and assumptions including with respect to foreign exchange rates, expected growth, results of operations, performance, business prospects and opportunities, the U.S. mortgage market, economic conditions and effective tax rates. While the Company believes these factors and assumptions to be reasonable based on information currently available, they may prove to be incorrect.</w:t>
      </w:r>
    </w:p>
    <w:p>
      <w:pPr>
        <w:spacing w:after="0" w:line="193" w:lineRule="exact"/>
        <w:rPr>
          <w:sz w:val="20"/>
          <w:szCs w:val="20"/>
          <w:color w:val="auto"/>
        </w:rPr>
      </w:pPr>
    </w:p>
    <w:p>
      <w:pPr>
        <w:spacing w:after="0" w:line="249" w:lineRule="auto"/>
        <w:rPr>
          <w:sz w:val="20"/>
          <w:szCs w:val="20"/>
          <w:color w:val="auto"/>
        </w:rPr>
      </w:pPr>
      <w:r>
        <w:rPr>
          <w:rFonts w:ascii="Arial" w:cs="Arial" w:eastAsia="Arial" w:hAnsi="Arial"/>
          <w:sz w:val="24"/>
          <w:szCs w:val="24"/>
          <w:color w:val="auto"/>
        </w:rPr>
        <w:t>Several factors could cause actual results to differ materially from those expressed or implied in the forward- looking statements, including, but not limited to, actions taken by us, including restructuring or strategic initiatives (including our technology, data and security cloud transformation, capital investments and asset acquisitions or dispositions), as well as developments beyond our control, including, but not limited to, changes in the U.S. mortgage market environment, as well as changes more generally in U.S. and worldwide economic conditions that materially impact consumer spending, such as rising interest rates and inflation, consumer debt and employment and the demand for Equifax's products and services. Further deteriorations in economic conditions or interest rate increases could lead to a further or prolonged decline in demand for our products and services and negatively impact our business. It may also continue to impact financial markets and corporate credit markets which could adversely impact our access to financing or the terms of any financing. Other risk factors include the impact of our technology and security transformation and improvements in our information technology and data security infrastructure; changes in tax regulations; adverse or uncertain economic conditions and changes in credit and financial markets, such as rising interest rates and inflation; potential adverse developments in new and pending legal proceedings or government investigations; risks associated with our ability to comply with business practice commitments and similar obligations under settlement agreements and consent orders entered into in connection with the 2017 cybersecurity incident; economic, political and other risks associated with international sales and operations; risks relating to unauthorized access to data or breaches of confidential information due to criminal conduct, attacks by hackers, employee or insider malfeasance and/or human error; changes in, and the effects of, laws and regulations and government policies governing or affecting our business, including, without limitation, our examination and supervision by the Consumer Financial Protection Bureau, a federal agency that holds primary responsibility for the regulation of consumer protection with respect to financial products and services in the U.S., oversight by the U.K. Financial Conduct Authority and Information Commissioner's Office of our debt collections services and core credit reporting</w:t>
      </w:r>
    </w:p>
    <w:p>
      <w:pPr>
        <w:sectPr>
          <w:pgSz w:w="12240" w:h="15840" w:orient="portrait"/>
          <w:cols w:equalWidth="0" w:num="1">
            <w:col w:w="9820"/>
          </w:cols>
          <w:pgMar w:left="1200" w:top="1057" w:right="1220" w:bottom="156" w:gutter="0" w:footer="0" w:header="0"/>
        </w:sectPr>
      </w:pPr>
    </w:p>
    <w:bookmarkStart w:id="5" w:name="page6"/>
    <w:bookmarkEnd w:id="5"/>
    <w:p>
      <w:pPr>
        <w:spacing w:after="0" w:line="250" w:lineRule="auto"/>
        <w:rPr>
          <w:sz w:val="20"/>
          <w:szCs w:val="20"/>
          <w:color w:val="auto"/>
        </w:rPr>
      </w:pPr>
      <w:r>
        <w:rPr>
          <w:rFonts w:ascii="Arial" w:cs="Arial" w:eastAsia="Arial" w:hAnsi="Arial"/>
          <w:sz w:val="24"/>
          <w:szCs w:val="24"/>
          <w:color w:val="auto"/>
        </w:rPr>
        <w:t>businesses in the U.K., oversight by the Office of Australian Information Commission, the Australian Competition and Consumer Commission and other regulatory entities of our credit reporting business in Australia and the impact of current privacy laws and regulations, including the European General Data Protection Regulation and the California Consumer Privacy Act, or any future privacy laws and regulations; federal or state responses to identity theft concerns; our ability to realize the anticipated strategic and financial benefits sought from acquisitions; our ability to successfully develop and market new products and services, respond to pricing and other competitive pressures, complete and integrate acquisitions and other investments and achieve targeted cost efficiencies; timing and amount of capital expenditures; changes in capital markets and corresponding effects on the Company's investments and benefit plan obligations; foreign currency exchange rates and earnings repatriation limitations; and the decisions of taxing authorities which could affect our effective tax rates. A summary of additional risks and uncertainties can be found in our Annual Report on Form 10-K for the year ended December 31, 2022 including without limitation under the captions "Item 1. Business -- Governmental Regulation" and "-- Forward -Looking Statements" and "Item 1A. Risk Factors" and in our other filings with the U.S. Securities and Exchange Commission. Forward-looking statements are given only as at the date of this release and the Company disclaims any obligation to update or revise the forward-looking statements, whether as a result of new information, future events or otherwise, except as required by law.</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0"/>
        <w:spacing w:after="0"/>
        <w:rPr>
          <w:sz w:val="20"/>
          <w:szCs w:val="20"/>
          <w:color w:val="auto"/>
        </w:rPr>
      </w:pPr>
      <w:r>
        <w:rPr>
          <w:rFonts w:ascii="Arial" w:cs="Arial" w:eastAsia="Arial" w:hAnsi="Arial"/>
          <w:sz w:val="17"/>
          <w:szCs w:val="17"/>
          <w:color w:val="auto"/>
        </w:rPr>
        <w:t>EQUIFAX</w:t>
      </w:r>
    </w:p>
    <w:p>
      <w:pPr>
        <w:spacing w:after="0" w:line="20" w:lineRule="exact"/>
        <w:rPr>
          <w:sz w:val="20"/>
          <w:szCs w:val="20"/>
          <w:color w:val="auto"/>
        </w:rPr>
      </w:pPr>
    </w:p>
    <w:p>
      <w:pPr>
        <w:ind w:left="60"/>
        <w:spacing w:after="0"/>
        <w:rPr>
          <w:sz w:val="20"/>
          <w:szCs w:val="20"/>
          <w:color w:val="auto"/>
        </w:rPr>
      </w:pPr>
      <w:r>
        <w:rPr>
          <w:rFonts w:ascii="Arial" w:cs="Arial" w:eastAsia="Arial" w:hAnsi="Arial"/>
          <w:sz w:val="17"/>
          <w:szCs w:val="17"/>
          <w:b w:val="1"/>
          <w:bCs w:val="1"/>
          <w:u w:val="single" w:color="auto"/>
          <w:color w:val="auto"/>
        </w:rPr>
        <w:t>CONSOLIDATED STATEMENTS OF INCOME</w:t>
      </w:r>
    </w:p>
    <w:p>
      <w:pPr>
        <w:spacing w:after="0" w:line="14" w:lineRule="exact"/>
        <w:rPr>
          <w:sz w:val="20"/>
          <w:szCs w:val="20"/>
          <w:color w:val="auto"/>
        </w:rPr>
      </w:pPr>
    </w:p>
    <w:tbl>
      <w:tblPr>
        <w:tblLayout w:type="fixed"/>
        <w:tblInd w:w="60" w:type="dxa"/>
        <w:tblCellMar>
          <w:top w:w="0" w:type="dxa"/>
          <w:left w:w="0" w:type="dxa"/>
          <w:bottom w:w="0" w:type="dxa"/>
          <w:right w:w="0" w:type="dxa"/>
        </w:tblCellMar>
      </w:tblPr>
      <w:tr>
        <w:trPr>
          <w:trHeight w:val="219"/>
        </w:trPr>
        <w:tc>
          <w:tcPr>
            <w:tcW w:w="5860" w:type="dxa"/>
            <w:vAlign w:val="bottom"/>
          </w:tcPr>
          <w:p>
            <w:pPr>
              <w:spacing w:after="0"/>
              <w:rPr>
                <w:sz w:val="19"/>
                <w:szCs w:val="19"/>
                <w:color w:val="auto"/>
              </w:rPr>
            </w:pPr>
          </w:p>
        </w:tc>
        <w:tc>
          <w:tcPr>
            <w:tcW w:w="3260" w:type="dxa"/>
            <w:vAlign w:val="bottom"/>
            <w:gridSpan w:val="5"/>
          </w:tcPr>
          <w:p>
            <w:pPr>
              <w:jc w:val="right"/>
              <w:ind w:right="138"/>
              <w:spacing w:after="0"/>
              <w:rPr>
                <w:sz w:val="20"/>
                <w:szCs w:val="20"/>
                <w:color w:val="auto"/>
              </w:rPr>
            </w:pPr>
            <w:r>
              <w:rPr>
                <w:rFonts w:ascii="Arial" w:cs="Arial" w:eastAsia="Arial" w:hAnsi="Arial"/>
                <w:sz w:val="17"/>
                <w:szCs w:val="17"/>
                <w:b w:val="1"/>
                <w:bCs w:val="1"/>
                <w:color w:val="auto"/>
              </w:rPr>
              <w:t>Three Months Ended September 30,</w:t>
            </w:r>
          </w:p>
        </w:tc>
        <w:tc>
          <w:tcPr>
            <w:tcW w:w="0" w:type="dxa"/>
            <w:vAlign w:val="bottom"/>
          </w:tcPr>
          <w:p>
            <w:pPr>
              <w:spacing w:after="0"/>
              <w:rPr>
                <w:sz w:val="1"/>
                <w:szCs w:val="1"/>
                <w:color w:val="auto"/>
              </w:rPr>
            </w:pPr>
          </w:p>
        </w:tc>
      </w:tr>
      <w:tr>
        <w:trPr>
          <w:trHeight w:val="231"/>
        </w:trPr>
        <w:tc>
          <w:tcPr>
            <w:tcW w:w="5860" w:type="dxa"/>
            <w:vAlign w:val="bottom"/>
            <w:vMerge w:val="restart"/>
          </w:tcPr>
          <w:p>
            <w:pPr>
              <w:spacing w:after="0"/>
              <w:rPr>
                <w:sz w:val="20"/>
                <w:szCs w:val="20"/>
                <w:color w:val="auto"/>
              </w:rPr>
            </w:pPr>
            <w:r>
              <w:rPr>
                <w:rFonts w:ascii="Arial" w:cs="Arial" w:eastAsia="Arial" w:hAnsi="Arial"/>
                <w:sz w:val="17"/>
                <w:szCs w:val="17"/>
                <w:i w:val="1"/>
                <w:iCs w:val="1"/>
                <w:color w:val="auto"/>
              </w:rPr>
              <w:t>(In millions, except per share amounts)</w:t>
            </w:r>
          </w:p>
        </w:tc>
        <w:tc>
          <w:tcPr>
            <w:tcW w:w="1000" w:type="dxa"/>
            <w:vAlign w:val="bottom"/>
          </w:tcPr>
          <w:p>
            <w:pPr>
              <w:jc w:val="right"/>
              <w:spacing w:after="0"/>
              <w:rPr>
                <w:sz w:val="20"/>
                <w:szCs w:val="20"/>
                <w:color w:val="auto"/>
              </w:rPr>
            </w:pPr>
            <w:r>
              <w:rPr>
                <w:rFonts w:ascii="Arial" w:cs="Arial" w:eastAsia="Arial" w:hAnsi="Arial"/>
                <w:sz w:val="17"/>
                <w:szCs w:val="17"/>
                <w:b w:val="1"/>
                <w:bCs w:val="1"/>
                <w:color w:val="auto"/>
              </w:rPr>
              <w:t>2023</w:t>
            </w:r>
          </w:p>
        </w:tc>
        <w:tc>
          <w:tcPr>
            <w:tcW w:w="1180" w:type="dxa"/>
            <w:vAlign w:val="bottom"/>
            <w:gridSpan w:val="3"/>
            <w:vMerge w:val="restart"/>
          </w:tcPr>
          <w:p>
            <w:pPr>
              <w:jc w:val="right"/>
              <w:ind w:right="18"/>
              <w:spacing w:after="0"/>
              <w:rPr>
                <w:sz w:val="20"/>
                <w:szCs w:val="20"/>
                <w:color w:val="auto"/>
              </w:rPr>
            </w:pPr>
            <w:r>
              <w:rPr>
                <w:rFonts w:ascii="Arial" w:cs="Arial" w:eastAsia="Arial" w:hAnsi="Arial"/>
                <w:sz w:val="17"/>
                <w:szCs w:val="17"/>
                <w:i w:val="1"/>
                <w:iCs w:val="1"/>
                <w:color w:val="auto"/>
              </w:rPr>
              <w:t>(Unaudited)</w:t>
            </w:r>
          </w:p>
        </w:tc>
        <w:tc>
          <w:tcPr>
            <w:tcW w:w="1100" w:type="dxa"/>
            <w:vAlign w:val="bottom"/>
          </w:tcPr>
          <w:p>
            <w:pPr>
              <w:jc w:val="right"/>
              <w:ind w:right="518"/>
              <w:spacing w:after="0"/>
              <w:rPr>
                <w:sz w:val="20"/>
                <w:szCs w:val="20"/>
                <w:color w:val="auto"/>
              </w:rPr>
            </w:pPr>
            <w:r>
              <w:rPr>
                <w:rFonts w:ascii="Arial" w:cs="Arial" w:eastAsia="Arial" w:hAnsi="Arial"/>
                <w:sz w:val="17"/>
                <w:szCs w:val="17"/>
                <w:b w:val="1"/>
                <w:bCs w:val="1"/>
                <w:color w:val="auto"/>
              </w:rPr>
              <w:t>2022</w:t>
            </w:r>
          </w:p>
        </w:tc>
        <w:tc>
          <w:tcPr>
            <w:tcW w:w="0" w:type="dxa"/>
            <w:vAlign w:val="bottom"/>
          </w:tcPr>
          <w:p>
            <w:pPr>
              <w:spacing w:after="0"/>
              <w:rPr>
                <w:sz w:val="1"/>
                <w:szCs w:val="1"/>
                <w:color w:val="auto"/>
              </w:rPr>
            </w:pPr>
          </w:p>
        </w:tc>
      </w:tr>
      <w:tr>
        <w:trPr>
          <w:trHeight w:val="217"/>
        </w:trPr>
        <w:tc>
          <w:tcPr>
            <w:tcW w:w="5860" w:type="dxa"/>
            <w:vAlign w:val="bottom"/>
            <w:vMerge w:val="continue"/>
          </w:tcPr>
          <w:p>
            <w:pPr>
              <w:spacing w:after="0"/>
              <w:rPr>
                <w:sz w:val="18"/>
                <w:szCs w:val="18"/>
                <w:color w:val="auto"/>
              </w:rPr>
            </w:pPr>
          </w:p>
        </w:tc>
        <w:tc>
          <w:tcPr>
            <w:tcW w:w="1000" w:type="dxa"/>
            <w:vAlign w:val="bottom"/>
          </w:tcPr>
          <w:p>
            <w:pPr>
              <w:spacing w:after="0"/>
              <w:rPr>
                <w:sz w:val="18"/>
                <w:szCs w:val="18"/>
                <w:color w:val="auto"/>
              </w:rPr>
            </w:pPr>
          </w:p>
        </w:tc>
        <w:tc>
          <w:tcPr>
            <w:tcW w:w="1180" w:type="dxa"/>
            <w:vAlign w:val="bottom"/>
            <w:gridSpan w:val="3"/>
            <w:vMerge w:val="continue"/>
          </w:tcPr>
          <w:p>
            <w:pPr>
              <w:spacing w:after="0"/>
              <w:rPr>
                <w:sz w:val="18"/>
                <w:szCs w:val="18"/>
                <w:color w:val="auto"/>
              </w:rPr>
            </w:pPr>
          </w:p>
        </w:tc>
        <w:tc>
          <w:tcPr>
            <w:tcW w:w="1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9"/>
        </w:trPr>
        <w:tc>
          <w:tcPr>
            <w:tcW w:w="5860" w:type="dxa"/>
            <w:vAlign w:val="bottom"/>
          </w:tcPr>
          <w:p>
            <w:pPr>
              <w:spacing w:after="0"/>
              <w:rPr>
                <w:sz w:val="20"/>
                <w:szCs w:val="20"/>
                <w:color w:val="auto"/>
              </w:rPr>
            </w:pPr>
            <w:r>
              <w:rPr>
                <w:rFonts w:ascii="Arial" w:cs="Arial" w:eastAsia="Arial" w:hAnsi="Arial"/>
                <w:sz w:val="17"/>
                <w:szCs w:val="17"/>
                <w:color w:val="auto"/>
              </w:rPr>
              <w:t>Operating revenue</w:t>
            </w:r>
          </w:p>
        </w:tc>
        <w:tc>
          <w:tcPr>
            <w:tcW w:w="1000" w:type="dxa"/>
            <w:vAlign w:val="bottom"/>
          </w:tcPr>
          <w:p>
            <w:pPr>
              <w:jc w:val="right"/>
              <w:ind w:right="738"/>
              <w:spacing w:after="0"/>
              <w:rPr>
                <w:sz w:val="20"/>
                <w:szCs w:val="20"/>
                <w:color w:val="auto"/>
              </w:rPr>
            </w:pPr>
            <w:r>
              <w:rPr>
                <w:rFonts w:ascii="Arial" w:cs="Arial" w:eastAsia="Arial" w:hAnsi="Arial"/>
                <w:sz w:val="17"/>
                <w:szCs w:val="17"/>
                <w:b w:val="1"/>
                <w:bCs w:val="1"/>
                <w:color w:val="auto"/>
              </w:rPr>
              <w:t>$</w:t>
            </w: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w w:val="91"/>
              </w:rPr>
              <w:t>1,319.1</w:t>
            </w:r>
          </w:p>
        </w:tc>
        <w:tc>
          <w:tcPr>
            <w:tcW w:w="580" w:type="dxa"/>
            <w:vAlign w:val="bottom"/>
            <w:gridSpan w:val="2"/>
          </w:tcPr>
          <w:p>
            <w:pPr>
              <w:jc w:val="right"/>
              <w:ind w:right="258"/>
              <w:spacing w:after="0"/>
              <w:rPr>
                <w:sz w:val="20"/>
                <w:szCs w:val="20"/>
                <w:color w:val="auto"/>
              </w:rPr>
            </w:pPr>
            <w:r>
              <w:rPr>
                <w:rFonts w:ascii="Arial" w:cs="Arial" w:eastAsia="Arial" w:hAnsi="Arial"/>
                <w:sz w:val="17"/>
                <w:szCs w:val="17"/>
                <w:color w:val="auto"/>
              </w:rPr>
              <w:t>$</w:t>
            </w:r>
          </w:p>
        </w:tc>
        <w:tc>
          <w:tcPr>
            <w:tcW w:w="1100" w:type="dxa"/>
            <w:vAlign w:val="bottom"/>
          </w:tcPr>
          <w:p>
            <w:pPr>
              <w:jc w:val="right"/>
              <w:spacing w:after="0"/>
              <w:rPr>
                <w:sz w:val="20"/>
                <w:szCs w:val="20"/>
                <w:color w:val="auto"/>
              </w:rPr>
            </w:pPr>
            <w:r>
              <w:rPr>
                <w:rFonts w:ascii="Arial" w:cs="Arial" w:eastAsia="Arial" w:hAnsi="Arial"/>
                <w:sz w:val="17"/>
                <w:szCs w:val="17"/>
                <w:color w:val="auto"/>
              </w:rPr>
              <w:t>1,244.3</w:t>
            </w:r>
          </w:p>
        </w:tc>
        <w:tc>
          <w:tcPr>
            <w:tcW w:w="0" w:type="dxa"/>
            <w:vAlign w:val="bottom"/>
          </w:tcPr>
          <w:p>
            <w:pPr>
              <w:spacing w:after="0"/>
              <w:rPr>
                <w:sz w:val="1"/>
                <w:szCs w:val="1"/>
                <w:color w:val="auto"/>
              </w:rPr>
            </w:pPr>
          </w:p>
        </w:tc>
      </w:tr>
      <w:tr>
        <w:trPr>
          <w:trHeight w:val="221"/>
        </w:trPr>
        <w:tc>
          <w:tcPr>
            <w:tcW w:w="5860" w:type="dxa"/>
            <w:vAlign w:val="bottom"/>
          </w:tcPr>
          <w:p>
            <w:pPr>
              <w:spacing w:after="0"/>
              <w:rPr>
                <w:sz w:val="20"/>
                <w:szCs w:val="20"/>
                <w:color w:val="auto"/>
              </w:rPr>
            </w:pPr>
            <w:r>
              <w:rPr>
                <w:rFonts w:ascii="Arial" w:cs="Arial" w:eastAsia="Arial" w:hAnsi="Arial"/>
                <w:sz w:val="17"/>
                <w:szCs w:val="17"/>
                <w:color w:val="auto"/>
              </w:rPr>
              <w:t>Operating expenses:</w:t>
            </w:r>
          </w:p>
        </w:tc>
        <w:tc>
          <w:tcPr>
            <w:tcW w:w="10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5860" w:type="dxa"/>
            <w:vAlign w:val="bottom"/>
          </w:tcPr>
          <w:p>
            <w:pPr>
              <w:ind w:left="100"/>
              <w:spacing w:after="0"/>
              <w:rPr>
                <w:sz w:val="20"/>
                <w:szCs w:val="20"/>
                <w:color w:val="auto"/>
              </w:rPr>
            </w:pPr>
            <w:r>
              <w:rPr>
                <w:rFonts w:ascii="Arial" w:cs="Arial" w:eastAsia="Arial" w:hAnsi="Arial"/>
                <w:sz w:val="17"/>
                <w:szCs w:val="17"/>
                <w:color w:val="auto"/>
              </w:rPr>
              <w:t>Cost of services (exclusive of depreciation and amortization below)</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585.2</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542.5</w:t>
            </w:r>
          </w:p>
        </w:tc>
        <w:tc>
          <w:tcPr>
            <w:tcW w:w="0" w:type="dxa"/>
            <w:vAlign w:val="bottom"/>
          </w:tcPr>
          <w:p>
            <w:pPr>
              <w:spacing w:after="0"/>
              <w:rPr>
                <w:sz w:val="1"/>
                <w:szCs w:val="1"/>
                <w:color w:val="auto"/>
              </w:rPr>
            </w:pPr>
          </w:p>
        </w:tc>
      </w:tr>
      <w:tr>
        <w:trPr>
          <w:trHeight w:val="225"/>
        </w:trPr>
        <w:tc>
          <w:tcPr>
            <w:tcW w:w="5860" w:type="dxa"/>
            <w:vAlign w:val="bottom"/>
          </w:tcPr>
          <w:p>
            <w:pPr>
              <w:ind w:left="100"/>
              <w:spacing w:after="0"/>
              <w:rPr>
                <w:sz w:val="20"/>
                <w:szCs w:val="20"/>
                <w:color w:val="auto"/>
              </w:rPr>
            </w:pPr>
            <w:r>
              <w:rPr>
                <w:rFonts w:ascii="Arial" w:cs="Arial" w:eastAsia="Arial" w:hAnsi="Arial"/>
                <w:sz w:val="17"/>
                <w:szCs w:val="17"/>
                <w:color w:val="auto"/>
              </w:rPr>
              <w:t>Selling, general and administrative expenses</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333.1</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318.0</w:t>
            </w:r>
          </w:p>
        </w:tc>
        <w:tc>
          <w:tcPr>
            <w:tcW w:w="0" w:type="dxa"/>
            <w:vAlign w:val="bottom"/>
          </w:tcPr>
          <w:p>
            <w:pPr>
              <w:spacing w:after="0"/>
              <w:rPr>
                <w:sz w:val="1"/>
                <w:szCs w:val="1"/>
                <w:color w:val="auto"/>
              </w:rPr>
            </w:pPr>
          </w:p>
        </w:tc>
      </w:tr>
      <w:tr>
        <w:trPr>
          <w:trHeight w:val="225"/>
        </w:trPr>
        <w:tc>
          <w:tcPr>
            <w:tcW w:w="5860" w:type="dxa"/>
            <w:vAlign w:val="bottom"/>
          </w:tcPr>
          <w:p>
            <w:pPr>
              <w:ind w:left="100"/>
              <w:spacing w:after="0"/>
              <w:rPr>
                <w:sz w:val="20"/>
                <w:szCs w:val="20"/>
                <w:color w:val="auto"/>
              </w:rPr>
            </w:pPr>
            <w:r>
              <w:rPr>
                <w:rFonts w:ascii="Arial" w:cs="Arial" w:eastAsia="Arial" w:hAnsi="Arial"/>
                <w:sz w:val="17"/>
                <w:szCs w:val="17"/>
                <w:color w:val="auto"/>
              </w:rPr>
              <w:t>Depreciation and amortization</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154.4</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140.9</w:t>
            </w:r>
          </w:p>
        </w:tc>
        <w:tc>
          <w:tcPr>
            <w:tcW w:w="0" w:type="dxa"/>
            <w:vAlign w:val="bottom"/>
          </w:tcPr>
          <w:p>
            <w:pPr>
              <w:spacing w:after="0"/>
              <w:rPr>
                <w:sz w:val="1"/>
                <w:szCs w:val="1"/>
                <w:color w:val="auto"/>
              </w:rPr>
            </w:pPr>
          </w:p>
        </w:tc>
      </w:tr>
      <w:tr>
        <w:trPr>
          <w:trHeight w:val="225"/>
        </w:trPr>
        <w:tc>
          <w:tcPr>
            <w:tcW w:w="5860" w:type="dxa"/>
            <w:vAlign w:val="bottom"/>
          </w:tcPr>
          <w:p>
            <w:pPr>
              <w:ind w:left="100"/>
              <w:spacing w:after="0"/>
              <w:rPr>
                <w:sz w:val="20"/>
                <w:szCs w:val="20"/>
                <w:color w:val="auto"/>
              </w:rPr>
            </w:pPr>
            <w:r>
              <w:rPr>
                <w:rFonts w:ascii="Arial" w:cs="Arial" w:eastAsia="Arial" w:hAnsi="Arial"/>
                <w:sz w:val="17"/>
                <w:szCs w:val="17"/>
                <w:color w:val="auto"/>
              </w:rPr>
              <w:t>Total operating expenses</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w w:val="91"/>
              </w:rPr>
              <w:t>1,072.7</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1,001.4</w:t>
            </w:r>
          </w:p>
        </w:tc>
        <w:tc>
          <w:tcPr>
            <w:tcW w:w="0" w:type="dxa"/>
            <w:vAlign w:val="bottom"/>
          </w:tcPr>
          <w:p>
            <w:pPr>
              <w:spacing w:after="0"/>
              <w:rPr>
                <w:sz w:val="1"/>
                <w:szCs w:val="1"/>
                <w:color w:val="auto"/>
              </w:rPr>
            </w:pPr>
          </w:p>
        </w:tc>
      </w:tr>
      <w:tr>
        <w:trPr>
          <w:trHeight w:val="225"/>
        </w:trPr>
        <w:tc>
          <w:tcPr>
            <w:tcW w:w="5860" w:type="dxa"/>
            <w:vAlign w:val="bottom"/>
          </w:tcPr>
          <w:p>
            <w:pPr>
              <w:spacing w:after="0"/>
              <w:rPr>
                <w:sz w:val="20"/>
                <w:szCs w:val="20"/>
                <w:color w:val="auto"/>
              </w:rPr>
            </w:pPr>
            <w:r>
              <w:rPr>
                <w:rFonts w:ascii="Arial" w:cs="Arial" w:eastAsia="Arial" w:hAnsi="Arial"/>
                <w:sz w:val="17"/>
                <w:szCs w:val="17"/>
                <w:color w:val="auto"/>
              </w:rPr>
              <w:t>Operating income</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246.4</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242.9</w:t>
            </w:r>
          </w:p>
        </w:tc>
        <w:tc>
          <w:tcPr>
            <w:tcW w:w="0" w:type="dxa"/>
            <w:vAlign w:val="bottom"/>
          </w:tcPr>
          <w:p>
            <w:pPr>
              <w:spacing w:after="0"/>
              <w:rPr>
                <w:sz w:val="1"/>
                <w:szCs w:val="1"/>
                <w:color w:val="auto"/>
              </w:rPr>
            </w:pPr>
          </w:p>
        </w:tc>
      </w:tr>
      <w:tr>
        <w:trPr>
          <w:trHeight w:val="225"/>
        </w:trPr>
        <w:tc>
          <w:tcPr>
            <w:tcW w:w="5860" w:type="dxa"/>
            <w:vAlign w:val="bottom"/>
          </w:tcPr>
          <w:p>
            <w:pPr>
              <w:ind w:left="100"/>
              <w:spacing w:after="0"/>
              <w:rPr>
                <w:sz w:val="20"/>
                <w:szCs w:val="20"/>
                <w:color w:val="auto"/>
              </w:rPr>
            </w:pPr>
            <w:r>
              <w:rPr>
                <w:rFonts w:ascii="Arial" w:cs="Arial" w:eastAsia="Arial" w:hAnsi="Arial"/>
                <w:sz w:val="17"/>
                <w:szCs w:val="17"/>
                <w:color w:val="auto"/>
              </w:rPr>
              <w:t>Interest expense</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(62.8)</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(47.1)</w:t>
            </w:r>
          </w:p>
        </w:tc>
        <w:tc>
          <w:tcPr>
            <w:tcW w:w="0" w:type="dxa"/>
            <w:vAlign w:val="bottom"/>
          </w:tcPr>
          <w:p>
            <w:pPr>
              <w:spacing w:after="0"/>
              <w:rPr>
                <w:sz w:val="1"/>
                <w:szCs w:val="1"/>
                <w:color w:val="auto"/>
              </w:rPr>
            </w:pPr>
          </w:p>
        </w:tc>
      </w:tr>
      <w:tr>
        <w:trPr>
          <w:trHeight w:val="225"/>
        </w:trPr>
        <w:tc>
          <w:tcPr>
            <w:tcW w:w="5860" w:type="dxa"/>
            <w:vAlign w:val="bottom"/>
          </w:tcPr>
          <w:p>
            <w:pPr>
              <w:ind w:left="100"/>
              <w:spacing w:after="0"/>
              <w:rPr>
                <w:sz w:val="20"/>
                <w:szCs w:val="20"/>
                <w:color w:val="auto"/>
              </w:rPr>
            </w:pPr>
            <w:r>
              <w:rPr>
                <w:rFonts w:ascii="Arial" w:cs="Arial" w:eastAsia="Arial" w:hAnsi="Arial"/>
                <w:sz w:val="17"/>
                <w:szCs w:val="17"/>
                <w:color w:val="auto"/>
              </w:rPr>
              <w:t>Other income, net</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7.1</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23.9</w:t>
            </w:r>
          </w:p>
        </w:tc>
        <w:tc>
          <w:tcPr>
            <w:tcW w:w="0" w:type="dxa"/>
            <w:vAlign w:val="bottom"/>
          </w:tcPr>
          <w:p>
            <w:pPr>
              <w:spacing w:after="0"/>
              <w:rPr>
                <w:sz w:val="1"/>
                <w:szCs w:val="1"/>
                <w:color w:val="auto"/>
              </w:rPr>
            </w:pPr>
          </w:p>
        </w:tc>
      </w:tr>
      <w:tr>
        <w:trPr>
          <w:trHeight w:val="225"/>
        </w:trPr>
        <w:tc>
          <w:tcPr>
            <w:tcW w:w="5860" w:type="dxa"/>
            <w:vAlign w:val="bottom"/>
          </w:tcPr>
          <w:p>
            <w:pPr>
              <w:spacing w:after="0"/>
              <w:rPr>
                <w:sz w:val="20"/>
                <w:szCs w:val="20"/>
                <w:color w:val="auto"/>
              </w:rPr>
            </w:pPr>
            <w:r>
              <w:rPr>
                <w:rFonts w:ascii="Arial" w:cs="Arial" w:eastAsia="Arial" w:hAnsi="Arial"/>
                <w:sz w:val="17"/>
                <w:szCs w:val="17"/>
                <w:color w:val="auto"/>
              </w:rPr>
              <w:t>Consolidated income before income taxes</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190.7</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219.7</w:t>
            </w:r>
          </w:p>
        </w:tc>
        <w:tc>
          <w:tcPr>
            <w:tcW w:w="0" w:type="dxa"/>
            <w:vAlign w:val="bottom"/>
          </w:tcPr>
          <w:p>
            <w:pPr>
              <w:spacing w:after="0"/>
              <w:rPr>
                <w:sz w:val="1"/>
                <w:szCs w:val="1"/>
                <w:color w:val="auto"/>
              </w:rPr>
            </w:pPr>
          </w:p>
        </w:tc>
      </w:tr>
      <w:tr>
        <w:trPr>
          <w:trHeight w:val="225"/>
        </w:trPr>
        <w:tc>
          <w:tcPr>
            <w:tcW w:w="5860" w:type="dxa"/>
            <w:vAlign w:val="bottom"/>
          </w:tcPr>
          <w:p>
            <w:pPr>
              <w:ind w:left="100"/>
              <w:spacing w:after="0"/>
              <w:rPr>
                <w:sz w:val="20"/>
                <w:szCs w:val="20"/>
                <w:color w:val="auto"/>
              </w:rPr>
            </w:pPr>
            <w:r>
              <w:rPr>
                <w:rFonts w:ascii="Arial" w:cs="Arial" w:eastAsia="Arial" w:hAnsi="Arial"/>
                <w:sz w:val="17"/>
                <w:szCs w:val="17"/>
                <w:color w:val="auto"/>
              </w:rPr>
              <w:t>Provision for income taxes</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(26.4)</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(52.8)</w:t>
            </w:r>
          </w:p>
        </w:tc>
        <w:tc>
          <w:tcPr>
            <w:tcW w:w="0" w:type="dxa"/>
            <w:vAlign w:val="bottom"/>
          </w:tcPr>
          <w:p>
            <w:pPr>
              <w:spacing w:after="0"/>
              <w:rPr>
                <w:sz w:val="1"/>
                <w:szCs w:val="1"/>
                <w:color w:val="auto"/>
              </w:rPr>
            </w:pPr>
          </w:p>
        </w:tc>
      </w:tr>
      <w:tr>
        <w:trPr>
          <w:trHeight w:val="227"/>
        </w:trPr>
        <w:tc>
          <w:tcPr>
            <w:tcW w:w="5860" w:type="dxa"/>
            <w:vAlign w:val="bottom"/>
          </w:tcPr>
          <w:p>
            <w:pPr>
              <w:spacing w:after="0"/>
              <w:rPr>
                <w:sz w:val="20"/>
                <w:szCs w:val="20"/>
                <w:color w:val="auto"/>
              </w:rPr>
            </w:pPr>
            <w:r>
              <w:rPr>
                <w:rFonts w:ascii="Arial" w:cs="Arial" w:eastAsia="Arial" w:hAnsi="Arial"/>
                <w:sz w:val="17"/>
                <w:szCs w:val="17"/>
                <w:color w:val="auto"/>
              </w:rPr>
              <w:t>Consolidated net income</w:t>
            </w:r>
          </w:p>
        </w:tc>
        <w:tc>
          <w:tcPr>
            <w:tcW w:w="100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164.3</w:t>
            </w: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166.9</w:t>
            </w:r>
          </w:p>
        </w:tc>
        <w:tc>
          <w:tcPr>
            <w:tcW w:w="0" w:type="dxa"/>
            <w:vAlign w:val="bottom"/>
          </w:tcPr>
          <w:p>
            <w:pPr>
              <w:spacing w:after="0"/>
              <w:rPr>
                <w:sz w:val="1"/>
                <w:szCs w:val="1"/>
                <w:color w:val="auto"/>
              </w:rPr>
            </w:pPr>
          </w:p>
        </w:tc>
      </w:tr>
      <w:tr>
        <w:trPr>
          <w:trHeight w:val="195"/>
        </w:trPr>
        <w:tc>
          <w:tcPr>
            <w:tcW w:w="5860" w:type="dxa"/>
            <w:vAlign w:val="bottom"/>
          </w:tcPr>
          <w:p>
            <w:pPr>
              <w:ind w:left="100"/>
              <w:spacing w:after="0"/>
              <w:rPr>
                <w:sz w:val="20"/>
                <w:szCs w:val="20"/>
                <w:color w:val="auto"/>
              </w:rPr>
            </w:pPr>
            <w:r>
              <w:rPr>
                <w:rFonts w:ascii="Arial" w:cs="Arial" w:eastAsia="Arial" w:hAnsi="Arial"/>
                <w:sz w:val="17"/>
                <w:szCs w:val="17"/>
                <w:color w:val="auto"/>
                <w:w w:val="98"/>
              </w:rPr>
              <w:t>Less: Net income attributable to noncontrolling interests including redeemable</w:t>
            </w:r>
          </w:p>
        </w:tc>
        <w:tc>
          <w:tcPr>
            <w:tcW w:w="1000" w:type="dxa"/>
            <w:vAlign w:val="bottom"/>
          </w:tcPr>
          <w:p>
            <w:pPr>
              <w:spacing w:after="0"/>
              <w:rPr>
                <w:sz w:val="16"/>
                <w:szCs w:val="16"/>
                <w:color w:val="auto"/>
              </w:rPr>
            </w:pPr>
          </w:p>
        </w:tc>
        <w:tc>
          <w:tcPr>
            <w:tcW w:w="60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(2.1)</w:t>
            </w:r>
          </w:p>
        </w:tc>
        <w:tc>
          <w:tcPr>
            <w:tcW w:w="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5860" w:type="dxa"/>
            <w:vAlign w:val="bottom"/>
          </w:tcPr>
          <w:p>
            <w:pPr>
              <w:ind w:left="100"/>
              <w:spacing w:after="0"/>
              <w:rPr>
                <w:sz w:val="20"/>
                <w:szCs w:val="20"/>
                <w:color w:val="auto"/>
              </w:rPr>
            </w:pPr>
            <w:r>
              <w:rPr>
                <w:rFonts w:ascii="Arial" w:cs="Arial" w:eastAsia="Arial" w:hAnsi="Arial"/>
                <w:sz w:val="17"/>
                <w:szCs w:val="17"/>
                <w:color w:val="auto"/>
              </w:rPr>
              <w:t>noncontrolling interests</w:t>
            </w:r>
          </w:p>
        </w:tc>
        <w:tc>
          <w:tcPr>
            <w:tcW w:w="1000" w:type="dxa"/>
            <w:vAlign w:val="bottom"/>
          </w:tcPr>
          <w:p>
            <w:pPr>
              <w:spacing w:after="0"/>
              <w:rPr>
                <w:sz w:val="19"/>
                <w:szCs w:val="19"/>
                <w:color w:val="auto"/>
              </w:rPr>
            </w:pPr>
          </w:p>
        </w:tc>
        <w:tc>
          <w:tcPr>
            <w:tcW w:w="600" w:type="dxa"/>
            <w:vAlign w:val="bottom"/>
            <w:vMerge w:val="continue"/>
          </w:tcPr>
          <w:p>
            <w:pPr>
              <w:spacing w:after="0"/>
              <w:rPr>
                <w:sz w:val="19"/>
                <w:szCs w:val="19"/>
                <w:color w:val="auto"/>
              </w:rPr>
            </w:pPr>
          </w:p>
        </w:tc>
        <w:tc>
          <w:tcPr>
            <w:tcW w:w="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Arial" w:cs="Arial" w:eastAsia="Arial" w:hAnsi="Arial"/>
                <w:sz w:val="17"/>
                <w:szCs w:val="17"/>
                <w:color w:val="auto"/>
              </w:rPr>
              <w:t>(1.2)</w:t>
            </w:r>
          </w:p>
        </w:tc>
        <w:tc>
          <w:tcPr>
            <w:tcW w:w="0" w:type="dxa"/>
            <w:vAlign w:val="bottom"/>
          </w:tcPr>
          <w:p>
            <w:pPr>
              <w:spacing w:after="0"/>
              <w:rPr>
                <w:sz w:val="1"/>
                <w:szCs w:val="1"/>
                <w:color w:val="auto"/>
              </w:rPr>
            </w:pPr>
          </w:p>
        </w:tc>
      </w:tr>
      <w:tr>
        <w:trPr>
          <w:trHeight w:val="231"/>
        </w:trPr>
        <w:tc>
          <w:tcPr>
            <w:tcW w:w="5860" w:type="dxa"/>
            <w:vAlign w:val="bottom"/>
          </w:tcPr>
          <w:p>
            <w:pPr>
              <w:spacing w:after="0"/>
              <w:rPr>
                <w:sz w:val="20"/>
                <w:szCs w:val="20"/>
                <w:color w:val="auto"/>
              </w:rPr>
            </w:pPr>
            <w:r>
              <w:rPr>
                <w:rFonts w:ascii="Arial" w:cs="Arial" w:eastAsia="Arial" w:hAnsi="Arial"/>
                <w:sz w:val="17"/>
                <w:szCs w:val="17"/>
                <w:color w:val="auto"/>
              </w:rPr>
              <w:t>Net income attributable to Equifax</w:t>
            </w:r>
          </w:p>
        </w:tc>
        <w:tc>
          <w:tcPr>
            <w:tcW w:w="1000" w:type="dxa"/>
            <w:vAlign w:val="bottom"/>
          </w:tcPr>
          <w:p>
            <w:pPr>
              <w:jc w:val="right"/>
              <w:ind w:right="738"/>
              <w:spacing w:after="0"/>
              <w:rPr>
                <w:sz w:val="20"/>
                <w:szCs w:val="20"/>
                <w:color w:val="auto"/>
              </w:rPr>
            </w:pPr>
            <w:r>
              <w:rPr>
                <w:rFonts w:ascii="Arial" w:cs="Arial" w:eastAsia="Arial" w:hAnsi="Arial"/>
                <w:sz w:val="17"/>
                <w:szCs w:val="17"/>
                <w:b w:val="1"/>
                <w:bCs w:val="1"/>
                <w:color w:val="auto"/>
              </w:rPr>
              <w:t>$</w:t>
            </w:r>
          </w:p>
        </w:tc>
        <w:tc>
          <w:tcPr>
            <w:tcW w:w="600" w:type="dxa"/>
            <w:vAlign w:val="bottom"/>
          </w:tcPr>
          <w:p>
            <w:pPr>
              <w:jc w:val="right"/>
              <w:spacing w:after="0"/>
              <w:rPr>
                <w:sz w:val="20"/>
                <w:szCs w:val="20"/>
                <w:color w:val="auto"/>
              </w:rPr>
            </w:pPr>
            <w:r>
              <w:rPr>
                <w:rFonts w:ascii="Arial" w:cs="Arial" w:eastAsia="Arial" w:hAnsi="Arial"/>
                <w:sz w:val="17"/>
                <w:szCs w:val="17"/>
                <w:b w:val="1"/>
                <w:bCs w:val="1"/>
                <w:color w:val="auto"/>
              </w:rPr>
              <w:t>162.2</w:t>
            </w:r>
          </w:p>
        </w:tc>
        <w:tc>
          <w:tcPr>
            <w:tcW w:w="580" w:type="dxa"/>
            <w:vAlign w:val="bottom"/>
            <w:gridSpan w:val="2"/>
          </w:tcPr>
          <w:p>
            <w:pPr>
              <w:jc w:val="right"/>
              <w:ind w:right="238"/>
              <w:spacing w:after="0"/>
              <w:rPr>
                <w:sz w:val="20"/>
                <w:szCs w:val="20"/>
                <w:color w:val="auto"/>
              </w:rPr>
            </w:pPr>
            <w:r>
              <w:rPr>
                <w:rFonts w:ascii="Arial" w:cs="Arial" w:eastAsia="Arial" w:hAnsi="Arial"/>
                <w:sz w:val="17"/>
                <w:szCs w:val="17"/>
                <w:color w:val="auto"/>
              </w:rPr>
              <w:t>$</w:t>
            </w:r>
          </w:p>
        </w:tc>
        <w:tc>
          <w:tcPr>
            <w:tcW w:w="1100" w:type="dxa"/>
            <w:vAlign w:val="bottom"/>
          </w:tcPr>
          <w:p>
            <w:pPr>
              <w:jc w:val="right"/>
              <w:spacing w:after="0"/>
              <w:rPr>
                <w:sz w:val="20"/>
                <w:szCs w:val="20"/>
                <w:color w:val="auto"/>
              </w:rPr>
            </w:pPr>
            <w:r>
              <w:rPr>
                <w:rFonts w:ascii="Arial" w:cs="Arial" w:eastAsia="Arial" w:hAnsi="Arial"/>
                <w:sz w:val="17"/>
                <w:szCs w:val="17"/>
                <w:color w:val="auto"/>
              </w:rPr>
              <w:t>165.7</w:t>
            </w:r>
          </w:p>
        </w:tc>
        <w:tc>
          <w:tcPr>
            <w:tcW w:w="0" w:type="dxa"/>
            <w:vAlign w:val="bottom"/>
          </w:tcPr>
          <w:p>
            <w:pPr>
              <w:spacing w:after="0"/>
              <w:rPr>
                <w:sz w:val="1"/>
                <w:szCs w:val="1"/>
                <w:color w:val="auto"/>
              </w:rPr>
            </w:pPr>
          </w:p>
        </w:tc>
      </w:tr>
      <w:tr>
        <w:trPr>
          <w:trHeight w:val="25"/>
        </w:trPr>
        <w:tc>
          <w:tcPr>
            <w:tcW w:w="5860" w:type="dxa"/>
            <w:vAlign w:val="bottom"/>
            <w:vMerge w:val="restart"/>
          </w:tcPr>
          <w:p>
            <w:pPr>
              <w:spacing w:after="0"/>
              <w:rPr>
                <w:sz w:val="20"/>
                <w:szCs w:val="20"/>
                <w:color w:val="auto"/>
              </w:rPr>
            </w:pPr>
            <w:r>
              <w:rPr>
                <w:rFonts w:ascii="Arial" w:cs="Arial" w:eastAsia="Arial" w:hAnsi="Arial"/>
                <w:sz w:val="17"/>
                <w:szCs w:val="17"/>
                <w:color w:val="auto"/>
              </w:rPr>
              <w:t>Basic earnings per common share:</w:t>
            </w:r>
          </w:p>
        </w:tc>
        <w:tc>
          <w:tcPr>
            <w:tcW w:w="1000" w:type="dxa"/>
            <w:vAlign w:val="bottom"/>
            <w:tcBorders>
              <w:top w:val="single" w:sz="8" w:color="auto"/>
              <w:bottom w:val="single" w:sz="8" w:color="auto"/>
            </w:tcBorders>
          </w:tcPr>
          <w:p>
            <w:pPr>
              <w:spacing w:after="0"/>
              <w:rPr>
                <w:sz w:val="2"/>
                <w:szCs w:val="2"/>
                <w:color w:val="auto"/>
              </w:rPr>
            </w:pPr>
          </w:p>
        </w:tc>
        <w:tc>
          <w:tcPr>
            <w:tcW w:w="60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top w:val="single" w:sz="8" w:color="auto"/>
              <w:bottom w:val="single" w:sz="8" w:color="auto"/>
            </w:tcBorders>
          </w:tcPr>
          <w:p>
            <w:pPr>
              <w:spacing w:after="0"/>
              <w:rPr>
                <w:sz w:val="2"/>
                <w:szCs w:val="2"/>
                <w:color w:val="auto"/>
              </w:rPr>
            </w:pPr>
          </w:p>
        </w:tc>
        <w:tc>
          <w:tcPr>
            <w:tcW w:w="110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2"/>
        </w:trPr>
        <w:tc>
          <w:tcPr>
            <w:tcW w:w="5860" w:type="dxa"/>
            <w:vAlign w:val="bottom"/>
            <w:vMerge w:val="continue"/>
          </w:tcPr>
          <w:p>
            <w:pPr>
              <w:spacing w:after="0"/>
              <w:rPr>
                <w:sz w:val="18"/>
                <w:szCs w:val="18"/>
                <w:color w:val="auto"/>
              </w:rPr>
            </w:pPr>
          </w:p>
        </w:tc>
        <w:tc>
          <w:tcPr>
            <w:tcW w:w="1000" w:type="dxa"/>
            <w:vAlign w:val="bottom"/>
            <w:vMerge w:val="restart"/>
          </w:tcPr>
          <w:p>
            <w:pPr>
              <w:jc w:val="right"/>
              <w:ind w:right="778"/>
              <w:spacing w:after="0"/>
              <w:rPr>
                <w:sz w:val="20"/>
                <w:szCs w:val="20"/>
                <w:color w:val="auto"/>
              </w:rPr>
            </w:pPr>
            <w:r>
              <w:rPr>
                <w:rFonts w:ascii="Arial" w:cs="Arial" w:eastAsia="Arial" w:hAnsi="Arial"/>
                <w:sz w:val="17"/>
                <w:szCs w:val="17"/>
                <w:b w:val="1"/>
                <w:bCs w:val="1"/>
                <w:color w:val="auto"/>
              </w:rPr>
              <w:t>$</w:t>
            </w:r>
          </w:p>
        </w:tc>
        <w:tc>
          <w:tcPr>
            <w:tcW w:w="60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1.32</w:t>
            </w:r>
          </w:p>
        </w:tc>
        <w:tc>
          <w:tcPr>
            <w:tcW w:w="580" w:type="dxa"/>
            <w:vAlign w:val="bottom"/>
            <w:gridSpan w:val="2"/>
            <w:vMerge w:val="restart"/>
          </w:tcPr>
          <w:p>
            <w:pPr>
              <w:jc w:val="right"/>
              <w:ind w:right="298"/>
              <w:spacing w:after="0"/>
              <w:rPr>
                <w:sz w:val="20"/>
                <w:szCs w:val="20"/>
                <w:color w:val="auto"/>
              </w:rPr>
            </w:pPr>
            <w:r>
              <w:rPr>
                <w:rFonts w:ascii="Arial" w:cs="Arial" w:eastAsia="Arial" w:hAnsi="Arial"/>
                <w:sz w:val="17"/>
                <w:szCs w:val="17"/>
                <w:color w:val="auto"/>
              </w:rPr>
              <w:t>$</w:t>
            </w:r>
          </w:p>
        </w:tc>
        <w:tc>
          <w:tcPr>
            <w:tcW w:w="1100" w:type="dxa"/>
            <w:vAlign w:val="bottom"/>
            <w:vMerge w:val="restart"/>
          </w:tcPr>
          <w:p>
            <w:pPr>
              <w:jc w:val="right"/>
              <w:spacing w:after="0"/>
              <w:rPr>
                <w:sz w:val="20"/>
                <w:szCs w:val="20"/>
                <w:color w:val="auto"/>
              </w:rPr>
            </w:pPr>
            <w:r>
              <w:rPr>
                <w:rFonts w:ascii="Arial" w:cs="Arial" w:eastAsia="Arial" w:hAnsi="Arial"/>
                <w:sz w:val="17"/>
                <w:szCs w:val="17"/>
                <w:color w:val="auto"/>
              </w:rPr>
              <w:t>1.35</w:t>
            </w:r>
          </w:p>
        </w:tc>
        <w:tc>
          <w:tcPr>
            <w:tcW w:w="0" w:type="dxa"/>
            <w:vAlign w:val="bottom"/>
          </w:tcPr>
          <w:p>
            <w:pPr>
              <w:spacing w:after="0"/>
              <w:rPr>
                <w:sz w:val="1"/>
                <w:szCs w:val="1"/>
                <w:color w:val="auto"/>
              </w:rPr>
            </w:pPr>
          </w:p>
        </w:tc>
      </w:tr>
      <w:tr>
        <w:trPr>
          <w:trHeight w:val="233"/>
        </w:trPr>
        <w:tc>
          <w:tcPr>
            <w:tcW w:w="5860" w:type="dxa"/>
            <w:vAlign w:val="bottom"/>
          </w:tcPr>
          <w:p>
            <w:pPr>
              <w:ind w:left="100"/>
              <w:spacing w:after="0"/>
              <w:rPr>
                <w:sz w:val="20"/>
                <w:szCs w:val="20"/>
                <w:color w:val="auto"/>
              </w:rPr>
            </w:pPr>
            <w:r>
              <w:rPr>
                <w:rFonts w:ascii="Arial" w:cs="Arial" w:eastAsia="Arial" w:hAnsi="Arial"/>
                <w:sz w:val="17"/>
                <w:szCs w:val="17"/>
                <w:color w:val="auto"/>
              </w:rPr>
              <w:t>Net income attributable to Equifax</w:t>
            </w:r>
          </w:p>
        </w:tc>
        <w:tc>
          <w:tcPr>
            <w:tcW w:w="1000" w:type="dxa"/>
            <w:vAlign w:val="bottom"/>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580" w:type="dxa"/>
            <w:vAlign w:val="bottom"/>
            <w:gridSpan w:val="2"/>
            <w:vMerge w:val="continue"/>
          </w:tcPr>
          <w:p>
            <w:pPr>
              <w:spacing w:after="0"/>
              <w:rPr>
                <w:sz w:val="20"/>
                <w:szCs w:val="20"/>
                <w:color w:val="auto"/>
              </w:rPr>
            </w:pPr>
          </w:p>
        </w:tc>
        <w:tc>
          <w:tcPr>
            <w:tcW w:w="11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5860" w:type="dxa"/>
            <w:vAlign w:val="bottom"/>
          </w:tcPr>
          <w:p>
            <w:pPr>
              <w:spacing w:after="0"/>
              <w:rPr>
                <w:sz w:val="2"/>
                <w:szCs w:val="2"/>
                <w:color w:val="auto"/>
              </w:rPr>
            </w:pPr>
          </w:p>
        </w:tc>
        <w:tc>
          <w:tcPr>
            <w:tcW w:w="1000" w:type="dxa"/>
            <w:vAlign w:val="bottom"/>
            <w:tcBorders>
              <w:top w:val="single" w:sz="8" w:color="auto"/>
              <w:bottom w:val="single" w:sz="8" w:color="auto"/>
            </w:tcBorders>
          </w:tcPr>
          <w:p>
            <w:pPr>
              <w:spacing w:after="0"/>
              <w:rPr>
                <w:sz w:val="2"/>
                <w:szCs w:val="2"/>
                <w:color w:val="auto"/>
              </w:rPr>
            </w:pPr>
          </w:p>
        </w:tc>
        <w:tc>
          <w:tcPr>
            <w:tcW w:w="60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top w:val="single" w:sz="8" w:color="auto"/>
              <w:bottom w:val="single" w:sz="8" w:color="auto"/>
            </w:tcBorders>
          </w:tcPr>
          <w:p>
            <w:pPr>
              <w:spacing w:after="0"/>
              <w:rPr>
                <w:sz w:val="2"/>
                <w:szCs w:val="2"/>
                <w:color w:val="auto"/>
              </w:rPr>
            </w:pPr>
          </w:p>
        </w:tc>
        <w:tc>
          <w:tcPr>
            <w:tcW w:w="110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5860" w:type="dxa"/>
            <w:vAlign w:val="bottom"/>
          </w:tcPr>
          <w:p>
            <w:pPr>
              <w:spacing w:after="0"/>
              <w:rPr>
                <w:sz w:val="20"/>
                <w:szCs w:val="20"/>
                <w:color w:val="auto"/>
              </w:rPr>
            </w:pPr>
            <w:r>
              <w:rPr>
                <w:rFonts w:ascii="Arial" w:cs="Arial" w:eastAsia="Arial" w:hAnsi="Arial"/>
                <w:sz w:val="17"/>
                <w:szCs w:val="17"/>
                <w:color w:val="auto"/>
              </w:rPr>
              <w:t>Weighted-average shares used in computing basic earnings per share</w:t>
            </w:r>
          </w:p>
        </w:tc>
        <w:tc>
          <w:tcPr>
            <w:tcW w:w="1000" w:type="dxa"/>
            <w:vAlign w:val="bottom"/>
            <w:tcBorders>
              <w:bottom w:val="single" w:sz="8" w:color="auto"/>
            </w:tcBorders>
          </w:tcPr>
          <w:p>
            <w:pPr>
              <w:spacing w:after="0"/>
              <w:rPr>
                <w:sz w:val="19"/>
                <w:szCs w:val="19"/>
                <w:color w:val="auto"/>
              </w:rPr>
            </w:pPr>
          </w:p>
        </w:tc>
        <w:tc>
          <w:tcPr>
            <w:tcW w:w="600" w:type="dxa"/>
            <w:vAlign w:val="bottom"/>
            <w:tcBorders>
              <w:bottom w:val="single" w:sz="8" w:color="auto"/>
            </w:tcBorders>
          </w:tcPr>
          <w:p>
            <w:pPr>
              <w:jc w:val="right"/>
              <w:spacing w:after="0"/>
              <w:rPr>
                <w:sz w:val="20"/>
                <w:szCs w:val="20"/>
                <w:color w:val="auto"/>
              </w:rPr>
            </w:pPr>
            <w:r>
              <w:rPr>
                <w:rFonts w:ascii="Arial" w:cs="Arial" w:eastAsia="Arial" w:hAnsi="Arial"/>
                <w:sz w:val="17"/>
                <w:szCs w:val="17"/>
                <w:b w:val="1"/>
                <w:bCs w:val="1"/>
                <w:color w:val="auto"/>
              </w:rPr>
              <w:t>123.0</w:t>
            </w:r>
          </w:p>
        </w:tc>
        <w:tc>
          <w:tcPr>
            <w:tcW w:w="60" w:type="dxa"/>
            <w:vAlign w:val="bottom"/>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122.4</w:t>
            </w:r>
          </w:p>
        </w:tc>
        <w:tc>
          <w:tcPr>
            <w:tcW w:w="0" w:type="dxa"/>
            <w:vAlign w:val="bottom"/>
          </w:tcPr>
          <w:p>
            <w:pPr>
              <w:spacing w:after="0"/>
              <w:rPr>
                <w:sz w:val="1"/>
                <w:szCs w:val="1"/>
                <w:color w:val="auto"/>
              </w:rPr>
            </w:pPr>
          </w:p>
        </w:tc>
      </w:tr>
      <w:tr>
        <w:trPr>
          <w:trHeight w:val="25"/>
        </w:trPr>
        <w:tc>
          <w:tcPr>
            <w:tcW w:w="5860" w:type="dxa"/>
            <w:vAlign w:val="bottom"/>
            <w:vMerge w:val="restart"/>
          </w:tcPr>
          <w:p>
            <w:pPr>
              <w:spacing w:after="0"/>
              <w:rPr>
                <w:sz w:val="20"/>
                <w:szCs w:val="20"/>
                <w:color w:val="auto"/>
              </w:rPr>
            </w:pPr>
            <w:r>
              <w:rPr>
                <w:rFonts w:ascii="Arial" w:cs="Arial" w:eastAsia="Arial" w:hAnsi="Arial"/>
                <w:sz w:val="17"/>
                <w:szCs w:val="17"/>
                <w:color w:val="auto"/>
              </w:rPr>
              <w:t>Diluted earnings per common share:</w:t>
            </w:r>
          </w:p>
        </w:tc>
        <w:tc>
          <w:tcPr>
            <w:tcW w:w="100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2"/>
        </w:trPr>
        <w:tc>
          <w:tcPr>
            <w:tcW w:w="5860" w:type="dxa"/>
            <w:vAlign w:val="bottom"/>
            <w:vMerge w:val="continue"/>
          </w:tcPr>
          <w:p>
            <w:pPr>
              <w:spacing w:after="0"/>
              <w:rPr>
                <w:sz w:val="18"/>
                <w:szCs w:val="18"/>
                <w:color w:val="auto"/>
              </w:rPr>
            </w:pPr>
          </w:p>
        </w:tc>
        <w:tc>
          <w:tcPr>
            <w:tcW w:w="1000" w:type="dxa"/>
            <w:vAlign w:val="bottom"/>
            <w:vMerge w:val="restart"/>
          </w:tcPr>
          <w:p>
            <w:pPr>
              <w:jc w:val="right"/>
              <w:ind w:right="778"/>
              <w:spacing w:after="0"/>
              <w:rPr>
                <w:sz w:val="20"/>
                <w:szCs w:val="20"/>
                <w:color w:val="auto"/>
              </w:rPr>
            </w:pPr>
            <w:r>
              <w:rPr>
                <w:rFonts w:ascii="Arial" w:cs="Arial" w:eastAsia="Arial" w:hAnsi="Arial"/>
                <w:sz w:val="17"/>
                <w:szCs w:val="17"/>
                <w:b w:val="1"/>
                <w:bCs w:val="1"/>
                <w:color w:val="auto"/>
              </w:rPr>
              <w:t>$</w:t>
            </w:r>
          </w:p>
        </w:tc>
        <w:tc>
          <w:tcPr>
            <w:tcW w:w="60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1.31</w:t>
            </w:r>
          </w:p>
        </w:tc>
        <w:tc>
          <w:tcPr>
            <w:tcW w:w="580" w:type="dxa"/>
            <w:vAlign w:val="bottom"/>
            <w:gridSpan w:val="2"/>
            <w:vMerge w:val="restart"/>
          </w:tcPr>
          <w:p>
            <w:pPr>
              <w:jc w:val="right"/>
              <w:ind w:right="298"/>
              <w:spacing w:after="0"/>
              <w:rPr>
                <w:sz w:val="20"/>
                <w:szCs w:val="20"/>
                <w:color w:val="auto"/>
              </w:rPr>
            </w:pPr>
            <w:r>
              <w:rPr>
                <w:rFonts w:ascii="Arial" w:cs="Arial" w:eastAsia="Arial" w:hAnsi="Arial"/>
                <w:sz w:val="17"/>
                <w:szCs w:val="17"/>
                <w:color w:val="auto"/>
              </w:rPr>
              <w:t>$</w:t>
            </w:r>
          </w:p>
        </w:tc>
        <w:tc>
          <w:tcPr>
            <w:tcW w:w="1100" w:type="dxa"/>
            <w:vAlign w:val="bottom"/>
            <w:vMerge w:val="restart"/>
          </w:tcPr>
          <w:p>
            <w:pPr>
              <w:jc w:val="right"/>
              <w:spacing w:after="0"/>
              <w:rPr>
                <w:sz w:val="20"/>
                <w:szCs w:val="20"/>
                <w:color w:val="auto"/>
              </w:rPr>
            </w:pPr>
            <w:r>
              <w:rPr>
                <w:rFonts w:ascii="Arial" w:cs="Arial" w:eastAsia="Arial" w:hAnsi="Arial"/>
                <w:sz w:val="17"/>
                <w:szCs w:val="17"/>
                <w:color w:val="auto"/>
              </w:rPr>
              <w:t>1.34</w:t>
            </w:r>
          </w:p>
        </w:tc>
        <w:tc>
          <w:tcPr>
            <w:tcW w:w="0" w:type="dxa"/>
            <w:vAlign w:val="bottom"/>
          </w:tcPr>
          <w:p>
            <w:pPr>
              <w:spacing w:after="0"/>
              <w:rPr>
                <w:sz w:val="1"/>
                <w:szCs w:val="1"/>
                <w:color w:val="auto"/>
              </w:rPr>
            </w:pPr>
          </w:p>
        </w:tc>
      </w:tr>
      <w:tr>
        <w:trPr>
          <w:trHeight w:val="233"/>
        </w:trPr>
        <w:tc>
          <w:tcPr>
            <w:tcW w:w="5860" w:type="dxa"/>
            <w:vAlign w:val="bottom"/>
          </w:tcPr>
          <w:p>
            <w:pPr>
              <w:ind w:left="100"/>
              <w:spacing w:after="0"/>
              <w:rPr>
                <w:sz w:val="20"/>
                <w:szCs w:val="20"/>
                <w:color w:val="auto"/>
              </w:rPr>
            </w:pPr>
            <w:r>
              <w:rPr>
                <w:rFonts w:ascii="Arial" w:cs="Arial" w:eastAsia="Arial" w:hAnsi="Arial"/>
                <w:sz w:val="17"/>
                <w:szCs w:val="17"/>
                <w:color w:val="auto"/>
              </w:rPr>
              <w:t>Net income attributable to Equifax</w:t>
            </w:r>
          </w:p>
        </w:tc>
        <w:tc>
          <w:tcPr>
            <w:tcW w:w="1000" w:type="dxa"/>
            <w:vAlign w:val="bottom"/>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580" w:type="dxa"/>
            <w:vAlign w:val="bottom"/>
            <w:gridSpan w:val="2"/>
            <w:vMerge w:val="continue"/>
          </w:tcPr>
          <w:p>
            <w:pPr>
              <w:spacing w:after="0"/>
              <w:rPr>
                <w:sz w:val="20"/>
                <w:szCs w:val="20"/>
                <w:color w:val="auto"/>
              </w:rPr>
            </w:pPr>
          </w:p>
        </w:tc>
        <w:tc>
          <w:tcPr>
            <w:tcW w:w="11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5860" w:type="dxa"/>
            <w:vAlign w:val="bottom"/>
          </w:tcPr>
          <w:p>
            <w:pPr>
              <w:spacing w:after="0"/>
              <w:rPr>
                <w:sz w:val="2"/>
                <w:szCs w:val="2"/>
                <w:color w:val="auto"/>
              </w:rPr>
            </w:pPr>
          </w:p>
        </w:tc>
        <w:tc>
          <w:tcPr>
            <w:tcW w:w="1000" w:type="dxa"/>
            <w:vAlign w:val="bottom"/>
            <w:tcBorders>
              <w:top w:val="single" w:sz="8" w:color="auto"/>
              <w:bottom w:val="single" w:sz="8" w:color="auto"/>
            </w:tcBorders>
          </w:tcPr>
          <w:p>
            <w:pPr>
              <w:spacing w:after="0"/>
              <w:rPr>
                <w:sz w:val="2"/>
                <w:szCs w:val="2"/>
                <w:color w:val="auto"/>
              </w:rPr>
            </w:pPr>
          </w:p>
        </w:tc>
        <w:tc>
          <w:tcPr>
            <w:tcW w:w="60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top w:val="single" w:sz="8" w:color="auto"/>
              <w:bottom w:val="single" w:sz="8" w:color="auto"/>
            </w:tcBorders>
          </w:tcPr>
          <w:p>
            <w:pPr>
              <w:spacing w:after="0"/>
              <w:rPr>
                <w:sz w:val="2"/>
                <w:szCs w:val="2"/>
                <w:color w:val="auto"/>
              </w:rPr>
            </w:pPr>
          </w:p>
        </w:tc>
        <w:tc>
          <w:tcPr>
            <w:tcW w:w="110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5860" w:type="dxa"/>
            <w:vAlign w:val="bottom"/>
          </w:tcPr>
          <w:p>
            <w:pPr>
              <w:spacing w:after="0"/>
              <w:rPr>
                <w:sz w:val="20"/>
                <w:szCs w:val="20"/>
                <w:color w:val="auto"/>
              </w:rPr>
            </w:pPr>
            <w:r>
              <w:rPr>
                <w:rFonts w:ascii="Arial" w:cs="Arial" w:eastAsia="Arial" w:hAnsi="Arial"/>
                <w:sz w:val="17"/>
                <w:szCs w:val="17"/>
                <w:color w:val="auto"/>
              </w:rPr>
              <w:t>Weighted-average shares used in computing diluted earnings per share</w:t>
            </w:r>
          </w:p>
        </w:tc>
        <w:tc>
          <w:tcPr>
            <w:tcW w:w="1000" w:type="dxa"/>
            <w:vAlign w:val="bottom"/>
            <w:tcBorders>
              <w:bottom w:val="single" w:sz="8" w:color="auto"/>
            </w:tcBorders>
          </w:tcPr>
          <w:p>
            <w:pPr>
              <w:spacing w:after="0"/>
              <w:rPr>
                <w:sz w:val="19"/>
                <w:szCs w:val="19"/>
                <w:color w:val="auto"/>
              </w:rPr>
            </w:pPr>
          </w:p>
        </w:tc>
        <w:tc>
          <w:tcPr>
            <w:tcW w:w="600" w:type="dxa"/>
            <w:vAlign w:val="bottom"/>
            <w:tcBorders>
              <w:bottom w:val="single" w:sz="8" w:color="auto"/>
            </w:tcBorders>
          </w:tcPr>
          <w:p>
            <w:pPr>
              <w:jc w:val="right"/>
              <w:spacing w:after="0"/>
              <w:rPr>
                <w:sz w:val="20"/>
                <w:szCs w:val="20"/>
                <w:color w:val="auto"/>
              </w:rPr>
            </w:pPr>
            <w:r>
              <w:rPr>
                <w:rFonts w:ascii="Arial" w:cs="Arial" w:eastAsia="Arial" w:hAnsi="Arial"/>
                <w:sz w:val="17"/>
                <w:szCs w:val="17"/>
                <w:b w:val="1"/>
                <w:bCs w:val="1"/>
                <w:color w:val="auto"/>
              </w:rPr>
              <w:t>123.9</w:t>
            </w:r>
          </w:p>
        </w:tc>
        <w:tc>
          <w:tcPr>
            <w:tcW w:w="60" w:type="dxa"/>
            <w:vAlign w:val="bottom"/>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jc w:val="right"/>
              <w:spacing w:after="0"/>
              <w:rPr>
                <w:sz w:val="20"/>
                <w:szCs w:val="20"/>
                <w:color w:val="auto"/>
              </w:rPr>
            </w:pPr>
            <w:r>
              <w:rPr>
                <w:rFonts w:ascii="Arial" w:cs="Arial" w:eastAsia="Arial" w:hAnsi="Arial"/>
                <w:sz w:val="17"/>
                <w:szCs w:val="17"/>
                <w:color w:val="auto"/>
              </w:rPr>
              <w:t>123.3</w:t>
            </w:r>
          </w:p>
        </w:tc>
        <w:tc>
          <w:tcPr>
            <w:tcW w:w="0" w:type="dxa"/>
            <w:vAlign w:val="bottom"/>
          </w:tcPr>
          <w:p>
            <w:pPr>
              <w:spacing w:after="0"/>
              <w:rPr>
                <w:sz w:val="1"/>
                <w:szCs w:val="1"/>
                <w:color w:val="auto"/>
              </w:rPr>
            </w:pPr>
          </w:p>
        </w:tc>
      </w:tr>
      <w:tr>
        <w:trPr>
          <w:trHeight w:val="25"/>
        </w:trPr>
        <w:tc>
          <w:tcPr>
            <w:tcW w:w="5860" w:type="dxa"/>
            <w:vAlign w:val="bottom"/>
          </w:tcPr>
          <w:p>
            <w:pPr>
              <w:spacing w:after="0"/>
              <w:rPr>
                <w:sz w:val="2"/>
                <w:szCs w:val="2"/>
                <w:color w:val="auto"/>
              </w:rPr>
            </w:pPr>
          </w:p>
        </w:tc>
        <w:tc>
          <w:tcPr>
            <w:tcW w:w="1000" w:type="dxa"/>
            <w:vAlign w:val="bottom"/>
          </w:tcPr>
          <w:p>
            <w:pPr>
              <w:spacing w:after="0"/>
              <w:rPr>
                <w:sz w:val="2"/>
                <w:szCs w:val="2"/>
                <w:color w:val="auto"/>
              </w:rPr>
            </w:pPr>
          </w:p>
        </w:tc>
        <w:tc>
          <w:tcPr>
            <w:tcW w:w="600" w:type="dxa"/>
            <w:vAlign w:val="bottom"/>
          </w:tcPr>
          <w:p>
            <w:pPr>
              <w:spacing w:after="0"/>
              <w:rPr>
                <w:sz w:val="2"/>
                <w:szCs w:val="2"/>
                <w:color w:val="auto"/>
              </w:rPr>
            </w:pPr>
          </w:p>
        </w:tc>
        <w:tc>
          <w:tcPr>
            <w:tcW w:w="580" w:type="dxa"/>
            <w:vAlign w:val="bottom"/>
            <w:gridSpan w:val="2"/>
          </w:tcPr>
          <w:p>
            <w:pPr>
              <w:spacing w:after="0"/>
              <w:rPr>
                <w:sz w:val="2"/>
                <w:szCs w:val="2"/>
                <w:color w:val="auto"/>
              </w:rPr>
            </w:pPr>
          </w:p>
        </w:tc>
        <w:tc>
          <w:tcPr>
            <w:tcW w:w="11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5860" w:type="dxa"/>
            <w:vAlign w:val="bottom"/>
          </w:tcPr>
          <w:p>
            <w:pPr>
              <w:spacing w:after="0"/>
              <w:rPr>
                <w:sz w:val="20"/>
                <w:szCs w:val="20"/>
                <w:color w:val="auto"/>
              </w:rPr>
            </w:pPr>
            <w:r>
              <w:rPr>
                <w:rFonts w:ascii="Arial" w:cs="Arial" w:eastAsia="Arial" w:hAnsi="Arial"/>
                <w:sz w:val="17"/>
                <w:szCs w:val="17"/>
                <w:color w:val="auto"/>
              </w:rPr>
              <w:t>Dividends per common share</w:t>
            </w:r>
          </w:p>
        </w:tc>
        <w:tc>
          <w:tcPr>
            <w:tcW w:w="1000" w:type="dxa"/>
            <w:vAlign w:val="bottom"/>
            <w:tcBorders>
              <w:top w:val="single" w:sz="8" w:color="auto"/>
              <w:bottom w:val="single" w:sz="8" w:color="auto"/>
            </w:tcBorders>
          </w:tcPr>
          <w:p>
            <w:pPr>
              <w:jc w:val="right"/>
              <w:ind w:right="778"/>
              <w:spacing w:after="0"/>
              <w:rPr>
                <w:sz w:val="20"/>
                <w:szCs w:val="20"/>
                <w:color w:val="auto"/>
              </w:rPr>
            </w:pPr>
            <w:r>
              <w:rPr>
                <w:rFonts w:ascii="Arial" w:cs="Arial" w:eastAsia="Arial" w:hAnsi="Arial"/>
                <w:sz w:val="17"/>
                <w:szCs w:val="17"/>
                <w:b w:val="1"/>
                <w:bCs w:val="1"/>
                <w:color w:val="auto"/>
              </w:rPr>
              <w:t>$</w:t>
            </w:r>
          </w:p>
        </w:tc>
        <w:tc>
          <w:tcPr>
            <w:tcW w:w="60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7"/>
                <w:szCs w:val="17"/>
                <w:b w:val="1"/>
                <w:bCs w:val="1"/>
                <w:color w:val="auto"/>
              </w:rPr>
              <w:t>0.39</w:t>
            </w:r>
          </w:p>
        </w:tc>
        <w:tc>
          <w:tcPr>
            <w:tcW w:w="60" w:type="dxa"/>
            <w:vAlign w:val="bottom"/>
          </w:tcPr>
          <w:p>
            <w:pPr>
              <w:spacing w:after="0"/>
              <w:rPr>
                <w:sz w:val="19"/>
                <w:szCs w:val="19"/>
                <w:color w:val="auto"/>
              </w:rPr>
            </w:pPr>
          </w:p>
        </w:tc>
        <w:tc>
          <w:tcPr>
            <w:tcW w:w="520" w:type="dxa"/>
            <w:vAlign w:val="bottom"/>
            <w:tcBorders>
              <w:top w:val="single" w:sz="8" w:color="auto"/>
              <w:bottom w:val="single" w:sz="8" w:color="auto"/>
            </w:tcBorders>
          </w:tcPr>
          <w:p>
            <w:pPr>
              <w:jc w:val="right"/>
              <w:ind w:right="298"/>
              <w:spacing w:after="0"/>
              <w:rPr>
                <w:sz w:val="20"/>
                <w:szCs w:val="20"/>
                <w:color w:val="auto"/>
              </w:rPr>
            </w:pPr>
            <w:r>
              <w:rPr>
                <w:rFonts w:ascii="Arial" w:cs="Arial" w:eastAsia="Arial" w:hAnsi="Arial"/>
                <w:sz w:val="17"/>
                <w:szCs w:val="17"/>
                <w:color w:val="auto"/>
              </w:rPr>
              <w:t>$</w:t>
            </w:r>
          </w:p>
        </w:tc>
        <w:tc>
          <w:tcPr>
            <w:tcW w:w="110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7"/>
                <w:szCs w:val="17"/>
                <w:color w:val="auto"/>
              </w:rPr>
              <w:t>0.39</w:t>
            </w:r>
          </w:p>
        </w:tc>
        <w:tc>
          <w:tcPr>
            <w:tcW w:w="0" w:type="dxa"/>
            <w:vAlign w:val="bottom"/>
          </w:tcPr>
          <w:p>
            <w:pPr>
              <w:spacing w:after="0"/>
              <w:rPr>
                <w:sz w:val="1"/>
                <w:szCs w:val="1"/>
                <w:color w:val="auto"/>
              </w:rPr>
            </w:pPr>
          </w:p>
        </w:tc>
      </w:tr>
      <w:tr>
        <w:trPr>
          <w:trHeight w:val="25"/>
        </w:trPr>
        <w:tc>
          <w:tcPr>
            <w:tcW w:w="5860" w:type="dxa"/>
            <w:vAlign w:val="bottom"/>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ectPr>
          <w:pgSz w:w="12240" w:h="15840" w:orient="portrait"/>
          <w:cols w:equalWidth="0" w:num="1">
            <w:col w:w="9820"/>
          </w:cols>
          <w:pgMar w:left="1200" w:top="1057" w:right="1220" w:bottom="1440" w:gutter="0" w:footer="0" w:header="0"/>
        </w:sectPr>
      </w:pPr>
    </w:p>
    <w:bookmarkStart w:id="6" w:name="page7"/>
    <w:bookmarkEnd w:id="6"/>
    <w:p>
      <w:pPr>
        <w:spacing w:after="0"/>
        <w:rPr>
          <w:sz w:val="20"/>
          <w:szCs w:val="20"/>
          <w:color w:val="auto"/>
        </w:rPr>
      </w:pPr>
      <w:r>
        <w:rPr>
          <w:rFonts w:ascii="Arial" w:cs="Arial" w:eastAsia="Arial" w:hAnsi="Arial"/>
          <w:sz w:val="17"/>
          <w:szCs w:val="17"/>
          <w:color w:val="auto"/>
        </w:rPr>
        <w:t>EQUIFAX</w:t>
      </w:r>
    </w:p>
    <w:p>
      <w:pPr>
        <w:spacing w:after="0" w:line="20" w:lineRule="exact"/>
        <w:rPr>
          <w:sz w:val="20"/>
          <w:szCs w:val="20"/>
          <w:color w:val="auto"/>
        </w:rPr>
      </w:pPr>
    </w:p>
    <w:p>
      <w:pPr>
        <w:spacing w:after="0"/>
        <w:rPr>
          <w:sz w:val="20"/>
          <w:szCs w:val="20"/>
          <w:color w:val="auto"/>
        </w:rPr>
      </w:pPr>
      <w:r>
        <w:rPr>
          <w:rFonts w:ascii="Arial" w:cs="Arial" w:eastAsia="Arial" w:hAnsi="Arial"/>
          <w:sz w:val="17"/>
          <w:szCs w:val="17"/>
          <w:b w:val="1"/>
          <w:bCs w:val="1"/>
          <w:u w:val="single" w:color="auto"/>
          <w:color w:val="auto"/>
        </w:rPr>
        <w:t>CONDENSED CONSOLIDATED BALANCE SHEETS</w:t>
      </w:r>
    </w:p>
    <w:p>
      <w:pPr>
        <w:spacing w:after="0" w:line="7"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6680" w:type="dxa"/>
            <w:vAlign w:val="bottom"/>
          </w:tcPr>
          <w:p>
            <w:pPr>
              <w:spacing w:after="0"/>
              <w:rPr>
                <w:sz w:val="16"/>
                <w:szCs w:val="16"/>
                <w:color w:val="auto"/>
              </w:rPr>
            </w:pPr>
          </w:p>
        </w:tc>
        <w:tc>
          <w:tcPr>
            <w:tcW w:w="1540" w:type="dxa"/>
            <w:vAlign w:val="bottom"/>
          </w:tcPr>
          <w:p>
            <w:pPr>
              <w:jc w:val="right"/>
              <w:ind w:right="98"/>
              <w:spacing w:after="0"/>
              <w:rPr>
                <w:sz w:val="20"/>
                <w:szCs w:val="20"/>
                <w:color w:val="auto"/>
              </w:rPr>
            </w:pPr>
            <w:r>
              <w:rPr>
                <w:rFonts w:ascii="Arial" w:cs="Arial" w:eastAsia="Arial" w:hAnsi="Arial"/>
                <w:sz w:val="17"/>
                <w:szCs w:val="17"/>
                <w:b w:val="1"/>
                <w:bCs w:val="1"/>
                <w:color w:val="auto"/>
              </w:rPr>
              <w:t>September 30,</w:t>
            </w:r>
          </w:p>
        </w:tc>
        <w:tc>
          <w:tcPr>
            <w:tcW w:w="60" w:type="dxa"/>
            <w:vAlign w:val="bottom"/>
          </w:tcPr>
          <w:p>
            <w:pPr>
              <w:spacing w:after="0"/>
              <w:rPr>
                <w:sz w:val="16"/>
                <w:szCs w:val="16"/>
                <w:color w:val="auto"/>
              </w:rPr>
            </w:pPr>
          </w:p>
        </w:tc>
        <w:tc>
          <w:tcPr>
            <w:tcW w:w="1520" w:type="dxa"/>
            <w:vAlign w:val="bottom"/>
          </w:tcPr>
          <w:p>
            <w:pPr>
              <w:jc w:val="right"/>
              <w:ind w:right="98"/>
              <w:spacing w:after="0"/>
              <w:rPr>
                <w:sz w:val="20"/>
                <w:szCs w:val="20"/>
                <w:color w:val="auto"/>
              </w:rPr>
            </w:pPr>
            <w:r>
              <w:rPr>
                <w:rFonts w:ascii="Arial" w:cs="Arial" w:eastAsia="Arial" w:hAnsi="Arial"/>
                <w:sz w:val="17"/>
                <w:szCs w:val="17"/>
                <w:b w:val="1"/>
                <w:bCs w:val="1"/>
                <w:color w:val="auto"/>
              </w:rPr>
              <w:t>December 31,</w:t>
            </w:r>
          </w:p>
        </w:tc>
        <w:tc>
          <w:tcPr>
            <w:tcW w:w="0" w:type="dxa"/>
            <w:vAlign w:val="bottom"/>
          </w:tcPr>
          <w:p>
            <w:pPr>
              <w:spacing w:after="0"/>
              <w:rPr>
                <w:sz w:val="1"/>
                <w:szCs w:val="1"/>
                <w:color w:val="auto"/>
              </w:rPr>
            </w:pPr>
          </w:p>
        </w:tc>
      </w:tr>
      <w:tr>
        <w:trPr>
          <w:trHeight w:val="229"/>
        </w:trPr>
        <w:tc>
          <w:tcPr>
            <w:tcW w:w="6680" w:type="dxa"/>
            <w:vAlign w:val="bottom"/>
          </w:tcPr>
          <w:p>
            <w:pPr>
              <w:spacing w:after="0"/>
              <w:rPr>
                <w:sz w:val="19"/>
                <w:szCs w:val="19"/>
                <w:color w:val="auto"/>
              </w:rPr>
            </w:pPr>
          </w:p>
        </w:tc>
        <w:tc>
          <w:tcPr>
            <w:tcW w:w="1540" w:type="dxa"/>
            <w:vAlign w:val="bottom"/>
          </w:tcPr>
          <w:p>
            <w:pPr>
              <w:jc w:val="right"/>
              <w:ind w:right="478"/>
              <w:spacing w:after="0"/>
              <w:rPr>
                <w:sz w:val="20"/>
                <w:szCs w:val="20"/>
                <w:color w:val="auto"/>
              </w:rPr>
            </w:pPr>
            <w:r>
              <w:rPr>
                <w:rFonts w:ascii="Arial" w:cs="Arial" w:eastAsia="Arial" w:hAnsi="Arial"/>
                <w:sz w:val="17"/>
                <w:szCs w:val="17"/>
                <w:b w:val="1"/>
                <w:bCs w:val="1"/>
                <w:color w:val="auto"/>
              </w:rPr>
              <w:t>2023</w:t>
            </w:r>
          </w:p>
        </w:tc>
        <w:tc>
          <w:tcPr>
            <w:tcW w:w="1560" w:type="dxa"/>
            <w:vAlign w:val="bottom"/>
            <w:gridSpan w:val="2"/>
          </w:tcPr>
          <w:p>
            <w:pPr>
              <w:jc w:val="right"/>
              <w:ind w:right="458"/>
              <w:spacing w:after="0"/>
              <w:rPr>
                <w:sz w:val="20"/>
                <w:szCs w:val="20"/>
                <w:color w:val="auto"/>
              </w:rPr>
            </w:pPr>
            <w:r>
              <w:rPr>
                <w:rFonts w:ascii="Arial" w:cs="Arial" w:eastAsia="Arial" w:hAnsi="Arial"/>
                <w:sz w:val="17"/>
                <w:szCs w:val="17"/>
                <w:b w:val="1"/>
                <w:bCs w:val="1"/>
                <w:color w:val="auto"/>
              </w:rPr>
              <w:t>2022</w:t>
            </w:r>
          </w:p>
        </w:tc>
        <w:tc>
          <w:tcPr>
            <w:tcW w:w="0" w:type="dxa"/>
            <w:vAlign w:val="bottom"/>
          </w:tcPr>
          <w:p>
            <w:pPr>
              <w:spacing w:after="0"/>
              <w:rPr>
                <w:sz w:val="1"/>
                <w:szCs w:val="1"/>
                <w:color w:val="auto"/>
              </w:rPr>
            </w:pPr>
          </w:p>
        </w:tc>
      </w:tr>
      <w:tr>
        <w:trPr>
          <w:trHeight w:val="219"/>
        </w:trPr>
        <w:tc>
          <w:tcPr>
            <w:tcW w:w="6680" w:type="dxa"/>
            <w:vAlign w:val="bottom"/>
          </w:tcPr>
          <w:p>
            <w:pPr>
              <w:spacing w:after="0"/>
              <w:rPr>
                <w:sz w:val="20"/>
                <w:szCs w:val="20"/>
                <w:color w:val="auto"/>
              </w:rPr>
            </w:pPr>
            <w:r>
              <w:rPr>
                <w:rFonts w:ascii="Arial" w:cs="Arial" w:eastAsia="Arial" w:hAnsi="Arial"/>
                <w:sz w:val="17"/>
                <w:szCs w:val="17"/>
                <w:i w:val="1"/>
                <w:iCs w:val="1"/>
                <w:color w:val="auto"/>
              </w:rPr>
              <w:t>(In millions, except par values)</w:t>
            </w:r>
          </w:p>
        </w:tc>
        <w:tc>
          <w:tcPr>
            <w:tcW w:w="3100" w:type="dxa"/>
            <w:vAlign w:val="bottom"/>
            <w:gridSpan w:val="3"/>
          </w:tcPr>
          <w:p>
            <w:pPr>
              <w:jc w:val="right"/>
              <w:ind w:right="1018"/>
              <w:spacing w:after="0"/>
              <w:rPr>
                <w:sz w:val="20"/>
                <w:szCs w:val="20"/>
                <w:color w:val="auto"/>
              </w:rPr>
            </w:pPr>
            <w:r>
              <w:rPr>
                <w:rFonts w:ascii="Arial" w:cs="Arial" w:eastAsia="Arial" w:hAnsi="Arial"/>
                <w:sz w:val="17"/>
                <w:szCs w:val="17"/>
                <w:i w:val="1"/>
                <w:iCs w:val="1"/>
                <w:color w:val="auto"/>
              </w:rPr>
              <w:t>(Unaudited)</w:t>
            </w:r>
          </w:p>
        </w:tc>
        <w:tc>
          <w:tcPr>
            <w:tcW w:w="0" w:type="dxa"/>
            <w:vAlign w:val="bottom"/>
          </w:tcPr>
          <w:p>
            <w:pPr>
              <w:spacing w:after="0"/>
              <w:rPr>
                <w:sz w:val="1"/>
                <w:szCs w:val="1"/>
                <w:color w:val="auto"/>
              </w:rPr>
            </w:pPr>
          </w:p>
        </w:tc>
      </w:tr>
      <w:tr>
        <w:trPr>
          <w:trHeight w:val="229"/>
        </w:trPr>
        <w:tc>
          <w:tcPr>
            <w:tcW w:w="6680" w:type="dxa"/>
            <w:vAlign w:val="bottom"/>
          </w:tcPr>
          <w:p>
            <w:pPr>
              <w:spacing w:after="0"/>
              <w:rPr>
                <w:sz w:val="20"/>
                <w:szCs w:val="20"/>
                <w:color w:val="auto"/>
              </w:rPr>
            </w:pPr>
            <w:r>
              <w:rPr>
                <w:rFonts w:ascii="Arial" w:cs="Arial" w:eastAsia="Arial" w:hAnsi="Arial"/>
                <w:sz w:val="17"/>
                <w:szCs w:val="17"/>
                <w:b w:val="1"/>
                <w:bCs w:val="1"/>
                <w:color w:val="auto"/>
              </w:rPr>
              <w:t>ASSETS</w:t>
            </w:r>
          </w:p>
        </w:tc>
        <w:tc>
          <w:tcPr>
            <w:tcW w:w="15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6680" w:type="dxa"/>
            <w:vAlign w:val="bottom"/>
          </w:tcPr>
          <w:p>
            <w:pPr>
              <w:spacing w:after="0"/>
              <w:rPr>
                <w:sz w:val="20"/>
                <w:szCs w:val="20"/>
                <w:color w:val="auto"/>
              </w:rPr>
            </w:pPr>
            <w:r>
              <w:rPr>
                <w:rFonts w:ascii="Arial" w:cs="Arial" w:eastAsia="Arial" w:hAnsi="Arial"/>
                <w:sz w:val="17"/>
                <w:szCs w:val="17"/>
                <w:color w:val="auto"/>
              </w:rPr>
              <w:t>Current assets:</w:t>
            </w:r>
          </w:p>
        </w:tc>
        <w:tc>
          <w:tcPr>
            <w:tcW w:w="15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7"/>
        </w:trPr>
        <w:tc>
          <w:tcPr>
            <w:tcW w:w="6680" w:type="dxa"/>
            <w:vAlign w:val="bottom"/>
          </w:tcPr>
          <w:p>
            <w:pPr>
              <w:spacing w:after="0"/>
              <w:rPr>
                <w:sz w:val="17"/>
                <w:szCs w:val="17"/>
                <w:color w:val="auto"/>
              </w:rPr>
            </w:pPr>
          </w:p>
        </w:tc>
        <w:tc>
          <w:tcPr>
            <w:tcW w:w="1540" w:type="dxa"/>
            <w:vAlign w:val="bottom"/>
          </w:tcPr>
          <w:p>
            <w:pPr>
              <w:jc w:val="right"/>
              <w:ind w:right="918"/>
              <w:spacing w:after="0"/>
              <w:rPr>
                <w:sz w:val="20"/>
                <w:szCs w:val="20"/>
                <w:color w:val="auto"/>
              </w:rPr>
            </w:pPr>
            <w:r>
              <w:rPr>
                <w:rFonts w:ascii="Arial" w:cs="Arial" w:eastAsia="Arial" w:hAnsi="Arial"/>
                <w:sz w:val="17"/>
                <w:szCs w:val="17"/>
                <w:b w:val="1"/>
                <w:bCs w:val="1"/>
                <w:color w:val="auto"/>
              </w:rPr>
              <w:t>$</w:t>
            </w:r>
          </w:p>
        </w:tc>
        <w:tc>
          <w:tcPr>
            <w:tcW w:w="1560" w:type="dxa"/>
            <w:vAlign w:val="bottom"/>
            <w:gridSpan w:val="2"/>
          </w:tcPr>
          <w:p>
            <w:pPr>
              <w:jc w:val="right"/>
              <w:ind w:right="87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27"/>
        </w:trPr>
        <w:tc>
          <w:tcPr>
            <w:tcW w:w="6680" w:type="dxa"/>
            <w:vAlign w:val="bottom"/>
          </w:tcPr>
          <w:p>
            <w:pPr>
              <w:ind w:left="100"/>
              <w:spacing w:after="0"/>
              <w:rPr>
                <w:sz w:val="20"/>
                <w:szCs w:val="20"/>
                <w:color w:val="auto"/>
              </w:rPr>
            </w:pPr>
            <w:r>
              <w:rPr>
                <w:rFonts w:ascii="Arial" w:cs="Arial" w:eastAsia="Arial" w:hAnsi="Arial"/>
                <w:sz w:val="17"/>
                <w:szCs w:val="17"/>
                <w:color w:val="auto"/>
              </w:rPr>
              <w:t>Cash and cash equivalents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412.6</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285.2</w:t>
            </w:r>
          </w:p>
        </w:tc>
        <w:tc>
          <w:tcPr>
            <w:tcW w:w="0" w:type="dxa"/>
            <w:vAlign w:val="bottom"/>
          </w:tcPr>
          <w:p>
            <w:pPr>
              <w:spacing w:after="0"/>
              <w:rPr>
                <w:sz w:val="1"/>
                <w:szCs w:val="1"/>
                <w:color w:val="auto"/>
              </w:rPr>
            </w:pPr>
          </w:p>
        </w:tc>
      </w:tr>
      <w:tr>
        <w:trPr>
          <w:trHeight w:val="195"/>
        </w:trPr>
        <w:tc>
          <w:tcPr>
            <w:tcW w:w="6680" w:type="dxa"/>
            <w:vAlign w:val="bottom"/>
          </w:tcPr>
          <w:p>
            <w:pPr>
              <w:ind w:left="100"/>
              <w:spacing w:after="0"/>
              <w:rPr>
                <w:sz w:val="20"/>
                <w:szCs w:val="20"/>
                <w:color w:val="auto"/>
              </w:rPr>
            </w:pPr>
            <w:r>
              <w:rPr>
                <w:rFonts w:ascii="Arial" w:cs="Arial" w:eastAsia="Arial" w:hAnsi="Arial"/>
                <w:sz w:val="17"/>
                <w:szCs w:val="17"/>
                <w:color w:val="auto"/>
                <w:w w:val="99"/>
              </w:rPr>
              <w:t>Trade accounts receivable, net of allowance for doubtful accounts of $18.3 and $19.1 at</w:t>
            </w:r>
          </w:p>
        </w:tc>
        <w:tc>
          <w:tcPr>
            <w:tcW w:w="15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967.9</w:t>
            </w: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6680" w:type="dxa"/>
            <w:vAlign w:val="bottom"/>
          </w:tcPr>
          <w:p>
            <w:pPr>
              <w:ind w:left="100"/>
              <w:spacing w:after="0"/>
              <w:rPr>
                <w:sz w:val="20"/>
                <w:szCs w:val="20"/>
                <w:color w:val="auto"/>
              </w:rPr>
            </w:pPr>
            <w:r>
              <w:rPr>
                <w:rFonts w:ascii="Arial" w:cs="Arial" w:eastAsia="Arial" w:hAnsi="Arial"/>
                <w:sz w:val="17"/>
                <w:szCs w:val="17"/>
                <w:color w:val="auto"/>
              </w:rPr>
              <w:t>September 30, 2023 and December 31, 2022, respectively</w:t>
            </w:r>
          </w:p>
        </w:tc>
        <w:tc>
          <w:tcPr>
            <w:tcW w:w="1540" w:type="dxa"/>
            <w:vAlign w:val="bottom"/>
            <w:vMerge w:val="continue"/>
          </w:tcPr>
          <w:p>
            <w:pPr>
              <w:spacing w:after="0"/>
              <w:rPr>
                <w:sz w:val="19"/>
                <w:szCs w:val="19"/>
                <w:color w:val="auto"/>
              </w:rPr>
            </w:pP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857.7</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Prepaid expenses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142.0</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134.3</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Other current assets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74.9</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93.3</w:t>
            </w:r>
          </w:p>
        </w:tc>
        <w:tc>
          <w:tcPr>
            <w:tcW w:w="0" w:type="dxa"/>
            <w:vAlign w:val="bottom"/>
          </w:tcPr>
          <w:p>
            <w:pPr>
              <w:spacing w:after="0"/>
              <w:rPr>
                <w:sz w:val="1"/>
                <w:szCs w:val="1"/>
                <w:color w:val="auto"/>
              </w:rPr>
            </w:pPr>
          </w:p>
        </w:tc>
      </w:tr>
      <w:tr>
        <w:trPr>
          <w:trHeight w:val="227"/>
        </w:trPr>
        <w:tc>
          <w:tcPr>
            <w:tcW w:w="6680" w:type="dxa"/>
            <w:vAlign w:val="bottom"/>
          </w:tcPr>
          <w:p>
            <w:pPr>
              <w:ind w:left="100"/>
              <w:spacing w:after="0"/>
              <w:rPr>
                <w:sz w:val="20"/>
                <w:szCs w:val="20"/>
                <w:color w:val="auto"/>
              </w:rPr>
            </w:pPr>
            <w:r>
              <w:rPr>
                <w:rFonts w:ascii="Arial" w:cs="Arial" w:eastAsia="Arial" w:hAnsi="Arial"/>
                <w:sz w:val="17"/>
                <w:szCs w:val="17"/>
                <w:color w:val="auto"/>
              </w:rPr>
              <w:t>Total current assets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1,597.4</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1,370.5</w:t>
            </w:r>
          </w:p>
        </w:tc>
        <w:tc>
          <w:tcPr>
            <w:tcW w:w="0" w:type="dxa"/>
            <w:vAlign w:val="bottom"/>
          </w:tcPr>
          <w:p>
            <w:pPr>
              <w:spacing w:after="0"/>
              <w:rPr>
                <w:sz w:val="1"/>
                <w:szCs w:val="1"/>
                <w:color w:val="auto"/>
              </w:rPr>
            </w:pPr>
          </w:p>
        </w:tc>
      </w:tr>
      <w:tr>
        <w:trPr>
          <w:trHeight w:val="221"/>
        </w:trPr>
        <w:tc>
          <w:tcPr>
            <w:tcW w:w="6680" w:type="dxa"/>
            <w:vAlign w:val="bottom"/>
          </w:tcPr>
          <w:p>
            <w:pPr>
              <w:spacing w:after="0"/>
              <w:rPr>
                <w:sz w:val="20"/>
                <w:szCs w:val="20"/>
                <w:color w:val="auto"/>
              </w:rPr>
            </w:pPr>
            <w:r>
              <w:rPr>
                <w:rFonts w:ascii="Arial" w:cs="Arial" w:eastAsia="Arial" w:hAnsi="Arial"/>
                <w:sz w:val="17"/>
                <w:szCs w:val="17"/>
                <w:color w:val="auto"/>
              </w:rPr>
              <w:t>Property and equipment:</w:t>
            </w:r>
          </w:p>
        </w:tc>
        <w:tc>
          <w:tcPr>
            <w:tcW w:w="15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7"/>
        </w:trPr>
        <w:tc>
          <w:tcPr>
            <w:tcW w:w="6680" w:type="dxa"/>
            <w:vAlign w:val="bottom"/>
          </w:tcPr>
          <w:p>
            <w:pPr>
              <w:ind w:left="100"/>
              <w:spacing w:after="0"/>
              <w:rPr>
                <w:sz w:val="20"/>
                <w:szCs w:val="20"/>
                <w:color w:val="auto"/>
              </w:rPr>
            </w:pPr>
            <w:r>
              <w:rPr>
                <w:rFonts w:ascii="Arial" w:cs="Arial" w:eastAsia="Arial" w:hAnsi="Arial"/>
                <w:sz w:val="17"/>
                <w:szCs w:val="17"/>
                <w:color w:val="auto"/>
              </w:rPr>
              <w:t>Capitalized internal-use software and system costs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2,428.2</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2,139.1</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Data processing equipment and furniture</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286.3</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281.4</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Land, buildings and improvements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267.1</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261.6</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Total property and equipment</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2,981.6</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2,682.1</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Less accumulated depreciation and amortization</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(1,218.0)</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(1,095.1)</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Total property and equipment, net</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1,763.6</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1,587.0</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Goodwill</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6,730.8</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6,383.9</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Indefinite-lived intangible assets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95.1</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94.8</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Purchased intangible assets, net</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1,903.9</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1,818.5</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Other assets, net</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258.1</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293.2</w:t>
            </w:r>
          </w:p>
        </w:tc>
        <w:tc>
          <w:tcPr>
            <w:tcW w:w="0" w:type="dxa"/>
            <w:vAlign w:val="bottom"/>
          </w:tcPr>
          <w:p>
            <w:pPr>
              <w:spacing w:after="0"/>
              <w:rPr>
                <w:sz w:val="1"/>
                <w:szCs w:val="1"/>
                <w:color w:val="auto"/>
              </w:rPr>
            </w:pPr>
          </w:p>
        </w:tc>
      </w:tr>
      <w:tr>
        <w:trPr>
          <w:trHeight w:val="195"/>
        </w:trPr>
        <w:tc>
          <w:tcPr>
            <w:tcW w:w="6680" w:type="dxa"/>
            <w:vAlign w:val="bottom"/>
          </w:tcPr>
          <w:p>
            <w:pPr>
              <w:spacing w:after="0"/>
              <w:rPr>
                <w:sz w:val="16"/>
                <w:szCs w:val="16"/>
                <w:color w:val="auto"/>
              </w:rPr>
            </w:pPr>
          </w:p>
        </w:tc>
        <w:tc>
          <w:tcPr>
            <w:tcW w:w="1540" w:type="dxa"/>
            <w:vAlign w:val="bottom"/>
          </w:tcPr>
          <w:p>
            <w:pPr>
              <w:jc w:val="right"/>
              <w:ind w:right="698"/>
              <w:spacing w:after="0"/>
              <w:rPr>
                <w:sz w:val="20"/>
                <w:szCs w:val="20"/>
                <w:color w:val="auto"/>
              </w:rPr>
            </w:pPr>
            <w:r>
              <w:rPr>
                <w:rFonts w:ascii="Arial" w:cs="Arial" w:eastAsia="Arial" w:hAnsi="Arial"/>
                <w:sz w:val="17"/>
                <w:szCs w:val="17"/>
                <w:b w:val="1"/>
                <w:bCs w:val="1"/>
                <w:color w:val="auto"/>
              </w:rPr>
              <w:t>$</w:t>
            </w:r>
          </w:p>
        </w:tc>
        <w:tc>
          <w:tcPr>
            <w:tcW w:w="1560" w:type="dxa"/>
            <w:vAlign w:val="bottom"/>
            <w:gridSpan w:val="2"/>
          </w:tcPr>
          <w:p>
            <w:pPr>
              <w:jc w:val="right"/>
              <w:ind w:right="65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31"/>
        </w:trPr>
        <w:tc>
          <w:tcPr>
            <w:tcW w:w="6680" w:type="dxa"/>
            <w:vAlign w:val="bottom"/>
          </w:tcPr>
          <w:p>
            <w:pPr>
              <w:ind w:left="220"/>
              <w:spacing w:after="0"/>
              <w:rPr>
                <w:sz w:val="20"/>
                <w:szCs w:val="20"/>
                <w:color w:val="auto"/>
              </w:rPr>
            </w:pPr>
            <w:r>
              <w:rPr>
                <w:rFonts w:ascii="Arial" w:cs="Arial" w:eastAsia="Arial" w:hAnsi="Arial"/>
                <w:sz w:val="17"/>
                <w:szCs w:val="17"/>
                <w:color w:val="auto"/>
              </w:rPr>
              <w:t>Total assets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12,348.9</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11,547.9</w:t>
            </w:r>
          </w:p>
        </w:tc>
        <w:tc>
          <w:tcPr>
            <w:tcW w:w="0" w:type="dxa"/>
            <w:vAlign w:val="bottom"/>
          </w:tcPr>
          <w:p>
            <w:pPr>
              <w:spacing w:after="0"/>
              <w:rPr>
                <w:sz w:val="1"/>
                <w:szCs w:val="1"/>
                <w:color w:val="auto"/>
              </w:rPr>
            </w:pPr>
          </w:p>
        </w:tc>
      </w:tr>
      <w:tr>
        <w:trPr>
          <w:trHeight w:val="25"/>
        </w:trPr>
        <w:tc>
          <w:tcPr>
            <w:tcW w:w="6680" w:type="dxa"/>
            <w:vAlign w:val="bottom"/>
            <w:vMerge w:val="restart"/>
          </w:tcPr>
          <w:p>
            <w:pPr>
              <w:spacing w:after="0"/>
              <w:rPr>
                <w:sz w:val="20"/>
                <w:szCs w:val="20"/>
                <w:color w:val="auto"/>
              </w:rPr>
            </w:pPr>
            <w:r>
              <w:rPr>
                <w:rFonts w:ascii="Arial" w:cs="Arial" w:eastAsia="Arial" w:hAnsi="Arial"/>
                <w:sz w:val="17"/>
                <w:szCs w:val="17"/>
                <w:b w:val="1"/>
                <w:bCs w:val="1"/>
                <w:color w:val="auto"/>
              </w:rPr>
              <w:t>LIABILITIES AND EQUITY</w:t>
            </w:r>
          </w:p>
        </w:tc>
        <w:tc>
          <w:tcPr>
            <w:tcW w:w="154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152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16"/>
        </w:trPr>
        <w:tc>
          <w:tcPr>
            <w:tcW w:w="6680" w:type="dxa"/>
            <w:vAlign w:val="bottom"/>
            <w:vMerge w:val="continue"/>
          </w:tcPr>
          <w:p>
            <w:pPr>
              <w:spacing w:after="0"/>
              <w:rPr>
                <w:sz w:val="18"/>
                <w:szCs w:val="18"/>
                <w:color w:val="auto"/>
              </w:rPr>
            </w:pPr>
          </w:p>
        </w:tc>
        <w:tc>
          <w:tcPr>
            <w:tcW w:w="15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5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6680" w:type="dxa"/>
            <w:vAlign w:val="bottom"/>
          </w:tcPr>
          <w:p>
            <w:pPr>
              <w:spacing w:after="0"/>
              <w:rPr>
                <w:sz w:val="20"/>
                <w:szCs w:val="20"/>
                <w:color w:val="auto"/>
              </w:rPr>
            </w:pPr>
            <w:r>
              <w:rPr>
                <w:rFonts w:ascii="Arial" w:cs="Arial" w:eastAsia="Arial" w:hAnsi="Arial"/>
                <w:sz w:val="17"/>
                <w:szCs w:val="17"/>
                <w:color w:val="auto"/>
              </w:rPr>
              <w:t>Current liabilities:</w:t>
            </w:r>
          </w:p>
        </w:tc>
        <w:tc>
          <w:tcPr>
            <w:tcW w:w="15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7"/>
        </w:trPr>
        <w:tc>
          <w:tcPr>
            <w:tcW w:w="6680" w:type="dxa"/>
            <w:vAlign w:val="bottom"/>
            <w:vMerge w:val="restart"/>
          </w:tcPr>
          <w:p>
            <w:pPr>
              <w:ind w:left="100"/>
              <w:spacing w:after="0"/>
              <w:rPr>
                <w:sz w:val="20"/>
                <w:szCs w:val="20"/>
                <w:color w:val="auto"/>
              </w:rPr>
            </w:pPr>
            <w:r>
              <w:rPr>
                <w:rFonts w:ascii="Arial" w:cs="Arial" w:eastAsia="Arial" w:hAnsi="Arial"/>
                <w:sz w:val="17"/>
                <w:szCs w:val="17"/>
                <w:color w:val="auto"/>
              </w:rPr>
              <w:t>Short-term debt and current maturities of long-term debt</w:t>
            </w:r>
          </w:p>
        </w:tc>
        <w:tc>
          <w:tcPr>
            <w:tcW w:w="1540" w:type="dxa"/>
            <w:vAlign w:val="bottom"/>
          </w:tcPr>
          <w:p>
            <w:pPr>
              <w:jc w:val="right"/>
              <w:ind w:right="918"/>
              <w:spacing w:after="0"/>
              <w:rPr>
                <w:sz w:val="20"/>
                <w:szCs w:val="20"/>
                <w:color w:val="auto"/>
              </w:rPr>
            </w:pPr>
            <w:r>
              <w:rPr>
                <w:rFonts w:ascii="Arial" w:cs="Arial" w:eastAsia="Arial" w:hAnsi="Arial"/>
                <w:sz w:val="17"/>
                <w:szCs w:val="17"/>
                <w:b w:val="1"/>
                <w:bCs w:val="1"/>
                <w:color w:val="auto"/>
              </w:rPr>
              <w:t>$</w:t>
            </w:r>
          </w:p>
        </w:tc>
        <w:tc>
          <w:tcPr>
            <w:tcW w:w="1560" w:type="dxa"/>
            <w:vAlign w:val="bottom"/>
            <w:gridSpan w:val="2"/>
          </w:tcPr>
          <w:p>
            <w:pPr>
              <w:jc w:val="right"/>
              <w:ind w:right="87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63"/>
        </w:trPr>
        <w:tc>
          <w:tcPr>
            <w:tcW w:w="6680" w:type="dxa"/>
            <w:vAlign w:val="bottom"/>
            <w:vMerge w:val="continue"/>
          </w:tcPr>
          <w:p>
            <w:pPr>
              <w:spacing w:after="0"/>
              <w:rPr>
                <w:sz w:val="14"/>
                <w:szCs w:val="14"/>
                <w:color w:val="auto"/>
              </w:rPr>
            </w:pPr>
          </w:p>
        </w:tc>
        <w:tc>
          <w:tcPr>
            <w:tcW w:w="15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501.0</w:t>
            </w:r>
          </w:p>
        </w:tc>
        <w:tc>
          <w:tcPr>
            <w:tcW w:w="1560" w:type="dxa"/>
            <w:vAlign w:val="bottom"/>
            <w:gridSpan w:val="2"/>
            <w:vMerge w:val="restart"/>
          </w:tcPr>
          <w:p>
            <w:pPr>
              <w:jc w:val="right"/>
              <w:spacing w:after="0"/>
              <w:rPr>
                <w:sz w:val="20"/>
                <w:szCs w:val="20"/>
                <w:color w:val="auto"/>
              </w:rPr>
            </w:pPr>
            <w:r>
              <w:rPr>
                <w:rFonts w:ascii="Arial" w:cs="Arial" w:eastAsia="Arial" w:hAnsi="Arial"/>
                <w:sz w:val="17"/>
                <w:szCs w:val="17"/>
                <w:color w:val="auto"/>
              </w:rPr>
              <w:t>967.2</w:t>
            </w:r>
          </w:p>
        </w:tc>
        <w:tc>
          <w:tcPr>
            <w:tcW w:w="0" w:type="dxa"/>
            <w:vAlign w:val="bottom"/>
          </w:tcPr>
          <w:p>
            <w:pPr>
              <w:spacing w:after="0"/>
              <w:rPr>
                <w:sz w:val="1"/>
                <w:szCs w:val="1"/>
                <w:color w:val="auto"/>
              </w:rPr>
            </w:pPr>
          </w:p>
        </w:tc>
      </w:tr>
      <w:tr>
        <w:trPr>
          <w:trHeight w:val="62"/>
        </w:trPr>
        <w:tc>
          <w:tcPr>
            <w:tcW w:w="6680" w:type="dxa"/>
            <w:vAlign w:val="bottom"/>
          </w:tcPr>
          <w:p>
            <w:pPr>
              <w:spacing w:after="0"/>
              <w:rPr>
                <w:sz w:val="5"/>
                <w:szCs w:val="5"/>
                <w:color w:val="auto"/>
              </w:rPr>
            </w:pPr>
          </w:p>
        </w:tc>
        <w:tc>
          <w:tcPr>
            <w:tcW w:w="1540" w:type="dxa"/>
            <w:vAlign w:val="bottom"/>
            <w:vMerge w:val="continue"/>
          </w:tcPr>
          <w:p>
            <w:pPr>
              <w:spacing w:after="0"/>
              <w:rPr>
                <w:sz w:val="5"/>
                <w:szCs w:val="5"/>
                <w:color w:val="auto"/>
              </w:rPr>
            </w:pPr>
          </w:p>
        </w:tc>
        <w:tc>
          <w:tcPr>
            <w:tcW w:w="15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Accounts payable</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190.7</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250.8</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Accrued expenses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267.1</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229.0</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Accrued salaries and bonuses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173.7</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138.7</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Deferred revenue</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115.2</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132.9</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Other current liabilities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334.1</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296.6</w:t>
            </w:r>
          </w:p>
        </w:tc>
        <w:tc>
          <w:tcPr>
            <w:tcW w:w="0" w:type="dxa"/>
            <w:vAlign w:val="bottom"/>
          </w:tcPr>
          <w:p>
            <w:pPr>
              <w:spacing w:after="0"/>
              <w:rPr>
                <w:sz w:val="1"/>
                <w:szCs w:val="1"/>
                <w:color w:val="auto"/>
              </w:rPr>
            </w:pPr>
          </w:p>
        </w:tc>
      </w:tr>
      <w:tr>
        <w:trPr>
          <w:trHeight w:val="225"/>
        </w:trPr>
        <w:tc>
          <w:tcPr>
            <w:tcW w:w="6680" w:type="dxa"/>
            <w:vAlign w:val="bottom"/>
          </w:tcPr>
          <w:p>
            <w:pPr>
              <w:ind w:left="220"/>
              <w:spacing w:after="0"/>
              <w:rPr>
                <w:sz w:val="20"/>
                <w:szCs w:val="20"/>
                <w:color w:val="auto"/>
              </w:rPr>
            </w:pPr>
            <w:r>
              <w:rPr>
                <w:rFonts w:ascii="Arial" w:cs="Arial" w:eastAsia="Arial" w:hAnsi="Arial"/>
                <w:sz w:val="17"/>
                <w:szCs w:val="17"/>
                <w:color w:val="auto"/>
              </w:rPr>
              <w:t>Total current liabilities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1,581.8</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2,015.2</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Long-term debt</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5,500.4</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4,820.1</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Deferred income tax liabilities, net</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468.8</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460.3</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Long-term pension and other postretirement benefit liabilities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97.7</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100.4</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Other long-term liabilities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215.6</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178.6</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Total liabilities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7,864.3</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7,574.6</w:t>
            </w:r>
          </w:p>
        </w:tc>
        <w:tc>
          <w:tcPr>
            <w:tcW w:w="0" w:type="dxa"/>
            <w:vAlign w:val="bottom"/>
          </w:tcPr>
          <w:p>
            <w:pPr>
              <w:spacing w:after="0"/>
              <w:rPr>
                <w:sz w:val="1"/>
                <w:szCs w:val="1"/>
                <w:color w:val="auto"/>
              </w:rPr>
            </w:pPr>
          </w:p>
        </w:tc>
      </w:tr>
      <w:tr>
        <w:trPr>
          <w:trHeight w:val="227"/>
        </w:trPr>
        <w:tc>
          <w:tcPr>
            <w:tcW w:w="6680" w:type="dxa"/>
            <w:vAlign w:val="bottom"/>
          </w:tcPr>
          <w:p>
            <w:pPr>
              <w:ind w:left="60"/>
              <w:spacing w:after="0"/>
              <w:rPr>
                <w:sz w:val="20"/>
                <w:szCs w:val="20"/>
                <w:color w:val="auto"/>
              </w:rPr>
            </w:pPr>
            <w:r>
              <w:rPr>
                <w:rFonts w:ascii="Arial" w:cs="Arial" w:eastAsia="Arial" w:hAnsi="Arial"/>
                <w:sz w:val="17"/>
                <w:szCs w:val="17"/>
                <w:color w:val="auto"/>
              </w:rPr>
              <w:t>Redeemable noncontrolling interests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175.5</w:t>
            </w:r>
          </w:p>
        </w:tc>
        <w:tc>
          <w:tcPr>
            <w:tcW w:w="60" w:type="dxa"/>
            <w:vAlign w:val="bottom"/>
          </w:tcPr>
          <w:p>
            <w:pPr>
              <w:spacing w:after="0"/>
              <w:rPr>
                <w:sz w:val="19"/>
                <w:szCs w:val="19"/>
                <w:color w:val="auto"/>
              </w:rPr>
            </w:pPr>
          </w:p>
        </w:tc>
        <w:tc>
          <w:tcPr>
            <w:tcW w:w="1520" w:type="dxa"/>
            <w:vAlign w:val="bottom"/>
          </w:tcPr>
          <w:p>
            <w:pPr>
              <w:jc w:val="right"/>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21"/>
        </w:trPr>
        <w:tc>
          <w:tcPr>
            <w:tcW w:w="6680" w:type="dxa"/>
            <w:vAlign w:val="bottom"/>
          </w:tcPr>
          <w:p>
            <w:pPr>
              <w:spacing w:after="0"/>
              <w:rPr>
                <w:sz w:val="20"/>
                <w:szCs w:val="20"/>
                <w:color w:val="auto"/>
              </w:rPr>
            </w:pPr>
            <w:r>
              <w:rPr>
                <w:rFonts w:ascii="Arial" w:cs="Arial" w:eastAsia="Arial" w:hAnsi="Arial"/>
                <w:sz w:val="17"/>
                <w:szCs w:val="17"/>
                <w:color w:val="auto"/>
              </w:rPr>
              <w:t>Equifax shareholders' equity:</w:t>
            </w:r>
          </w:p>
        </w:tc>
        <w:tc>
          <w:tcPr>
            <w:tcW w:w="15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6680" w:type="dxa"/>
            <w:vAlign w:val="bottom"/>
          </w:tcPr>
          <w:p>
            <w:pPr>
              <w:ind w:left="100"/>
              <w:spacing w:after="0"/>
              <w:rPr>
                <w:sz w:val="20"/>
                <w:szCs w:val="20"/>
                <w:color w:val="auto"/>
              </w:rPr>
            </w:pPr>
            <w:r>
              <w:rPr>
                <w:rFonts w:ascii="Arial" w:cs="Arial" w:eastAsia="Arial" w:hAnsi="Arial"/>
                <w:sz w:val="17"/>
                <w:szCs w:val="17"/>
                <w:color w:val="auto"/>
              </w:rPr>
              <w:t>Preferred stock, $0.01 par value: Authorized shares - 10.0; Issued shares - none</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w:t>
            </w:r>
          </w:p>
        </w:tc>
        <w:tc>
          <w:tcPr>
            <w:tcW w:w="60" w:type="dxa"/>
            <w:vAlign w:val="bottom"/>
          </w:tcPr>
          <w:p>
            <w:pPr>
              <w:spacing w:after="0"/>
              <w:rPr>
                <w:sz w:val="19"/>
                <w:szCs w:val="19"/>
                <w:color w:val="auto"/>
              </w:rPr>
            </w:pPr>
          </w:p>
        </w:tc>
        <w:tc>
          <w:tcPr>
            <w:tcW w:w="1520" w:type="dxa"/>
            <w:vAlign w:val="bottom"/>
          </w:tcPr>
          <w:p>
            <w:pPr>
              <w:jc w:val="right"/>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95"/>
        </w:trPr>
        <w:tc>
          <w:tcPr>
            <w:tcW w:w="6680" w:type="dxa"/>
            <w:vAlign w:val="bottom"/>
          </w:tcPr>
          <w:p>
            <w:pPr>
              <w:ind w:left="100"/>
              <w:spacing w:after="0"/>
              <w:rPr>
                <w:sz w:val="20"/>
                <w:szCs w:val="20"/>
                <w:color w:val="auto"/>
              </w:rPr>
            </w:pPr>
            <w:r>
              <w:rPr>
                <w:rFonts w:ascii="Arial" w:cs="Arial" w:eastAsia="Arial" w:hAnsi="Arial"/>
                <w:sz w:val="17"/>
                <w:szCs w:val="17"/>
                <w:color w:val="auto"/>
              </w:rPr>
              <w:t>Common stock, $1.25 par value: Authorized shares - 300.0;</w:t>
            </w:r>
          </w:p>
        </w:tc>
        <w:tc>
          <w:tcPr>
            <w:tcW w:w="15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6680" w:type="dxa"/>
            <w:vAlign w:val="bottom"/>
          </w:tcPr>
          <w:p>
            <w:pPr>
              <w:ind w:left="100"/>
              <w:spacing w:after="0"/>
              <w:rPr>
                <w:sz w:val="20"/>
                <w:szCs w:val="20"/>
                <w:color w:val="auto"/>
              </w:rPr>
            </w:pPr>
            <w:r>
              <w:rPr>
                <w:rFonts w:ascii="Arial" w:cs="Arial" w:eastAsia="Arial" w:hAnsi="Arial"/>
                <w:sz w:val="17"/>
                <w:szCs w:val="17"/>
                <w:color w:val="auto"/>
              </w:rPr>
              <w:t>Issued shares - 189.3 at September 30, 2023 and December 31, 2022;</w:t>
            </w:r>
          </w:p>
        </w:tc>
        <w:tc>
          <w:tcPr>
            <w:tcW w:w="15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6680" w:type="dxa"/>
            <w:vAlign w:val="bottom"/>
          </w:tcPr>
          <w:p>
            <w:pPr>
              <w:ind w:left="100"/>
              <w:spacing w:after="0"/>
              <w:rPr>
                <w:sz w:val="20"/>
                <w:szCs w:val="20"/>
                <w:color w:val="auto"/>
              </w:rPr>
            </w:pPr>
            <w:r>
              <w:rPr>
                <w:rFonts w:ascii="Arial" w:cs="Arial" w:eastAsia="Arial" w:hAnsi="Arial"/>
                <w:sz w:val="17"/>
                <w:szCs w:val="17"/>
                <w:color w:val="auto"/>
              </w:rPr>
              <w:t>Outstanding shares - 123.2 and 122.5 at September 30, 2023 and December 31, 2022,</w:t>
            </w:r>
          </w:p>
        </w:tc>
        <w:tc>
          <w:tcPr>
            <w:tcW w:w="15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236.6</w:t>
            </w: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6680" w:type="dxa"/>
            <w:vAlign w:val="bottom"/>
          </w:tcPr>
          <w:p>
            <w:pPr>
              <w:ind w:left="100"/>
              <w:spacing w:after="0"/>
              <w:rPr>
                <w:sz w:val="20"/>
                <w:szCs w:val="20"/>
                <w:color w:val="auto"/>
              </w:rPr>
            </w:pPr>
            <w:r>
              <w:rPr>
                <w:rFonts w:ascii="Arial" w:cs="Arial" w:eastAsia="Arial" w:hAnsi="Arial"/>
                <w:sz w:val="17"/>
                <w:szCs w:val="17"/>
                <w:color w:val="auto"/>
              </w:rPr>
              <w:t>respectively</w:t>
            </w:r>
          </w:p>
        </w:tc>
        <w:tc>
          <w:tcPr>
            <w:tcW w:w="1540" w:type="dxa"/>
            <w:vAlign w:val="bottom"/>
            <w:vMerge w:val="continue"/>
          </w:tcPr>
          <w:p>
            <w:pPr>
              <w:spacing w:after="0"/>
              <w:rPr>
                <w:sz w:val="19"/>
                <w:szCs w:val="19"/>
                <w:color w:val="auto"/>
              </w:rPr>
            </w:pP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236.6</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Paid-in capital</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1,736.6</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1,594.2</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Retained earnings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5,524.5</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5,256.0</w:t>
            </w:r>
          </w:p>
        </w:tc>
        <w:tc>
          <w:tcPr>
            <w:tcW w:w="0" w:type="dxa"/>
            <w:vAlign w:val="bottom"/>
          </w:tcPr>
          <w:p>
            <w:pPr>
              <w:spacing w:after="0"/>
              <w:rPr>
                <w:sz w:val="1"/>
                <w:szCs w:val="1"/>
                <w:color w:val="auto"/>
              </w:rPr>
            </w:pPr>
          </w:p>
        </w:tc>
      </w:tr>
      <w:tr>
        <w:trPr>
          <w:trHeight w:val="227"/>
        </w:trPr>
        <w:tc>
          <w:tcPr>
            <w:tcW w:w="6680" w:type="dxa"/>
            <w:vAlign w:val="bottom"/>
          </w:tcPr>
          <w:p>
            <w:pPr>
              <w:ind w:left="100"/>
              <w:spacing w:after="0"/>
              <w:rPr>
                <w:sz w:val="20"/>
                <w:szCs w:val="20"/>
                <w:color w:val="auto"/>
              </w:rPr>
            </w:pPr>
            <w:r>
              <w:rPr>
                <w:rFonts w:ascii="Arial" w:cs="Arial" w:eastAsia="Arial" w:hAnsi="Arial"/>
                <w:sz w:val="17"/>
                <w:szCs w:val="17"/>
                <w:color w:val="auto"/>
              </w:rPr>
              <w:t>Accumulated other comprehensive loss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(563.9)</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(473.7)</w:t>
            </w:r>
          </w:p>
        </w:tc>
        <w:tc>
          <w:tcPr>
            <w:tcW w:w="0" w:type="dxa"/>
            <w:vAlign w:val="bottom"/>
          </w:tcPr>
          <w:p>
            <w:pPr>
              <w:spacing w:after="0"/>
              <w:rPr>
                <w:sz w:val="1"/>
                <w:szCs w:val="1"/>
                <w:color w:val="auto"/>
              </w:rPr>
            </w:pPr>
          </w:p>
        </w:tc>
      </w:tr>
      <w:tr>
        <w:trPr>
          <w:trHeight w:val="195"/>
        </w:trPr>
        <w:tc>
          <w:tcPr>
            <w:tcW w:w="6680" w:type="dxa"/>
            <w:vAlign w:val="bottom"/>
          </w:tcPr>
          <w:p>
            <w:pPr>
              <w:ind w:left="100"/>
              <w:spacing w:after="0"/>
              <w:rPr>
                <w:sz w:val="20"/>
                <w:szCs w:val="20"/>
                <w:color w:val="auto"/>
              </w:rPr>
            </w:pPr>
            <w:r>
              <w:rPr>
                <w:rFonts w:ascii="Arial" w:cs="Arial" w:eastAsia="Arial" w:hAnsi="Arial"/>
                <w:sz w:val="17"/>
                <w:szCs w:val="17"/>
                <w:color w:val="auto"/>
                <w:w w:val="99"/>
              </w:rPr>
              <w:t>Treasury stock, at cost, 65.5 and 66.2 shares at September 30, 2023 and December 31,</w:t>
            </w:r>
          </w:p>
        </w:tc>
        <w:tc>
          <w:tcPr>
            <w:tcW w:w="15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6680" w:type="dxa"/>
            <w:vAlign w:val="bottom"/>
          </w:tcPr>
          <w:p>
            <w:pPr>
              <w:ind w:left="100"/>
              <w:spacing w:after="0"/>
              <w:rPr>
                <w:sz w:val="20"/>
                <w:szCs w:val="20"/>
                <w:color w:val="auto"/>
              </w:rPr>
            </w:pPr>
            <w:r>
              <w:rPr>
                <w:rFonts w:ascii="Arial" w:cs="Arial" w:eastAsia="Arial" w:hAnsi="Arial"/>
                <w:sz w:val="17"/>
                <w:szCs w:val="17"/>
                <w:color w:val="auto"/>
              </w:rPr>
              <w:t>2022,</w:t>
            </w:r>
          </w:p>
        </w:tc>
        <w:tc>
          <w:tcPr>
            <w:tcW w:w="15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1"/>
        </w:trPr>
        <w:tc>
          <w:tcPr>
            <w:tcW w:w="6680" w:type="dxa"/>
            <w:vAlign w:val="bottom"/>
          </w:tcPr>
          <w:p>
            <w:pPr>
              <w:ind w:left="100"/>
              <w:spacing w:after="0"/>
              <w:rPr>
                <w:sz w:val="20"/>
                <w:szCs w:val="20"/>
                <w:color w:val="auto"/>
              </w:rPr>
            </w:pPr>
            <w:r>
              <w:rPr>
                <w:rFonts w:ascii="Arial" w:cs="Arial" w:eastAsia="Arial" w:hAnsi="Arial"/>
                <w:sz w:val="17"/>
                <w:szCs w:val="17"/>
                <w:color w:val="auto"/>
              </w:rPr>
              <w:t>respectively</w:t>
            </w:r>
          </w:p>
        </w:tc>
        <w:tc>
          <w:tcPr>
            <w:tcW w:w="15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(2,634.6)</w:t>
            </w:r>
          </w:p>
        </w:tc>
        <w:tc>
          <w:tcPr>
            <w:tcW w:w="1560" w:type="dxa"/>
            <w:vAlign w:val="bottom"/>
            <w:gridSpan w:val="2"/>
            <w:vMerge w:val="restart"/>
          </w:tcPr>
          <w:p>
            <w:pPr>
              <w:jc w:val="right"/>
              <w:spacing w:after="0"/>
              <w:rPr>
                <w:sz w:val="20"/>
                <w:szCs w:val="20"/>
                <w:color w:val="auto"/>
              </w:rPr>
            </w:pPr>
            <w:r>
              <w:rPr>
                <w:rFonts w:ascii="Arial" w:cs="Arial" w:eastAsia="Arial" w:hAnsi="Arial"/>
                <w:sz w:val="17"/>
                <w:szCs w:val="17"/>
                <w:color w:val="auto"/>
              </w:rPr>
              <w:t>(2,650.7)</w:t>
            </w:r>
          </w:p>
        </w:tc>
        <w:tc>
          <w:tcPr>
            <w:tcW w:w="0" w:type="dxa"/>
            <w:vAlign w:val="bottom"/>
          </w:tcPr>
          <w:p>
            <w:pPr>
              <w:spacing w:after="0"/>
              <w:rPr>
                <w:sz w:val="1"/>
                <w:szCs w:val="1"/>
                <w:color w:val="auto"/>
              </w:rPr>
            </w:pPr>
          </w:p>
        </w:tc>
      </w:tr>
      <w:tr>
        <w:trPr>
          <w:trHeight w:val="83"/>
        </w:trPr>
        <w:tc>
          <w:tcPr>
            <w:tcW w:w="6680" w:type="dxa"/>
            <w:vAlign w:val="bottom"/>
            <w:vMerge w:val="restart"/>
          </w:tcPr>
          <w:p>
            <w:pPr>
              <w:ind w:left="100"/>
              <w:spacing w:after="0"/>
              <w:rPr>
                <w:sz w:val="20"/>
                <w:szCs w:val="20"/>
                <w:color w:val="auto"/>
              </w:rPr>
            </w:pPr>
            <w:r>
              <w:rPr>
                <w:rFonts w:ascii="Arial" w:cs="Arial" w:eastAsia="Arial" w:hAnsi="Arial"/>
                <w:sz w:val="17"/>
                <w:szCs w:val="17"/>
                <w:color w:val="auto"/>
              </w:rPr>
              <w:t>Stock held by employee benefit trusts, at cost, 0.6 shares at September 30, 2023 and</w:t>
            </w:r>
          </w:p>
        </w:tc>
        <w:tc>
          <w:tcPr>
            <w:tcW w:w="1540" w:type="dxa"/>
            <w:vAlign w:val="bottom"/>
            <w:vMerge w:val="continue"/>
          </w:tcPr>
          <w:p>
            <w:pPr>
              <w:spacing w:after="0"/>
              <w:rPr>
                <w:sz w:val="7"/>
                <w:szCs w:val="7"/>
                <w:color w:val="auto"/>
              </w:rPr>
            </w:pPr>
          </w:p>
        </w:tc>
        <w:tc>
          <w:tcPr>
            <w:tcW w:w="156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1"/>
        </w:trPr>
        <w:tc>
          <w:tcPr>
            <w:tcW w:w="6680" w:type="dxa"/>
            <w:vAlign w:val="bottom"/>
            <w:vMerge w:val="continue"/>
          </w:tcPr>
          <w:p>
            <w:pPr>
              <w:spacing w:after="0"/>
              <w:rPr>
                <w:sz w:val="16"/>
                <w:szCs w:val="16"/>
                <w:color w:val="auto"/>
              </w:rPr>
            </w:pPr>
          </w:p>
        </w:tc>
        <w:tc>
          <w:tcPr>
            <w:tcW w:w="154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(5.9)</w:t>
            </w:r>
          </w:p>
        </w:tc>
        <w:tc>
          <w:tcPr>
            <w:tcW w:w="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6680" w:type="dxa"/>
            <w:vAlign w:val="bottom"/>
          </w:tcPr>
          <w:p>
            <w:pPr>
              <w:ind w:left="100"/>
              <w:spacing w:after="0"/>
              <w:rPr>
                <w:sz w:val="20"/>
                <w:szCs w:val="20"/>
                <w:color w:val="auto"/>
              </w:rPr>
            </w:pPr>
            <w:r>
              <w:rPr>
                <w:rFonts w:ascii="Arial" w:cs="Arial" w:eastAsia="Arial" w:hAnsi="Arial"/>
                <w:sz w:val="17"/>
                <w:szCs w:val="17"/>
                <w:color w:val="auto"/>
              </w:rPr>
              <w:t>December 31, 2022</w:t>
            </w:r>
          </w:p>
        </w:tc>
        <w:tc>
          <w:tcPr>
            <w:tcW w:w="1540" w:type="dxa"/>
            <w:vAlign w:val="bottom"/>
            <w:vMerge w:val="continue"/>
          </w:tcPr>
          <w:p>
            <w:pPr>
              <w:spacing w:after="0"/>
              <w:rPr>
                <w:sz w:val="19"/>
                <w:szCs w:val="19"/>
                <w:color w:val="auto"/>
              </w:rPr>
            </w:pP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(5.9)</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Total Equifax shareholders' equity</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4,293.3</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3,956.5</w:t>
            </w:r>
          </w:p>
        </w:tc>
        <w:tc>
          <w:tcPr>
            <w:tcW w:w="0" w:type="dxa"/>
            <w:vAlign w:val="bottom"/>
          </w:tcPr>
          <w:p>
            <w:pPr>
              <w:spacing w:after="0"/>
              <w:rPr>
                <w:sz w:val="1"/>
                <w:szCs w:val="1"/>
                <w:color w:val="auto"/>
              </w:rPr>
            </w:pPr>
          </w:p>
        </w:tc>
      </w:tr>
      <w:tr>
        <w:trPr>
          <w:trHeight w:val="225"/>
        </w:trPr>
        <w:tc>
          <w:tcPr>
            <w:tcW w:w="6680" w:type="dxa"/>
            <w:vAlign w:val="bottom"/>
          </w:tcPr>
          <w:p>
            <w:pPr>
              <w:spacing w:after="0"/>
              <w:rPr>
                <w:sz w:val="20"/>
                <w:szCs w:val="20"/>
                <w:color w:val="auto"/>
              </w:rPr>
            </w:pPr>
            <w:r>
              <w:rPr>
                <w:rFonts w:ascii="Arial" w:cs="Arial" w:eastAsia="Arial" w:hAnsi="Arial"/>
                <w:sz w:val="17"/>
                <w:szCs w:val="17"/>
                <w:color w:val="auto"/>
              </w:rPr>
              <w:t>Noncontrolling interests</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15.8</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16.8</w:t>
            </w:r>
          </w:p>
        </w:tc>
        <w:tc>
          <w:tcPr>
            <w:tcW w:w="0" w:type="dxa"/>
            <w:vAlign w:val="bottom"/>
          </w:tcPr>
          <w:p>
            <w:pPr>
              <w:spacing w:after="0"/>
              <w:rPr>
                <w:sz w:val="1"/>
                <w:szCs w:val="1"/>
                <w:color w:val="auto"/>
              </w:rPr>
            </w:pPr>
          </w:p>
        </w:tc>
      </w:tr>
      <w:tr>
        <w:trPr>
          <w:trHeight w:val="225"/>
        </w:trPr>
        <w:tc>
          <w:tcPr>
            <w:tcW w:w="6680" w:type="dxa"/>
            <w:vAlign w:val="bottom"/>
          </w:tcPr>
          <w:p>
            <w:pPr>
              <w:ind w:left="100"/>
              <w:spacing w:after="0"/>
              <w:rPr>
                <w:sz w:val="20"/>
                <w:szCs w:val="20"/>
                <w:color w:val="auto"/>
              </w:rPr>
            </w:pPr>
            <w:r>
              <w:rPr>
                <w:rFonts w:ascii="Arial" w:cs="Arial" w:eastAsia="Arial" w:hAnsi="Arial"/>
                <w:sz w:val="17"/>
                <w:szCs w:val="17"/>
                <w:color w:val="auto"/>
              </w:rPr>
              <w:t>Total shareholders' equity</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4,309.1</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3,973.3</w:t>
            </w:r>
          </w:p>
        </w:tc>
        <w:tc>
          <w:tcPr>
            <w:tcW w:w="0" w:type="dxa"/>
            <w:vAlign w:val="bottom"/>
          </w:tcPr>
          <w:p>
            <w:pPr>
              <w:spacing w:after="0"/>
              <w:rPr>
                <w:sz w:val="1"/>
                <w:szCs w:val="1"/>
                <w:color w:val="auto"/>
              </w:rPr>
            </w:pPr>
          </w:p>
        </w:tc>
      </w:tr>
      <w:tr>
        <w:trPr>
          <w:trHeight w:val="195"/>
        </w:trPr>
        <w:tc>
          <w:tcPr>
            <w:tcW w:w="6680" w:type="dxa"/>
            <w:vAlign w:val="bottom"/>
          </w:tcPr>
          <w:p>
            <w:pPr>
              <w:spacing w:after="0"/>
              <w:rPr>
                <w:sz w:val="16"/>
                <w:szCs w:val="16"/>
                <w:color w:val="auto"/>
              </w:rPr>
            </w:pPr>
          </w:p>
        </w:tc>
        <w:tc>
          <w:tcPr>
            <w:tcW w:w="1540" w:type="dxa"/>
            <w:vAlign w:val="bottom"/>
          </w:tcPr>
          <w:p>
            <w:pPr>
              <w:jc w:val="right"/>
              <w:ind w:right="698"/>
              <w:spacing w:after="0"/>
              <w:rPr>
                <w:sz w:val="20"/>
                <w:szCs w:val="20"/>
                <w:color w:val="auto"/>
              </w:rPr>
            </w:pPr>
            <w:r>
              <w:rPr>
                <w:rFonts w:ascii="Arial" w:cs="Arial" w:eastAsia="Arial" w:hAnsi="Arial"/>
                <w:sz w:val="17"/>
                <w:szCs w:val="17"/>
                <w:b w:val="1"/>
                <w:bCs w:val="1"/>
                <w:color w:val="auto"/>
              </w:rPr>
              <w:t>$</w:t>
            </w:r>
          </w:p>
        </w:tc>
        <w:tc>
          <w:tcPr>
            <w:tcW w:w="1560" w:type="dxa"/>
            <w:vAlign w:val="bottom"/>
            <w:gridSpan w:val="2"/>
          </w:tcPr>
          <w:p>
            <w:pPr>
              <w:jc w:val="right"/>
              <w:ind w:right="65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231"/>
        </w:trPr>
        <w:tc>
          <w:tcPr>
            <w:tcW w:w="6680" w:type="dxa"/>
            <w:vAlign w:val="bottom"/>
          </w:tcPr>
          <w:p>
            <w:pPr>
              <w:spacing w:after="0"/>
              <w:rPr>
                <w:sz w:val="20"/>
                <w:szCs w:val="20"/>
                <w:color w:val="auto"/>
              </w:rPr>
            </w:pPr>
            <w:r>
              <w:rPr>
                <w:rFonts w:ascii="Arial" w:cs="Arial" w:eastAsia="Arial" w:hAnsi="Arial"/>
                <w:sz w:val="17"/>
                <w:szCs w:val="17"/>
                <w:color w:val="auto"/>
              </w:rPr>
              <w:t>Total liabilities, redeemable noncontrolling interests, and shareholders' equity</w:t>
            </w:r>
          </w:p>
        </w:tc>
        <w:tc>
          <w:tcPr>
            <w:tcW w:w="1540" w:type="dxa"/>
            <w:vAlign w:val="bottom"/>
          </w:tcPr>
          <w:p>
            <w:pPr>
              <w:jc w:val="right"/>
              <w:spacing w:after="0"/>
              <w:rPr>
                <w:sz w:val="20"/>
                <w:szCs w:val="20"/>
                <w:color w:val="auto"/>
              </w:rPr>
            </w:pPr>
            <w:r>
              <w:rPr>
                <w:rFonts w:ascii="Arial" w:cs="Arial" w:eastAsia="Arial" w:hAnsi="Arial"/>
                <w:sz w:val="17"/>
                <w:szCs w:val="17"/>
                <w:b w:val="1"/>
                <w:bCs w:val="1"/>
                <w:color w:val="auto"/>
              </w:rPr>
              <w:t>12,348.9</w:t>
            </w:r>
          </w:p>
        </w:tc>
        <w:tc>
          <w:tcPr>
            <w:tcW w:w="1560" w:type="dxa"/>
            <w:vAlign w:val="bottom"/>
            <w:gridSpan w:val="2"/>
          </w:tcPr>
          <w:p>
            <w:pPr>
              <w:jc w:val="right"/>
              <w:spacing w:after="0"/>
              <w:rPr>
                <w:sz w:val="20"/>
                <w:szCs w:val="20"/>
                <w:color w:val="auto"/>
              </w:rPr>
            </w:pPr>
            <w:r>
              <w:rPr>
                <w:rFonts w:ascii="Arial" w:cs="Arial" w:eastAsia="Arial" w:hAnsi="Arial"/>
                <w:sz w:val="17"/>
                <w:szCs w:val="17"/>
                <w:color w:val="auto"/>
              </w:rPr>
              <w:t>11,547.9</w:t>
            </w:r>
          </w:p>
        </w:tc>
        <w:tc>
          <w:tcPr>
            <w:tcW w:w="0" w:type="dxa"/>
            <w:vAlign w:val="bottom"/>
          </w:tcPr>
          <w:p>
            <w:pPr>
              <w:spacing w:after="0"/>
              <w:rPr>
                <w:sz w:val="1"/>
                <w:szCs w:val="1"/>
                <w:color w:val="auto"/>
              </w:rPr>
            </w:pPr>
          </w:p>
        </w:tc>
      </w:tr>
      <w:tr>
        <w:trPr>
          <w:trHeight w:val="25"/>
        </w:trPr>
        <w:tc>
          <w:tcPr>
            <w:tcW w:w="6680" w:type="dxa"/>
            <w:vAlign w:val="bottom"/>
          </w:tcPr>
          <w:p>
            <w:pPr>
              <w:spacing w:after="0"/>
              <w:rPr>
                <w:sz w:val="2"/>
                <w:szCs w:val="2"/>
                <w:color w:val="auto"/>
              </w:rPr>
            </w:pPr>
          </w:p>
        </w:tc>
        <w:tc>
          <w:tcPr>
            <w:tcW w:w="1540" w:type="dxa"/>
            <w:vAlign w:val="bottom"/>
            <w:tcBorders>
              <w:top w:val="single" w:sz="8" w:color="auto"/>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1520" w:type="dxa"/>
            <w:vAlign w:val="bottom"/>
            <w:tcBorders>
              <w:top w:val="single" w:sz="8" w:color="auto"/>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ectPr>
          <w:pgSz w:w="12240" w:h="15840" w:orient="portrait"/>
          <w:cols w:equalWidth="0" w:num="1">
            <w:col w:w="9780"/>
          </w:cols>
          <w:pgMar w:left="1260" w:top="1075" w:right="1200" w:bottom="440" w:gutter="0" w:footer="0" w:header="0"/>
        </w:sectPr>
      </w:pPr>
    </w:p>
    <w:bookmarkStart w:id="7" w:name="page8"/>
    <w:bookmarkEnd w:id="7"/>
    <w:p>
      <w:pPr>
        <w:spacing w:after="0" w:line="161" w:lineRule="exact"/>
        <w:rPr>
          <w:sz w:val="20"/>
          <w:szCs w:val="20"/>
          <w:color w:val="auto"/>
        </w:rPr>
      </w:pPr>
    </w:p>
    <w:p>
      <w:pPr>
        <w:ind w:left="60"/>
        <w:spacing w:after="0"/>
        <w:rPr>
          <w:sz w:val="20"/>
          <w:szCs w:val="20"/>
          <w:color w:val="auto"/>
        </w:rPr>
      </w:pPr>
      <w:r>
        <w:rPr>
          <w:rFonts w:ascii="Arial" w:cs="Arial" w:eastAsia="Arial" w:hAnsi="Arial"/>
          <w:sz w:val="17"/>
          <w:szCs w:val="17"/>
          <w:color w:val="auto"/>
        </w:rPr>
        <w:t>EQUIFAX</w:t>
      </w:r>
    </w:p>
    <w:p>
      <w:pPr>
        <w:spacing w:after="0" w:line="20" w:lineRule="exact"/>
        <w:rPr>
          <w:sz w:val="20"/>
          <w:szCs w:val="20"/>
          <w:color w:val="auto"/>
        </w:rPr>
      </w:pPr>
    </w:p>
    <w:p>
      <w:pPr>
        <w:ind w:left="60"/>
        <w:spacing w:after="0"/>
        <w:rPr>
          <w:sz w:val="20"/>
          <w:szCs w:val="20"/>
          <w:color w:val="auto"/>
        </w:rPr>
      </w:pPr>
      <w:r>
        <w:rPr>
          <w:rFonts w:ascii="Arial" w:cs="Arial" w:eastAsia="Arial" w:hAnsi="Arial"/>
          <w:sz w:val="17"/>
          <w:szCs w:val="17"/>
          <w:b w:val="1"/>
          <w:bCs w:val="1"/>
          <w:u w:val="single" w:color="auto"/>
          <w:color w:val="auto"/>
        </w:rPr>
        <w:t>CONSOLIDATED STATEMENTS OF CASH FLOWS</w:t>
      </w:r>
    </w:p>
    <w:p>
      <w:pPr>
        <w:spacing w:after="0" w:line="14" w:lineRule="exact"/>
        <w:rPr>
          <w:sz w:val="20"/>
          <w:szCs w:val="20"/>
          <w:color w:val="auto"/>
        </w:rPr>
      </w:pPr>
    </w:p>
    <w:p>
      <w:pPr>
        <w:jc w:val="center"/>
        <w:ind w:left="6920"/>
        <w:spacing w:after="0"/>
        <w:rPr>
          <w:sz w:val="20"/>
          <w:szCs w:val="20"/>
          <w:color w:val="auto"/>
        </w:rPr>
      </w:pPr>
      <w:r>
        <w:rPr>
          <w:rFonts w:ascii="Arial" w:cs="Arial" w:eastAsia="Arial" w:hAnsi="Arial"/>
          <w:sz w:val="15"/>
          <w:szCs w:val="15"/>
          <w:b w:val="1"/>
          <w:bCs w:val="1"/>
          <w:color w:val="auto"/>
        </w:rPr>
        <w:t>Nine Months Ended September 30,</w:t>
      </w:r>
    </w:p>
    <w:p>
      <w:pPr>
        <w:spacing w:after="0" w:line="53" w:lineRule="exact"/>
        <w:rPr>
          <w:sz w:val="20"/>
          <w:szCs w:val="20"/>
          <w:color w:val="auto"/>
        </w:rPr>
      </w:pPr>
    </w:p>
    <w:p>
      <w:pPr>
        <w:ind w:left="7440"/>
        <w:spacing w:after="0"/>
        <w:tabs>
          <w:tab w:leader="none" w:pos="8920" w:val="left"/>
        </w:tabs>
        <w:rPr>
          <w:sz w:val="20"/>
          <w:szCs w:val="20"/>
          <w:color w:val="auto"/>
        </w:rPr>
      </w:pPr>
      <w:r>
        <w:rPr>
          <w:rFonts w:ascii="Arial" w:cs="Arial" w:eastAsia="Arial" w:hAnsi="Arial"/>
          <w:sz w:val="17"/>
          <w:szCs w:val="17"/>
          <w:b w:val="1"/>
          <w:bCs w:val="1"/>
          <w:color w:val="auto"/>
        </w:rPr>
        <w:t>2023</w:t>
      </w:r>
      <w:r>
        <w:rPr>
          <w:sz w:val="20"/>
          <w:szCs w:val="20"/>
          <w:color w:val="auto"/>
        </w:rPr>
        <w:tab/>
      </w:r>
      <w:r>
        <w:rPr>
          <w:rFonts w:ascii="Arial" w:cs="Arial" w:eastAsia="Arial" w:hAnsi="Arial"/>
          <w:sz w:val="17"/>
          <w:szCs w:val="17"/>
          <w:b w:val="1"/>
          <w:bCs w:val="1"/>
          <w:color w:val="auto"/>
        </w:rPr>
        <w:t>2022</w:t>
      </w:r>
    </w:p>
    <w:p>
      <w:pPr>
        <w:sectPr>
          <w:pgSz w:w="12240" w:h="15840" w:orient="portrait"/>
          <w:cols w:equalWidth="0" w:num="1">
            <w:col w:w="9820"/>
          </w:cols>
          <w:pgMar w:left="1200" w:top="1440" w:right="1220" w:bottom="1440" w:gutter="0" w:footer="0" w:header="0"/>
        </w:sectPr>
      </w:pP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i w:val="1"/>
          <w:iCs w:val="1"/>
          <w:color w:val="auto"/>
        </w:rPr>
        <w:t>(In millions)</w:t>
      </w:r>
    </w:p>
    <w:p>
      <w:pPr>
        <w:spacing w:after="0" w:line="25" w:lineRule="exact"/>
        <w:rPr>
          <w:sz w:val="20"/>
          <w:szCs w:val="20"/>
          <w:color w:val="auto"/>
        </w:rPr>
      </w:pPr>
    </w:p>
    <w:p>
      <w:pPr>
        <w:ind w:left="60"/>
        <w:spacing w:after="0"/>
        <w:rPr>
          <w:sz w:val="20"/>
          <w:szCs w:val="20"/>
          <w:color w:val="auto"/>
        </w:rPr>
      </w:pPr>
      <w:r>
        <w:rPr>
          <w:rFonts w:ascii="Arial" w:cs="Arial" w:eastAsia="Arial" w:hAnsi="Arial"/>
          <w:sz w:val="15"/>
          <w:szCs w:val="15"/>
          <w:color w:val="auto"/>
        </w:rPr>
        <w:t>Operating activities:</w:t>
      </w:r>
    </w:p>
    <w:p>
      <w:pPr>
        <w:spacing w:after="0" w:line="20" w:lineRule="exact"/>
        <w:rPr>
          <w:sz w:val="20"/>
          <w:szCs w:val="20"/>
          <w:color w:val="auto"/>
        </w:rPr>
      </w:pPr>
      <w:r>
        <w:rPr>
          <w:sz w:val="20"/>
          <w:szCs w:val="20"/>
          <w:color w:val="auto"/>
        </w:rPr>
        <w:br w:type="column"/>
      </w:r>
    </w:p>
    <w:p>
      <w:pPr>
        <w:spacing w:after="0" w:line="10"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(Unaudited)</w:t>
      </w:r>
    </w:p>
    <w:p>
      <w:pPr>
        <w:spacing w:after="0" w:line="271" w:lineRule="exact"/>
        <w:rPr>
          <w:sz w:val="20"/>
          <w:szCs w:val="20"/>
          <w:color w:val="auto"/>
        </w:rPr>
      </w:pPr>
    </w:p>
    <w:p>
      <w:pPr>
        <w:sectPr>
          <w:pgSz w:w="12240" w:h="15840" w:orient="portrait"/>
          <w:cols w:equalWidth="0" w:num="2">
            <w:col w:w="7240" w:space="720"/>
            <w:col w:w="1860"/>
          </w:cols>
          <w:pgMar w:left="1200" w:top="1440" w:right="1220" w:bottom="1440" w:gutter="0" w:footer="0" w:header="0"/>
          <w:type w:val="continuous"/>
        </w:sectPr>
      </w:pPr>
    </w:p>
    <w:p>
      <w:pPr>
        <w:spacing w:after="0" w:line="197"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Consolidated net income</w:t>
      </w:r>
    </w:p>
    <w:p>
      <w:pPr>
        <w:spacing w:after="0" w:line="30" w:lineRule="exact"/>
        <w:rPr>
          <w:sz w:val="20"/>
          <w:szCs w:val="20"/>
          <w:color w:val="auto"/>
        </w:rPr>
      </w:pPr>
    </w:p>
    <w:p>
      <w:pPr>
        <w:ind w:left="120" w:right="420"/>
        <w:spacing w:after="0" w:line="257" w:lineRule="auto"/>
        <w:rPr>
          <w:sz w:val="20"/>
          <w:szCs w:val="20"/>
          <w:color w:val="auto"/>
        </w:rPr>
      </w:pPr>
      <w:r>
        <w:rPr>
          <w:rFonts w:ascii="Arial" w:cs="Arial" w:eastAsia="Arial" w:hAnsi="Arial"/>
          <w:sz w:val="17"/>
          <w:szCs w:val="17"/>
          <w:color w:val="auto"/>
        </w:rPr>
        <w:t>Adjustments to reconcile consolidated net income to net cash provided by operating activities:</w:t>
      </w:r>
    </w:p>
    <w:p>
      <w:pPr>
        <w:spacing w:after="0" w:line="1" w:lineRule="exact"/>
        <w:rPr>
          <w:sz w:val="20"/>
          <w:szCs w:val="20"/>
          <w:color w:val="auto"/>
        </w:rPr>
      </w:pPr>
    </w:p>
    <w:p>
      <w:pPr>
        <w:ind w:left="160"/>
        <w:spacing w:after="0"/>
        <w:rPr>
          <w:sz w:val="20"/>
          <w:szCs w:val="20"/>
          <w:color w:val="auto"/>
        </w:rPr>
      </w:pPr>
      <w:r>
        <w:rPr>
          <w:rFonts w:ascii="Arial" w:cs="Arial" w:eastAsia="Arial" w:hAnsi="Arial"/>
          <w:sz w:val="17"/>
          <w:szCs w:val="17"/>
          <w:color w:val="auto"/>
        </w:rPr>
        <w:t>Depreciation and amortization</w:t>
      </w:r>
    </w:p>
    <w:p>
      <w:pPr>
        <w:spacing w:after="0" w:line="30" w:lineRule="exact"/>
        <w:rPr>
          <w:sz w:val="20"/>
          <w:szCs w:val="20"/>
          <w:color w:val="auto"/>
        </w:rPr>
      </w:pPr>
    </w:p>
    <w:p>
      <w:pPr>
        <w:ind w:left="160"/>
        <w:spacing w:after="0"/>
        <w:rPr>
          <w:sz w:val="20"/>
          <w:szCs w:val="20"/>
          <w:color w:val="auto"/>
        </w:rPr>
      </w:pPr>
      <w:r>
        <w:rPr>
          <w:rFonts w:ascii="Arial" w:cs="Arial" w:eastAsia="Arial" w:hAnsi="Arial"/>
          <w:sz w:val="17"/>
          <w:szCs w:val="17"/>
          <w:color w:val="auto"/>
        </w:rPr>
        <w:t>Stock-based compensation expense</w:t>
      </w:r>
    </w:p>
    <w:p>
      <w:pPr>
        <w:spacing w:after="0" w:line="30" w:lineRule="exact"/>
        <w:rPr>
          <w:sz w:val="20"/>
          <w:szCs w:val="20"/>
          <w:color w:val="auto"/>
        </w:rPr>
      </w:pPr>
    </w:p>
    <w:p>
      <w:pPr>
        <w:ind w:left="160"/>
        <w:spacing w:after="0"/>
        <w:rPr>
          <w:sz w:val="20"/>
          <w:szCs w:val="20"/>
          <w:color w:val="auto"/>
        </w:rPr>
      </w:pPr>
      <w:r>
        <w:rPr>
          <w:rFonts w:ascii="Arial" w:cs="Arial" w:eastAsia="Arial" w:hAnsi="Arial"/>
          <w:sz w:val="17"/>
          <w:szCs w:val="17"/>
          <w:color w:val="auto"/>
        </w:rPr>
        <w:t>Deferred income taxes</w:t>
      </w:r>
    </w:p>
    <w:p>
      <w:pPr>
        <w:spacing w:after="0" w:line="30" w:lineRule="exact"/>
        <w:rPr>
          <w:sz w:val="20"/>
          <w:szCs w:val="20"/>
          <w:color w:val="auto"/>
        </w:rPr>
      </w:pPr>
    </w:p>
    <w:p>
      <w:pPr>
        <w:ind w:left="160"/>
        <w:spacing w:after="0"/>
        <w:rPr>
          <w:sz w:val="20"/>
          <w:szCs w:val="20"/>
          <w:color w:val="auto"/>
        </w:rPr>
      </w:pPr>
      <w:r>
        <w:rPr>
          <w:rFonts w:ascii="Arial" w:cs="Arial" w:eastAsia="Arial" w:hAnsi="Arial"/>
          <w:sz w:val="17"/>
          <w:szCs w:val="17"/>
          <w:color w:val="auto"/>
        </w:rPr>
        <w:t>Gain on fair market value adjustment and gain on sale of equity investments</w:t>
      </w:r>
    </w:p>
    <w:p>
      <w:pPr>
        <w:spacing w:after="0" w:line="30" w:lineRule="exact"/>
        <w:rPr>
          <w:sz w:val="20"/>
          <w:szCs w:val="20"/>
          <w:color w:val="auto"/>
        </w:rPr>
      </w:pPr>
    </w:p>
    <w:p>
      <w:pPr>
        <w:ind w:left="160"/>
        <w:spacing w:after="0"/>
        <w:rPr>
          <w:sz w:val="20"/>
          <w:szCs w:val="20"/>
          <w:color w:val="auto"/>
        </w:rPr>
      </w:pPr>
      <w:r>
        <w:rPr>
          <w:rFonts w:ascii="Arial" w:cs="Arial" w:eastAsia="Arial" w:hAnsi="Arial"/>
          <w:sz w:val="17"/>
          <w:szCs w:val="17"/>
          <w:color w:val="auto"/>
        </w:rPr>
        <w:t>Changes in assets and liabilities, excluding effects of acquisitions:</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7"/>
          <w:szCs w:val="17"/>
          <w:color w:val="auto"/>
        </w:rPr>
        <w:t>Accounts receivable, net</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7"/>
          <w:szCs w:val="17"/>
          <w:color w:val="auto"/>
        </w:rPr>
        <w:t>Other assets, current and long-term</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7"/>
          <w:szCs w:val="17"/>
          <w:color w:val="auto"/>
        </w:rPr>
        <w:t>Current and long term liabilities, excluding debt</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provided by operating activities</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Investing activities: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Capital expenditures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Acquisitions, net of cash acquired</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Cash received from divestitures</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used in investing activities</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Financing activities: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Net short-term borrowings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Payments on long-term debt</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Borrowings on long-term debt</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Dividends paid to Equifax shareholders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Dividends paid to noncontrolling interests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Proceeds from exercise of stock options and employee stock purchase plan</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Payment of taxes related to settlement of equity awards</w:t>
      </w:r>
    </w:p>
    <w:p>
      <w:pPr>
        <w:spacing w:after="0" w:line="30" w:lineRule="exact"/>
        <w:rPr>
          <w:sz w:val="20"/>
          <w:szCs w:val="20"/>
          <w:color w:val="auto"/>
        </w:rPr>
      </w:pPr>
    </w:p>
    <w:p>
      <w:pPr>
        <w:ind w:left="120"/>
        <w:spacing w:after="0"/>
        <w:rPr>
          <w:sz w:val="20"/>
          <w:szCs w:val="20"/>
          <w:color w:val="auto"/>
        </w:rPr>
      </w:pPr>
      <w:r>
        <w:rPr>
          <w:rFonts w:ascii="Arial" w:cs="Arial" w:eastAsia="Arial" w:hAnsi="Arial"/>
          <w:sz w:val="17"/>
          <w:szCs w:val="17"/>
          <w:color w:val="auto"/>
        </w:rPr>
        <w:t>Debt issuance costs</w:t>
      </w:r>
    </w:p>
    <w:p>
      <w:pPr>
        <w:spacing w:after="0" w:line="30"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provided by financing activities</w:t>
      </w:r>
    </w:p>
    <w:p>
      <w:pPr>
        <w:spacing w:after="0" w:line="30" w:lineRule="exact"/>
        <w:rPr>
          <w:sz w:val="20"/>
          <w:szCs w:val="20"/>
          <w:color w:val="auto"/>
        </w:rPr>
      </w:pPr>
    </w:p>
    <w:p>
      <w:pPr>
        <w:ind w:left="60" w:right="1360"/>
        <w:spacing w:after="0" w:line="276" w:lineRule="auto"/>
        <w:rPr>
          <w:sz w:val="20"/>
          <w:szCs w:val="20"/>
          <w:color w:val="auto"/>
        </w:rPr>
      </w:pPr>
      <w:r>
        <w:rPr>
          <w:rFonts w:ascii="Arial" w:cs="Arial" w:eastAsia="Arial" w:hAnsi="Arial"/>
          <w:sz w:val="17"/>
          <w:szCs w:val="17"/>
          <w:color w:val="auto"/>
        </w:rPr>
        <w:t>Effect of foreign currency exchange rates on cash and cash equivalents Increase in cash and cash equivalents</w:t>
      </w:r>
    </w:p>
    <w:p>
      <w:pPr>
        <w:ind w:left="60"/>
        <w:spacing w:after="0"/>
        <w:rPr>
          <w:sz w:val="20"/>
          <w:szCs w:val="20"/>
          <w:color w:val="auto"/>
        </w:rPr>
      </w:pPr>
      <w:r>
        <w:rPr>
          <w:rFonts w:ascii="Arial" w:cs="Arial" w:eastAsia="Arial" w:hAnsi="Arial"/>
          <w:sz w:val="17"/>
          <w:szCs w:val="17"/>
          <w:color w:val="auto"/>
        </w:rPr>
        <w:t>Cash and cash equivalents, beginning of period</w:t>
      </w:r>
    </w:p>
    <w:p>
      <w:pPr>
        <w:spacing w:after="0" w:line="255" w:lineRule="exact"/>
        <w:rPr>
          <w:sz w:val="20"/>
          <w:szCs w:val="20"/>
          <w:color w:val="auto"/>
        </w:rPr>
      </w:pPr>
    </w:p>
    <w:p>
      <w:pPr>
        <w:ind w:left="60"/>
        <w:spacing w:after="0"/>
        <w:rPr>
          <w:sz w:val="20"/>
          <w:szCs w:val="20"/>
          <w:color w:val="auto"/>
        </w:rPr>
      </w:pPr>
      <w:r>
        <w:rPr>
          <w:rFonts w:ascii="Arial" w:cs="Arial" w:eastAsia="Arial" w:hAnsi="Arial"/>
          <w:sz w:val="17"/>
          <w:szCs w:val="17"/>
          <w:color w:val="auto"/>
        </w:rPr>
        <w:t>Cash and cash equivalents, end of period</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b w:val="1"/>
          <w:bCs w:val="1"/>
          <w:color w:val="auto"/>
        </w:rPr>
        <w:t>$</w:t>
      </w:r>
    </w:p>
    <w:p>
      <w:pPr>
        <w:spacing w:after="0" w:line="22"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417.2</w:t>
      </w:r>
    </w:p>
    <w:p>
      <w:pPr>
        <w:spacing w:after="0" w:line="200" w:lineRule="exact"/>
        <w:rPr>
          <w:sz w:val="20"/>
          <w:szCs w:val="20"/>
          <w:color w:val="auto"/>
        </w:rPr>
      </w:pPr>
    </w:p>
    <w:p>
      <w:pPr>
        <w:spacing w:after="0" w:line="251"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461.0</w:t>
      </w:r>
    </w:p>
    <w:p>
      <w:pPr>
        <w:spacing w:after="0" w:line="36"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61.3</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(67.9)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(13.8)</w:t>
      </w:r>
    </w:p>
    <w:p>
      <w:pPr>
        <w:spacing w:after="0" w:line="248"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(86.4)</w:t>
      </w:r>
    </w:p>
    <w:p>
      <w:pPr>
        <w:spacing w:after="0" w:line="36"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(16.0)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39.3</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794.7</w:t>
      </w:r>
    </w:p>
    <w:p>
      <w:pPr>
        <w:spacing w:after="0" w:line="248"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(455.6)</w:t>
      </w:r>
    </w:p>
    <w:p>
      <w:pPr>
        <w:spacing w:after="0" w:line="36"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(276.0)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6.9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(724.7)</w:t>
      </w:r>
    </w:p>
    <w:p>
      <w:pPr>
        <w:spacing w:after="0" w:line="278"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(83.6)</w:t>
      </w:r>
    </w:p>
    <w:p>
      <w:pPr>
        <w:spacing w:after="0" w:line="36"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(575.0)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872.9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(143.7)</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(2.8)</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18.6</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(16.9)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(6.0)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63.5</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b w:val="1"/>
          <w:bCs w:val="1"/>
          <w:color w:val="auto"/>
        </w:rPr>
        <w:t>(6.1)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127.4</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b w:val="1"/>
          <w:bCs w:val="1"/>
          <w:color w:val="auto"/>
        </w:rPr>
        <w:t>285.2</w:t>
      </w:r>
    </w:p>
    <w:p>
      <w:pPr>
        <w:spacing w:after="0" w:line="3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w:t>
      </w:r>
    </w:p>
    <w:p>
      <w:pPr>
        <w:spacing w:after="0" w:line="15" w:lineRule="exact"/>
        <w:rPr>
          <w:sz w:val="20"/>
          <w:szCs w:val="20"/>
          <w:color w:val="auto"/>
        </w:rPr>
      </w:pPr>
    </w:p>
    <w:p>
      <w:pPr>
        <w:ind w:left="520"/>
        <w:spacing w:after="0"/>
        <w:rPr>
          <w:sz w:val="20"/>
          <w:szCs w:val="20"/>
          <w:color w:val="auto"/>
        </w:rPr>
      </w:pPr>
      <w:r>
        <w:rPr>
          <w:rFonts w:ascii="Arial" w:cs="Arial" w:eastAsia="Arial" w:hAnsi="Arial"/>
          <w:sz w:val="15"/>
          <w:szCs w:val="15"/>
          <w:b w:val="1"/>
          <w:bCs w:val="1"/>
          <w:color w:val="auto"/>
        </w:rPr>
        <w:t>412.6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-300990</wp:posOffset>
            </wp:positionH>
            <wp:positionV relativeFrom="paragraph">
              <wp:posOffset>23495</wp:posOffset>
            </wp:positionV>
            <wp:extent cx="914400" cy="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extLst>
                    </a:blip>
                    <a:srcRect/>
                    <a:stretch>
                      <a:fillRect/>
                    </a:stretch>
                  </pic:blipFill>
                  <pic:spPr bwMode="auto">
                    <a:xfrm>
                      <a:off x="0" y="0"/>
                      <a:ext cx="914400" cy="9525"/>
                    </a:xfrm>
                    <a:prstGeom prst="rect">
                      <a:avLst/>
                    </a:prstGeom>
                    <a:noFill/>
                  </pic:spPr>
                </pic:pic>
              </a:graphicData>
            </a:graphic>
          </wp:anchor>
        </w:drawing>
        <w:drawing>
          <wp:anchor simplePos="0" relativeHeight="251657728" behindDoc="1" locked="0" layoutInCell="0" allowOverlap="1">
            <wp:simplePos x="0" y="0"/>
            <wp:positionH relativeFrom="column">
              <wp:posOffset>-300990</wp:posOffset>
            </wp:positionH>
            <wp:positionV relativeFrom="paragraph">
              <wp:posOffset>52070</wp:posOffset>
            </wp:positionV>
            <wp:extent cx="914400"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extLst>
                    </a:blip>
                    <a:srcRect/>
                    <a:stretch>
                      <a:fillRect/>
                    </a:stretch>
                  </pic:blipFill>
                  <pic:spPr bwMode="auto">
                    <a:xfrm>
                      <a:off x="0" y="0"/>
                      <a:ext cx="914400" cy="95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color w:val="auto"/>
        </w:rPr>
        <w:t>$</w:t>
      </w:r>
    </w:p>
    <w:p>
      <w:pPr>
        <w:spacing w:after="0" w:line="20" w:lineRule="exact"/>
        <w:rPr>
          <w:sz w:val="20"/>
          <w:szCs w:val="20"/>
          <w:color w:val="auto"/>
        </w:rPr>
      </w:pPr>
    </w:p>
    <w:p>
      <w:pPr>
        <w:ind w:left="520"/>
        <w:spacing w:after="0"/>
        <w:rPr>
          <w:sz w:val="20"/>
          <w:szCs w:val="20"/>
          <w:color w:val="auto"/>
        </w:rPr>
      </w:pPr>
      <w:r>
        <w:rPr>
          <w:rFonts w:ascii="Arial" w:cs="Arial" w:eastAsia="Arial" w:hAnsi="Arial"/>
          <w:sz w:val="15"/>
          <w:szCs w:val="15"/>
          <w:color w:val="auto"/>
        </w:rPr>
        <w:t>591.1</w:t>
      </w:r>
    </w:p>
    <w:p>
      <w:pPr>
        <w:spacing w:after="0" w:line="200" w:lineRule="exact"/>
        <w:rPr>
          <w:sz w:val="20"/>
          <w:szCs w:val="20"/>
          <w:color w:val="auto"/>
        </w:rPr>
      </w:pPr>
    </w:p>
    <w:p>
      <w:pPr>
        <w:spacing w:after="0" w:line="253"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424.1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50.4</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47.9</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(20.2)</w:t>
      </w:r>
    </w:p>
    <w:p>
      <w:pPr>
        <w:spacing w:after="0" w:line="255"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(133.6)</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(32.0)</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(496.0)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431.7</w:t>
      </w:r>
    </w:p>
    <w:p>
      <w:pPr>
        <w:spacing w:after="0" w:line="255" w:lineRule="exact"/>
        <w:rPr>
          <w:sz w:val="20"/>
          <w:szCs w:val="20"/>
          <w:color w:val="auto"/>
        </w:rPr>
      </w:pPr>
    </w:p>
    <w:p>
      <w:pPr>
        <w:jc w:val="right"/>
        <w:spacing w:after="0"/>
        <w:rPr>
          <w:sz w:val="20"/>
          <w:szCs w:val="20"/>
          <w:color w:val="auto"/>
        </w:rPr>
      </w:pPr>
      <w:r>
        <w:rPr>
          <w:rFonts w:ascii="Arial" w:cs="Arial" w:eastAsia="Arial" w:hAnsi="Arial"/>
          <w:sz w:val="17"/>
          <w:szCs w:val="17"/>
          <w:color w:val="auto"/>
        </w:rPr>
        <w:t>(468.4)</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(437.5)</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98.8</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(807.1)</w:t>
      </w:r>
    </w:p>
    <w:p>
      <w:pPr>
        <w:spacing w:after="0" w:line="285"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(162.1)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749.3</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(143.3)</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(2.5)</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13.5</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(33.0)</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(5.4)</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416.5</w:t>
      </w:r>
    </w:p>
    <w:p>
      <w:pPr>
        <w:spacing w:after="0" w:line="30" w:lineRule="exact"/>
        <w:rPr>
          <w:sz w:val="20"/>
          <w:szCs w:val="20"/>
          <w:color w:val="auto"/>
        </w:rPr>
      </w:pPr>
    </w:p>
    <w:p>
      <w:pPr>
        <w:jc w:val="right"/>
        <w:spacing w:after="0"/>
        <w:rPr>
          <w:sz w:val="20"/>
          <w:szCs w:val="20"/>
          <w:color w:val="auto"/>
        </w:rPr>
      </w:pPr>
      <w:r>
        <w:rPr>
          <w:rFonts w:ascii="Arial" w:cs="Arial" w:eastAsia="Arial" w:hAnsi="Arial"/>
          <w:sz w:val="17"/>
          <w:szCs w:val="17"/>
          <w:color w:val="auto"/>
        </w:rPr>
        <w:t>(24.1)</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17.0</w:t>
      </w:r>
    </w:p>
    <w:p>
      <w:pPr>
        <w:spacing w:after="0" w:line="30" w:lineRule="exact"/>
        <w:rPr>
          <w:sz w:val="20"/>
          <w:szCs w:val="20"/>
          <w:color w:val="auto"/>
        </w:rPr>
      </w:pPr>
    </w:p>
    <w:p>
      <w:pPr>
        <w:jc w:val="right"/>
        <w:ind w:right="20"/>
        <w:spacing w:after="0"/>
        <w:rPr>
          <w:sz w:val="20"/>
          <w:szCs w:val="20"/>
          <w:color w:val="auto"/>
        </w:rPr>
      </w:pPr>
      <w:r>
        <w:rPr>
          <w:rFonts w:ascii="Arial" w:cs="Arial" w:eastAsia="Arial" w:hAnsi="Arial"/>
          <w:sz w:val="17"/>
          <w:szCs w:val="17"/>
          <w:color w:val="auto"/>
        </w:rPr>
        <w:t>224.7</w:t>
      </w:r>
    </w:p>
    <w:p>
      <w:pPr>
        <w:spacing w:after="0" w:line="30" w:lineRule="exact"/>
        <w:rPr>
          <w:sz w:val="20"/>
          <w:szCs w:val="20"/>
          <w:color w:val="auto"/>
        </w:rPr>
      </w:pPr>
    </w:p>
    <w:p>
      <w:pPr>
        <w:spacing w:after="0"/>
        <w:rPr>
          <w:sz w:val="20"/>
          <w:szCs w:val="20"/>
          <w:color w:val="auto"/>
        </w:rPr>
      </w:pPr>
      <w:r>
        <w:rPr>
          <w:rFonts w:ascii="Arial" w:cs="Arial" w:eastAsia="Arial" w:hAnsi="Arial"/>
          <w:sz w:val="17"/>
          <w:szCs w:val="17"/>
          <w:color w:val="auto"/>
        </w:rPr>
        <w:t>$</w:t>
      </w:r>
    </w:p>
    <w:p>
      <w:pPr>
        <w:spacing w:after="0" w:line="20" w:lineRule="exact"/>
        <w:rPr>
          <w:sz w:val="20"/>
          <w:szCs w:val="20"/>
          <w:color w:val="auto"/>
        </w:rPr>
      </w:pPr>
    </w:p>
    <w:p>
      <w:pPr>
        <w:ind w:left="520"/>
        <w:spacing w:after="0"/>
        <w:rPr>
          <w:sz w:val="20"/>
          <w:szCs w:val="20"/>
          <w:color w:val="auto"/>
        </w:rPr>
      </w:pPr>
      <w:r>
        <w:rPr>
          <w:rFonts w:ascii="Arial" w:cs="Arial" w:eastAsia="Arial" w:hAnsi="Arial"/>
          <w:sz w:val="15"/>
          <w:szCs w:val="15"/>
          <w:color w:val="auto"/>
        </w:rPr>
        <w:t>241.7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-313690</wp:posOffset>
            </wp:positionH>
            <wp:positionV relativeFrom="paragraph">
              <wp:posOffset>23495</wp:posOffset>
            </wp:positionV>
            <wp:extent cx="923925" cy="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extLst>
                    </a:blip>
                    <a:srcRect/>
                    <a:stretch>
                      <a:fillRect/>
                    </a:stretch>
                  </pic:blipFill>
                  <pic:spPr bwMode="auto">
                    <a:xfrm>
                      <a:off x="0" y="0"/>
                      <a:ext cx="923925" cy="9525"/>
                    </a:xfrm>
                    <a:prstGeom prst="rect">
                      <a:avLst/>
                    </a:prstGeom>
                    <a:noFill/>
                  </pic:spPr>
                </pic:pic>
              </a:graphicData>
            </a:graphic>
          </wp:anchor>
        </w:drawing>
        <w:drawing>
          <wp:anchor simplePos="0" relativeHeight="251657728" behindDoc="1" locked="0" layoutInCell="0" allowOverlap="1">
            <wp:simplePos x="0" y="0"/>
            <wp:positionH relativeFrom="column">
              <wp:posOffset>-313690</wp:posOffset>
            </wp:positionH>
            <wp:positionV relativeFrom="paragraph">
              <wp:posOffset>52070</wp:posOffset>
            </wp:positionV>
            <wp:extent cx="923925" cy="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extLst>
                    </a:blip>
                    <a:srcRect/>
                    <a:stretch>
                      <a:fillRect/>
                    </a:stretch>
                  </pic:blipFill>
                  <pic:spPr bwMode="auto">
                    <a:xfrm>
                      <a:off x="0" y="0"/>
                      <a:ext cx="923925" cy="9525"/>
                    </a:xfrm>
                    <a:prstGeom prst="rect">
                      <a:avLst/>
                    </a:prstGeom>
                    <a:noFill/>
                  </pic:spPr>
                </pic:pic>
              </a:graphicData>
            </a:graphic>
          </wp:anchor>
        </w:drawing>
      </w:r>
    </w:p>
    <w:p>
      <w:pPr>
        <w:spacing w:after="0" w:line="232" w:lineRule="exact"/>
        <w:rPr>
          <w:sz w:val="20"/>
          <w:szCs w:val="20"/>
          <w:color w:val="auto"/>
        </w:rPr>
      </w:pPr>
    </w:p>
    <w:p>
      <w:pPr>
        <w:sectPr>
          <w:pgSz w:w="12240" w:h="15840" w:orient="portrait"/>
          <w:cols w:equalWidth="0" w:num="3">
            <w:col w:w="6640" w:space="720"/>
            <w:col w:w="940" w:space="580"/>
            <w:col w:w="940"/>
          </w:cols>
          <w:pgMar w:left="1200" w:top="1440" w:right="122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Common Questions &amp; Answers (Unaudited)</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(Dollars in millions)</w:t>
      </w:r>
    </w:p>
    <w:p>
      <w:pPr>
        <w:spacing w:after="0" w:line="215" w:lineRule="exact"/>
        <w:rPr>
          <w:sz w:val="20"/>
          <w:szCs w:val="20"/>
          <w:color w:val="auto"/>
        </w:rPr>
      </w:pPr>
    </w:p>
    <w:p>
      <w:pPr>
        <w:ind w:left="460" w:hanging="460"/>
        <w:spacing w:after="0"/>
        <w:tabs>
          <w:tab w:leader="none" w:pos="460" w:val="left"/>
        </w:tabs>
        <w:numPr>
          <w:ilvl w:val="0"/>
          <w:numId w:val="2"/>
        </w:numPr>
        <w:rPr>
          <w:rFonts w:ascii="Arial" w:cs="Arial" w:eastAsia="Arial" w:hAnsi="Arial"/>
          <w:sz w:val="23"/>
          <w:szCs w:val="23"/>
          <w:b w:val="1"/>
          <w:bCs w:val="1"/>
          <w:color w:val="auto"/>
        </w:rPr>
      </w:pPr>
      <w:r>
        <w:rPr>
          <w:rFonts w:ascii="Arial" w:cs="Arial" w:eastAsia="Arial" w:hAnsi="Arial"/>
          <w:sz w:val="23"/>
          <w:szCs w:val="23"/>
          <w:b w:val="1"/>
          <w:bCs w:val="1"/>
          <w:color w:val="auto"/>
        </w:rPr>
        <w:t>Can you provide a further analysis of operating revenue by operating segment?</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color w:val="auto"/>
        </w:rPr>
        <w:t>Operating revenue consists of the following components:</w:t>
      </w:r>
    </w:p>
    <w:p>
      <w:pPr>
        <w:sectPr>
          <w:pgSz w:w="12240" w:h="15840" w:orient="portrait"/>
          <w:cols w:equalWidth="0" w:num="1">
            <w:col w:w="9820"/>
          </w:cols>
          <w:pgMar w:left="1200" w:top="1440" w:right="1220" w:bottom="1440" w:gutter="0" w:footer="0" w:header="0"/>
          <w:type w:val="continuous"/>
        </w:sectPr>
      </w:pPr>
    </w:p>
    <w:bookmarkStart w:id="8" w:name="page9"/>
    <w:bookmarkEnd w:id="8"/>
    <w:tbl>
      <w:tblPr>
        <w:tblLayout w:type="fixed"/>
        <w:tblInd w:w="60" w:type="dxa"/>
        <w:tblCellMar>
          <w:top w:w="0" w:type="dxa"/>
          <w:left w:w="0" w:type="dxa"/>
          <w:bottom w:w="0" w:type="dxa"/>
          <w:right w:w="0" w:type="dxa"/>
        </w:tblCellMar>
      </w:tblPr>
      <w:tr>
        <w:trPr>
          <w:trHeight w:val="195"/>
        </w:trPr>
        <w:tc>
          <w:tcPr>
            <w:tcW w:w="2400" w:type="dxa"/>
            <w:vAlign w:val="bottom"/>
          </w:tcPr>
          <w:p>
            <w:pPr>
              <w:spacing w:after="0"/>
              <w:rPr>
                <w:sz w:val="16"/>
                <w:szCs w:val="16"/>
                <w:color w:val="auto"/>
              </w:rPr>
            </w:pPr>
          </w:p>
        </w:tc>
        <w:tc>
          <w:tcPr>
            <w:tcW w:w="2860" w:type="dxa"/>
            <w:vAlign w:val="bottom"/>
            <w:gridSpan w:val="4"/>
          </w:tcPr>
          <w:p>
            <w:pPr>
              <w:jc w:val="right"/>
              <w:ind w:right="160"/>
              <w:spacing w:after="0"/>
              <w:rPr>
                <w:sz w:val="20"/>
                <w:szCs w:val="20"/>
                <w:color w:val="auto"/>
              </w:rPr>
            </w:pPr>
            <w:r>
              <w:rPr>
                <w:rFonts w:ascii="Arial" w:cs="Arial" w:eastAsia="Arial" w:hAnsi="Arial"/>
                <w:sz w:val="17"/>
                <w:szCs w:val="17"/>
                <w:b w:val="1"/>
                <w:bCs w:val="1"/>
                <w:color w:val="auto"/>
              </w:rPr>
              <w:t>Three Months Ended September</w:t>
            </w: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2400" w:type="dxa"/>
            <w:vAlign w:val="bottom"/>
          </w:tcPr>
          <w:p>
            <w:pPr>
              <w:spacing w:after="0"/>
              <w:rPr>
                <w:sz w:val="20"/>
                <w:szCs w:val="20"/>
                <w:color w:val="auto"/>
              </w:rPr>
            </w:pPr>
            <w:r>
              <w:rPr>
                <w:rFonts w:ascii="Arial" w:cs="Arial" w:eastAsia="Arial" w:hAnsi="Arial"/>
                <w:sz w:val="17"/>
                <w:szCs w:val="17"/>
                <w:i w:val="1"/>
                <w:iCs w:val="1"/>
                <w:color w:val="auto"/>
              </w:rPr>
              <w:t>(In millions)</w:t>
            </w:r>
          </w:p>
        </w:tc>
        <w:tc>
          <w:tcPr>
            <w:tcW w:w="1280" w:type="dxa"/>
            <w:vAlign w:val="bottom"/>
          </w:tcPr>
          <w:p>
            <w:pPr>
              <w:spacing w:after="0"/>
              <w:rPr>
                <w:sz w:val="20"/>
                <w:szCs w:val="20"/>
                <w:color w:val="auto"/>
              </w:rPr>
            </w:pPr>
          </w:p>
        </w:tc>
        <w:tc>
          <w:tcPr>
            <w:tcW w:w="1580" w:type="dxa"/>
            <w:vAlign w:val="bottom"/>
            <w:gridSpan w:val="3"/>
          </w:tcPr>
          <w:p>
            <w:pPr>
              <w:jc w:val="right"/>
              <w:ind w:right="1300"/>
              <w:spacing w:after="0"/>
              <w:rPr>
                <w:sz w:val="20"/>
                <w:szCs w:val="20"/>
                <w:color w:val="auto"/>
              </w:rPr>
            </w:pPr>
            <w:r>
              <w:rPr>
                <w:rFonts w:ascii="Arial" w:cs="Arial" w:eastAsia="Arial" w:hAnsi="Arial"/>
                <w:sz w:val="17"/>
                <w:szCs w:val="17"/>
                <w:b w:val="1"/>
                <w:bCs w:val="1"/>
                <w:color w:val="auto"/>
              </w:rPr>
              <w:t>30,</w:t>
            </w:r>
          </w:p>
        </w:tc>
        <w:tc>
          <w:tcPr>
            <w:tcW w:w="14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1020" w:type="dxa"/>
            <w:vAlign w:val="bottom"/>
            <w:vMerge w:val="restart"/>
          </w:tcPr>
          <w:p>
            <w:pPr>
              <w:jc w:val="right"/>
              <w:ind w:right="98"/>
              <w:spacing w:after="0"/>
              <w:rPr>
                <w:sz w:val="20"/>
                <w:szCs w:val="20"/>
                <w:color w:val="auto"/>
              </w:rPr>
            </w:pPr>
            <w:r>
              <w:rPr>
                <w:rFonts w:ascii="Arial" w:cs="Arial" w:eastAsia="Arial" w:hAnsi="Arial"/>
                <w:sz w:val="17"/>
                <w:szCs w:val="17"/>
                <w:b w:val="1"/>
                <w:bCs w:val="1"/>
                <w:color w:val="auto"/>
              </w:rPr>
              <w:t>Organic</w:t>
            </w:r>
          </w:p>
        </w:tc>
        <w:tc>
          <w:tcPr>
            <w:tcW w:w="0" w:type="dxa"/>
            <w:vAlign w:val="bottom"/>
          </w:tcPr>
          <w:p>
            <w:pPr>
              <w:spacing w:after="0"/>
              <w:rPr>
                <w:sz w:val="1"/>
                <w:szCs w:val="1"/>
                <w:color w:val="auto"/>
              </w:rPr>
            </w:pPr>
          </w:p>
        </w:tc>
      </w:tr>
      <w:tr>
        <w:trPr>
          <w:trHeight w:val="189"/>
        </w:trPr>
        <w:tc>
          <w:tcPr>
            <w:tcW w:w="240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240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jc w:val="right"/>
              <w:ind w:right="339"/>
              <w:spacing w:after="0"/>
              <w:rPr>
                <w:sz w:val="20"/>
                <w:szCs w:val="20"/>
                <w:color w:val="auto"/>
              </w:rPr>
            </w:pPr>
            <w:r>
              <w:rPr>
                <w:rFonts w:ascii="Arial" w:cs="Arial" w:eastAsia="Arial" w:hAnsi="Arial"/>
                <w:sz w:val="17"/>
                <w:szCs w:val="17"/>
                <w:b w:val="1"/>
                <w:bCs w:val="1"/>
                <w:color w:val="auto"/>
              </w:rPr>
              <w:t>Local</w:t>
            </w:r>
          </w:p>
        </w:tc>
        <w:tc>
          <w:tcPr>
            <w:tcW w:w="1020" w:type="dxa"/>
            <w:vAlign w:val="bottom"/>
          </w:tcPr>
          <w:p>
            <w:pPr>
              <w:jc w:val="right"/>
              <w:ind w:right="178"/>
              <w:spacing w:after="0"/>
              <w:rPr>
                <w:sz w:val="20"/>
                <w:szCs w:val="20"/>
                <w:color w:val="auto"/>
              </w:rPr>
            </w:pPr>
            <w:r>
              <w:rPr>
                <w:rFonts w:ascii="Arial" w:cs="Arial" w:eastAsia="Arial" w:hAnsi="Arial"/>
                <w:sz w:val="17"/>
                <w:szCs w:val="17"/>
                <w:b w:val="1"/>
                <w:bCs w:val="1"/>
                <w:color w:val="auto"/>
              </w:rPr>
              <w:t>Local</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160" w:type="dxa"/>
            <w:vAlign w:val="bottom"/>
          </w:tcPr>
          <w:p>
            <w:pPr>
              <w:jc w:val="center"/>
              <w:spacing w:after="0"/>
              <w:rPr>
                <w:sz w:val="20"/>
                <w:szCs w:val="20"/>
                <w:color w:val="auto"/>
              </w:rPr>
            </w:pPr>
            <w:r>
              <w:rPr>
                <w:rFonts w:ascii="Arial" w:cs="Arial" w:eastAsia="Arial" w:hAnsi="Arial"/>
                <w:sz w:val="17"/>
                <w:szCs w:val="17"/>
                <w:b w:val="1"/>
                <w:bCs w:val="1"/>
                <w:color w:val="auto"/>
                <w:w w:val="96"/>
              </w:rPr>
              <w:t>Currency</w:t>
            </w:r>
          </w:p>
        </w:tc>
        <w:tc>
          <w:tcPr>
            <w:tcW w:w="1020" w:type="dxa"/>
            <w:vAlign w:val="bottom"/>
          </w:tcPr>
          <w:p>
            <w:pPr>
              <w:jc w:val="center"/>
              <w:spacing w:after="0"/>
              <w:rPr>
                <w:sz w:val="20"/>
                <w:szCs w:val="20"/>
                <w:color w:val="auto"/>
              </w:rPr>
            </w:pPr>
            <w:r>
              <w:rPr>
                <w:rFonts w:ascii="Arial" w:cs="Arial" w:eastAsia="Arial" w:hAnsi="Arial"/>
                <w:sz w:val="17"/>
                <w:szCs w:val="17"/>
                <w:b w:val="1"/>
                <w:bCs w:val="1"/>
                <w:color w:val="auto"/>
                <w:w w:val="96"/>
              </w:rPr>
              <w:t>Currency</w:t>
            </w:r>
          </w:p>
        </w:tc>
        <w:tc>
          <w:tcPr>
            <w:tcW w:w="0" w:type="dxa"/>
            <w:vAlign w:val="bottom"/>
          </w:tcPr>
          <w:p>
            <w:pPr>
              <w:spacing w:after="0"/>
              <w:rPr>
                <w:sz w:val="1"/>
                <w:szCs w:val="1"/>
                <w:color w:val="auto"/>
              </w:rPr>
            </w:pPr>
          </w:p>
        </w:tc>
      </w:tr>
      <w:tr>
        <w:trPr>
          <w:trHeight w:val="216"/>
        </w:trPr>
        <w:tc>
          <w:tcPr>
            <w:tcW w:w="240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jc w:val="right"/>
              <w:ind w:right="358"/>
              <w:spacing w:after="0"/>
              <w:rPr>
                <w:sz w:val="20"/>
                <w:szCs w:val="20"/>
                <w:color w:val="auto"/>
              </w:rPr>
            </w:pPr>
            <w:r>
              <w:rPr>
                <w:rFonts w:ascii="Arial" w:cs="Arial" w:eastAsia="Arial" w:hAnsi="Arial"/>
                <w:sz w:val="17"/>
                <w:szCs w:val="17"/>
                <w:b w:val="1"/>
                <w:bCs w:val="1"/>
                <w:color w:val="auto"/>
              </w:rPr>
              <w:t>%</w:t>
            </w:r>
          </w:p>
        </w:tc>
        <w:tc>
          <w:tcPr>
            <w:tcW w:w="1160" w:type="dxa"/>
            <w:vAlign w:val="bottom"/>
          </w:tcPr>
          <w:p>
            <w:pPr>
              <w:jc w:val="center"/>
              <w:spacing w:after="0"/>
              <w:rPr>
                <w:sz w:val="20"/>
                <w:szCs w:val="20"/>
                <w:color w:val="auto"/>
              </w:rPr>
            </w:pPr>
            <w:r>
              <w:rPr>
                <w:rFonts w:ascii="Arial" w:cs="Arial" w:eastAsia="Arial" w:hAnsi="Arial"/>
                <w:sz w:val="17"/>
                <w:szCs w:val="17"/>
                <w:b w:val="1"/>
                <w:bCs w:val="1"/>
                <w:color w:val="auto"/>
                <w:w w:val="97"/>
              </w:rPr>
              <w:t>% Change</w:t>
            </w:r>
          </w:p>
        </w:tc>
        <w:tc>
          <w:tcPr>
            <w:tcW w:w="1020" w:type="dxa"/>
            <w:vAlign w:val="bottom"/>
          </w:tcPr>
          <w:p>
            <w:pPr>
              <w:jc w:val="center"/>
              <w:spacing w:after="0"/>
              <w:rPr>
                <w:sz w:val="20"/>
                <w:szCs w:val="20"/>
                <w:color w:val="auto"/>
              </w:rPr>
            </w:pPr>
            <w:r>
              <w:rPr>
                <w:rFonts w:ascii="Arial" w:cs="Arial" w:eastAsia="Arial" w:hAnsi="Arial"/>
                <w:sz w:val="17"/>
                <w:szCs w:val="17"/>
                <w:b w:val="1"/>
                <w:bCs w:val="1"/>
                <w:color w:val="auto"/>
                <w:w w:val="97"/>
              </w:rPr>
              <w:t>% Change</w:t>
            </w:r>
          </w:p>
        </w:tc>
        <w:tc>
          <w:tcPr>
            <w:tcW w:w="0" w:type="dxa"/>
            <w:vAlign w:val="bottom"/>
          </w:tcPr>
          <w:p>
            <w:pPr>
              <w:spacing w:after="0"/>
              <w:rPr>
                <w:sz w:val="1"/>
                <w:szCs w:val="1"/>
                <w:color w:val="auto"/>
              </w:rPr>
            </w:pPr>
          </w:p>
        </w:tc>
      </w:tr>
      <w:tr>
        <w:trPr>
          <w:trHeight w:val="249"/>
        </w:trPr>
        <w:tc>
          <w:tcPr>
            <w:tcW w:w="2400" w:type="dxa"/>
            <w:vAlign w:val="bottom"/>
          </w:tcPr>
          <w:p>
            <w:pPr>
              <w:spacing w:after="0"/>
              <w:rPr>
                <w:sz w:val="20"/>
                <w:szCs w:val="20"/>
                <w:color w:val="auto"/>
              </w:rPr>
            </w:pPr>
            <w:r>
              <w:rPr>
                <w:rFonts w:ascii="Arial" w:cs="Arial" w:eastAsia="Arial" w:hAnsi="Arial"/>
                <w:sz w:val="17"/>
                <w:szCs w:val="17"/>
                <w:b w:val="1"/>
                <w:bCs w:val="1"/>
                <w:color w:val="auto"/>
              </w:rPr>
              <w:t>Operating revenue:</w:t>
            </w:r>
          </w:p>
        </w:tc>
        <w:tc>
          <w:tcPr>
            <w:tcW w:w="1280" w:type="dxa"/>
            <w:vAlign w:val="bottom"/>
          </w:tcPr>
          <w:p>
            <w:pPr>
              <w:jc w:val="right"/>
              <w:ind w:right="378"/>
              <w:spacing w:after="0"/>
              <w:rPr>
                <w:sz w:val="20"/>
                <w:szCs w:val="20"/>
                <w:color w:val="auto"/>
              </w:rPr>
            </w:pPr>
            <w:r>
              <w:rPr>
                <w:rFonts w:ascii="Arial" w:cs="Arial" w:eastAsia="Arial" w:hAnsi="Arial"/>
                <w:sz w:val="17"/>
                <w:szCs w:val="17"/>
                <w:b w:val="1"/>
                <w:bCs w:val="1"/>
                <w:color w:val="auto"/>
              </w:rPr>
              <w:t>2023</w:t>
            </w:r>
          </w:p>
        </w:tc>
        <w:tc>
          <w:tcPr>
            <w:tcW w:w="1580" w:type="dxa"/>
            <w:vAlign w:val="bottom"/>
            <w:gridSpan w:val="3"/>
          </w:tcPr>
          <w:p>
            <w:pPr>
              <w:jc w:val="right"/>
              <w:ind w:right="540"/>
              <w:spacing w:after="0"/>
              <w:rPr>
                <w:sz w:val="20"/>
                <w:szCs w:val="20"/>
                <w:color w:val="auto"/>
              </w:rPr>
            </w:pPr>
            <w:r>
              <w:rPr>
                <w:rFonts w:ascii="Arial" w:cs="Arial" w:eastAsia="Arial" w:hAnsi="Arial"/>
                <w:sz w:val="17"/>
                <w:szCs w:val="17"/>
                <w:b w:val="1"/>
                <w:bCs w:val="1"/>
                <w:color w:val="auto"/>
              </w:rPr>
              <w:t>2022</w:t>
            </w:r>
          </w:p>
        </w:tc>
        <w:tc>
          <w:tcPr>
            <w:tcW w:w="140" w:type="dxa"/>
            <w:vAlign w:val="bottom"/>
          </w:tcPr>
          <w:p>
            <w:pPr>
              <w:spacing w:after="0"/>
              <w:rPr>
                <w:sz w:val="21"/>
                <w:szCs w:val="21"/>
                <w:color w:val="auto"/>
              </w:rPr>
            </w:pPr>
          </w:p>
        </w:tc>
        <w:tc>
          <w:tcPr>
            <w:tcW w:w="1120" w:type="dxa"/>
            <w:vAlign w:val="bottom"/>
          </w:tcPr>
          <w:p>
            <w:pPr>
              <w:jc w:val="right"/>
              <w:ind w:right="78"/>
              <w:spacing w:after="0"/>
              <w:rPr>
                <w:sz w:val="20"/>
                <w:szCs w:val="20"/>
                <w:color w:val="auto"/>
              </w:rPr>
            </w:pPr>
            <w:r>
              <w:rPr>
                <w:rFonts w:ascii="Arial" w:cs="Arial" w:eastAsia="Arial" w:hAnsi="Arial"/>
                <w:sz w:val="17"/>
                <w:szCs w:val="17"/>
                <w:b w:val="1"/>
                <w:bCs w:val="1"/>
                <w:color w:val="auto"/>
              </w:rPr>
              <w:t>$ Change</w:t>
            </w:r>
          </w:p>
        </w:tc>
        <w:tc>
          <w:tcPr>
            <w:tcW w:w="1080" w:type="dxa"/>
            <w:vAlign w:val="bottom"/>
          </w:tcPr>
          <w:p>
            <w:pPr>
              <w:jc w:val="right"/>
              <w:ind w:right="118"/>
              <w:spacing w:after="0"/>
              <w:rPr>
                <w:sz w:val="20"/>
                <w:szCs w:val="20"/>
                <w:color w:val="auto"/>
              </w:rPr>
            </w:pPr>
            <w:r>
              <w:rPr>
                <w:rFonts w:ascii="Arial" w:cs="Arial" w:eastAsia="Arial" w:hAnsi="Arial"/>
                <w:sz w:val="17"/>
                <w:szCs w:val="17"/>
                <w:b w:val="1"/>
                <w:bCs w:val="1"/>
                <w:color w:val="auto"/>
              </w:rPr>
              <w:t>Change</w:t>
            </w:r>
          </w:p>
        </w:tc>
        <w:tc>
          <w:tcPr>
            <w:tcW w:w="1160" w:type="dxa"/>
            <w:vAlign w:val="bottom"/>
          </w:tcPr>
          <w:p>
            <w:pPr>
              <w:jc w:val="center"/>
              <w:spacing w:after="0"/>
              <w:rPr>
                <w:sz w:val="20"/>
                <w:szCs w:val="20"/>
                <w:color w:val="auto"/>
              </w:rPr>
            </w:pPr>
            <w:r>
              <w:rPr>
                <w:rFonts w:ascii="Arial" w:cs="Arial" w:eastAsia="Arial" w:hAnsi="Arial"/>
                <w:sz w:val="14"/>
                <w:szCs w:val="14"/>
                <w:b w:val="1"/>
                <w:bCs w:val="1"/>
                <w:color w:val="auto"/>
                <w:w w:val="93"/>
              </w:rPr>
              <w:t>(1)</w:t>
            </w:r>
          </w:p>
        </w:tc>
        <w:tc>
          <w:tcPr>
            <w:tcW w:w="1020" w:type="dxa"/>
            <w:vAlign w:val="bottom"/>
          </w:tcPr>
          <w:p>
            <w:pPr>
              <w:jc w:val="center"/>
              <w:spacing w:after="0"/>
              <w:rPr>
                <w:sz w:val="20"/>
                <w:szCs w:val="20"/>
                <w:color w:val="auto"/>
              </w:rPr>
            </w:pPr>
            <w:r>
              <w:rPr>
                <w:rFonts w:ascii="Arial" w:cs="Arial" w:eastAsia="Arial" w:hAnsi="Arial"/>
                <w:sz w:val="14"/>
                <w:szCs w:val="14"/>
                <w:b w:val="1"/>
                <w:bCs w:val="1"/>
                <w:color w:val="auto"/>
                <w:w w:val="93"/>
              </w:rPr>
              <w:t>(2)</w:t>
            </w:r>
          </w:p>
        </w:tc>
        <w:tc>
          <w:tcPr>
            <w:tcW w:w="0" w:type="dxa"/>
            <w:vAlign w:val="bottom"/>
          </w:tcPr>
          <w:p>
            <w:pPr>
              <w:spacing w:after="0"/>
              <w:rPr>
                <w:sz w:val="1"/>
                <w:szCs w:val="1"/>
                <w:color w:val="auto"/>
              </w:rPr>
            </w:pPr>
          </w:p>
        </w:tc>
      </w:tr>
      <w:tr>
        <w:trPr>
          <w:trHeight w:val="195"/>
        </w:trPr>
        <w:tc>
          <w:tcPr>
            <w:tcW w:w="2400" w:type="dxa"/>
            <w:vAlign w:val="bottom"/>
          </w:tcPr>
          <w:p>
            <w:pPr>
              <w:spacing w:after="0"/>
              <w:rPr>
                <w:sz w:val="16"/>
                <w:szCs w:val="16"/>
                <w:color w:val="auto"/>
              </w:rPr>
            </w:pPr>
          </w:p>
        </w:tc>
        <w:tc>
          <w:tcPr>
            <w:tcW w:w="1280" w:type="dxa"/>
            <w:vAlign w:val="bottom"/>
          </w:tcPr>
          <w:p>
            <w:pPr>
              <w:jc w:val="right"/>
              <w:ind w:right="618"/>
              <w:spacing w:after="0"/>
              <w:rPr>
                <w:sz w:val="20"/>
                <w:szCs w:val="20"/>
                <w:color w:val="auto"/>
              </w:rPr>
            </w:pPr>
            <w:r>
              <w:rPr>
                <w:rFonts w:ascii="Arial" w:cs="Arial" w:eastAsia="Arial" w:hAnsi="Arial"/>
                <w:sz w:val="17"/>
                <w:szCs w:val="17"/>
                <w:b w:val="1"/>
                <w:bCs w:val="1"/>
                <w:color w:val="auto"/>
              </w:rPr>
              <w:t>$</w:t>
            </w:r>
          </w:p>
        </w:tc>
        <w:tc>
          <w:tcPr>
            <w:tcW w:w="1580" w:type="dxa"/>
            <w:vAlign w:val="bottom"/>
            <w:gridSpan w:val="3"/>
          </w:tcPr>
          <w:p>
            <w:pPr>
              <w:jc w:val="right"/>
              <w:ind w:right="780"/>
              <w:spacing w:after="0"/>
              <w:rPr>
                <w:sz w:val="20"/>
                <w:szCs w:val="20"/>
                <w:color w:val="auto"/>
              </w:rPr>
            </w:pPr>
            <w:r>
              <w:rPr>
                <w:rFonts w:ascii="Arial" w:cs="Arial" w:eastAsia="Arial" w:hAnsi="Arial"/>
                <w:sz w:val="17"/>
                <w:szCs w:val="17"/>
                <w:color w:val="auto"/>
              </w:rPr>
              <w:t>$</w:t>
            </w:r>
          </w:p>
        </w:tc>
        <w:tc>
          <w:tcPr>
            <w:tcW w:w="1260" w:type="dxa"/>
            <w:vAlign w:val="bottom"/>
            <w:gridSpan w:val="2"/>
          </w:tcPr>
          <w:p>
            <w:pPr>
              <w:jc w:val="right"/>
              <w:ind w:right="698"/>
              <w:spacing w:after="0"/>
              <w:rPr>
                <w:sz w:val="20"/>
                <w:szCs w:val="20"/>
                <w:color w:val="auto"/>
              </w:rPr>
            </w:pPr>
            <w:r>
              <w:rPr>
                <w:rFonts w:ascii="Arial" w:cs="Arial" w:eastAsia="Arial" w:hAnsi="Arial"/>
                <w:sz w:val="17"/>
                <w:szCs w:val="17"/>
                <w:color w:val="auto"/>
              </w:rPr>
              <w:t>$</w:t>
            </w: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Verification Services</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459.3</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454.5</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4.8</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1 %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Employer Services</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117.9</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104.4</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13.5</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13 %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9 %</w:t>
            </w:r>
          </w:p>
        </w:tc>
        <w:tc>
          <w:tcPr>
            <w:tcW w:w="0" w:type="dxa"/>
            <w:vAlign w:val="bottom"/>
          </w:tcPr>
          <w:p>
            <w:pPr>
              <w:spacing w:after="0"/>
              <w:rPr>
                <w:sz w:val="1"/>
                <w:szCs w:val="1"/>
                <w:color w:val="auto"/>
              </w:rPr>
            </w:pPr>
          </w:p>
        </w:tc>
      </w:tr>
      <w:tr>
        <w:trPr>
          <w:trHeight w:val="225"/>
        </w:trPr>
        <w:tc>
          <w:tcPr>
            <w:tcW w:w="2400" w:type="dxa"/>
            <w:vAlign w:val="bottom"/>
          </w:tcPr>
          <w:p>
            <w:pPr>
              <w:ind w:left="60"/>
              <w:spacing w:after="0"/>
              <w:rPr>
                <w:sz w:val="20"/>
                <w:szCs w:val="20"/>
                <w:color w:val="auto"/>
              </w:rPr>
            </w:pPr>
            <w:r>
              <w:rPr>
                <w:rFonts w:ascii="Arial" w:cs="Arial" w:eastAsia="Arial" w:hAnsi="Arial"/>
                <w:sz w:val="17"/>
                <w:szCs w:val="17"/>
                <w:color w:val="auto"/>
              </w:rPr>
              <w:t>Total Workforce Solutions</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577.2</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558.9</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18.3</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3 %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3 %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Online Information Solutions</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348.2</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314.4</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33.8</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11 %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8 %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Mortgage Solutions</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27.3</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32.1</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(4.8)</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(15)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(15) %</w:t>
            </w:r>
          </w:p>
        </w:tc>
        <w:tc>
          <w:tcPr>
            <w:tcW w:w="0" w:type="dxa"/>
            <w:vAlign w:val="bottom"/>
          </w:tcPr>
          <w:p>
            <w:pPr>
              <w:spacing w:after="0"/>
              <w:rPr>
                <w:sz w:val="1"/>
                <w:szCs w:val="1"/>
                <w:color w:val="auto"/>
              </w:rPr>
            </w:pPr>
          </w:p>
        </w:tc>
      </w:tr>
      <w:tr>
        <w:trPr>
          <w:trHeight w:val="227"/>
        </w:trPr>
        <w:tc>
          <w:tcPr>
            <w:tcW w:w="2400" w:type="dxa"/>
            <w:vAlign w:val="bottom"/>
          </w:tcPr>
          <w:p>
            <w:pPr>
              <w:spacing w:after="0"/>
              <w:rPr>
                <w:sz w:val="20"/>
                <w:szCs w:val="20"/>
                <w:color w:val="auto"/>
              </w:rPr>
            </w:pPr>
            <w:r>
              <w:rPr>
                <w:rFonts w:ascii="Arial" w:cs="Arial" w:eastAsia="Arial" w:hAnsi="Arial"/>
                <w:sz w:val="17"/>
                <w:szCs w:val="17"/>
                <w:color w:val="auto"/>
              </w:rPr>
              <w:t>Financial Marketing Services</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50.5</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50.9</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(0.4)</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(1) %</w:t>
            </w:r>
          </w:p>
        </w:tc>
        <w:tc>
          <w:tcPr>
            <w:tcW w:w="0" w:type="dxa"/>
            <w:vAlign w:val="bottom"/>
          </w:tcPr>
          <w:p>
            <w:pPr>
              <w:spacing w:after="0"/>
              <w:rPr>
                <w:sz w:val="1"/>
                <w:szCs w:val="1"/>
                <w:color w:val="auto"/>
              </w:rPr>
            </w:pPr>
          </w:p>
        </w:tc>
      </w:tr>
      <w:tr>
        <w:trPr>
          <w:trHeight w:val="195"/>
        </w:trPr>
        <w:tc>
          <w:tcPr>
            <w:tcW w:w="2400" w:type="dxa"/>
            <w:vAlign w:val="bottom"/>
          </w:tcPr>
          <w:p>
            <w:pPr>
              <w:ind w:left="100"/>
              <w:spacing w:after="0"/>
              <w:rPr>
                <w:sz w:val="20"/>
                <w:szCs w:val="20"/>
                <w:color w:val="auto"/>
              </w:rPr>
            </w:pPr>
            <w:r>
              <w:rPr>
                <w:rFonts w:ascii="Arial" w:cs="Arial" w:eastAsia="Arial" w:hAnsi="Arial"/>
                <w:sz w:val="17"/>
                <w:szCs w:val="17"/>
                <w:color w:val="auto"/>
              </w:rPr>
              <w:t>Total U.S. Information</w:t>
            </w:r>
          </w:p>
        </w:tc>
        <w:tc>
          <w:tcPr>
            <w:tcW w:w="1280" w:type="dxa"/>
            <w:vAlign w:val="bottom"/>
            <w:vMerge w:val="restart"/>
          </w:tcPr>
          <w:p>
            <w:pPr>
              <w:jc w:val="right"/>
              <w:spacing w:after="0"/>
              <w:rPr>
                <w:sz w:val="20"/>
                <w:szCs w:val="20"/>
                <w:color w:val="auto"/>
              </w:rPr>
            </w:pPr>
            <w:r>
              <w:rPr>
                <w:rFonts w:ascii="Arial" w:cs="Arial" w:eastAsia="Arial" w:hAnsi="Arial"/>
                <w:sz w:val="17"/>
                <w:szCs w:val="17"/>
                <w:b w:val="1"/>
                <w:bCs w:val="1"/>
                <w:color w:val="auto"/>
              </w:rPr>
              <w:t>426.0</w:t>
            </w: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2400" w:type="dxa"/>
            <w:vAlign w:val="bottom"/>
          </w:tcPr>
          <w:p>
            <w:pPr>
              <w:ind w:left="100"/>
              <w:spacing w:after="0"/>
              <w:rPr>
                <w:sz w:val="20"/>
                <w:szCs w:val="20"/>
                <w:color w:val="auto"/>
              </w:rPr>
            </w:pPr>
            <w:r>
              <w:rPr>
                <w:rFonts w:ascii="Arial" w:cs="Arial" w:eastAsia="Arial" w:hAnsi="Arial"/>
                <w:sz w:val="17"/>
                <w:szCs w:val="17"/>
                <w:color w:val="auto"/>
              </w:rPr>
              <w:t>Solutions</w:t>
            </w:r>
          </w:p>
        </w:tc>
        <w:tc>
          <w:tcPr>
            <w:tcW w:w="1280" w:type="dxa"/>
            <w:vAlign w:val="bottom"/>
            <w:vMerge w:val="continue"/>
          </w:tcPr>
          <w:p>
            <w:pPr>
              <w:spacing w:after="0"/>
              <w:rPr>
                <w:sz w:val="19"/>
                <w:szCs w:val="19"/>
                <w:color w:val="auto"/>
              </w:rPr>
            </w:pP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397.4</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28.6</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7 %</w:t>
            </w:r>
          </w:p>
        </w:tc>
        <w:tc>
          <w:tcPr>
            <w:tcW w:w="1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Arial" w:cs="Arial" w:eastAsia="Arial" w:hAnsi="Arial"/>
                <w:sz w:val="17"/>
                <w:szCs w:val="17"/>
                <w:color w:val="auto"/>
              </w:rPr>
              <w:t>5 %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Asia Pacific</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85.5</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87.1</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(1.6)</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(2)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2 %</w:t>
            </w:r>
          </w:p>
        </w:tc>
        <w:tc>
          <w:tcPr>
            <w:tcW w:w="10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Europe</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85.2</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80.7</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4.5</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6 %</w:t>
            </w:r>
          </w:p>
        </w:tc>
        <w:tc>
          <w:tcPr>
            <w:tcW w:w="1160" w:type="dxa"/>
            <w:vAlign w:val="bottom"/>
          </w:tcPr>
          <w:p>
            <w:pPr>
              <w:jc w:val="right"/>
              <w:ind w:right="59"/>
              <w:spacing w:after="0"/>
              <w:rPr>
                <w:sz w:val="20"/>
                <w:szCs w:val="20"/>
                <w:color w:val="auto"/>
              </w:rPr>
            </w:pPr>
            <w:r>
              <w:rPr>
                <w:rFonts w:ascii="Arial" w:cs="Arial" w:eastAsia="Arial" w:hAnsi="Arial"/>
                <w:sz w:val="17"/>
                <w:szCs w:val="17"/>
                <w:color w:val="auto"/>
              </w:rPr>
              <w:t>(2) %</w:t>
            </w:r>
          </w:p>
        </w:tc>
        <w:tc>
          <w:tcPr>
            <w:tcW w:w="10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Canada</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65.1</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66.2</w:t>
            </w:r>
          </w:p>
        </w:tc>
        <w:tc>
          <w:tcPr>
            <w:tcW w:w="1260" w:type="dxa"/>
            <w:vAlign w:val="bottom"/>
            <w:gridSpan w:val="2"/>
          </w:tcPr>
          <w:p>
            <w:pPr>
              <w:jc w:val="right"/>
              <w:ind w:right="18"/>
              <w:spacing w:after="0"/>
              <w:rPr>
                <w:sz w:val="20"/>
                <w:szCs w:val="20"/>
                <w:color w:val="auto"/>
              </w:rPr>
            </w:pPr>
            <w:r>
              <w:rPr>
                <w:rFonts w:ascii="Arial" w:cs="Arial" w:eastAsia="Arial" w:hAnsi="Arial"/>
                <w:sz w:val="17"/>
                <w:szCs w:val="17"/>
                <w:color w:val="auto"/>
              </w:rPr>
              <w:t>(1.1)</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(2)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 %</w:t>
            </w:r>
          </w:p>
        </w:tc>
        <w:tc>
          <w:tcPr>
            <w:tcW w:w="1020" w:type="dxa"/>
            <w:vAlign w:val="bottom"/>
          </w:tcPr>
          <w:p>
            <w:pPr>
              <w:jc w:val="right"/>
              <w:spacing w:after="0"/>
              <w:rPr>
                <w:sz w:val="20"/>
                <w:szCs w:val="20"/>
                <w:color w:val="auto"/>
              </w:rPr>
            </w:pPr>
            <w:r>
              <w:rPr>
                <w:rFonts w:ascii="Arial" w:cs="Arial" w:eastAsia="Arial" w:hAnsi="Arial"/>
                <w:sz w:val="17"/>
                <w:szCs w:val="17"/>
                <w:color w:val="auto"/>
              </w:rPr>
              <w:t>— %</w:t>
            </w:r>
          </w:p>
        </w:tc>
        <w:tc>
          <w:tcPr>
            <w:tcW w:w="0" w:type="dxa"/>
            <w:vAlign w:val="bottom"/>
          </w:tcPr>
          <w:p>
            <w:pPr>
              <w:spacing w:after="0"/>
              <w:rPr>
                <w:sz w:val="1"/>
                <w:szCs w:val="1"/>
                <w:color w:val="auto"/>
              </w:rPr>
            </w:pPr>
          </w:p>
        </w:tc>
      </w:tr>
      <w:tr>
        <w:trPr>
          <w:trHeight w:val="225"/>
        </w:trPr>
        <w:tc>
          <w:tcPr>
            <w:tcW w:w="2400" w:type="dxa"/>
            <w:vAlign w:val="bottom"/>
          </w:tcPr>
          <w:p>
            <w:pPr>
              <w:spacing w:after="0"/>
              <w:rPr>
                <w:sz w:val="20"/>
                <w:szCs w:val="20"/>
                <w:color w:val="auto"/>
              </w:rPr>
            </w:pPr>
            <w:r>
              <w:rPr>
                <w:rFonts w:ascii="Arial" w:cs="Arial" w:eastAsia="Arial" w:hAnsi="Arial"/>
                <w:sz w:val="17"/>
                <w:szCs w:val="17"/>
                <w:color w:val="auto"/>
              </w:rPr>
              <w:t>Latin America</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80.1</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54.0</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26.1</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48 %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62 %</w:t>
            </w:r>
          </w:p>
        </w:tc>
        <w:tc>
          <w:tcPr>
            <w:tcW w:w="1020" w:type="dxa"/>
            <w:vAlign w:val="bottom"/>
          </w:tcPr>
          <w:p>
            <w:pPr>
              <w:jc w:val="right"/>
              <w:spacing w:after="0"/>
              <w:rPr>
                <w:sz w:val="20"/>
                <w:szCs w:val="20"/>
                <w:color w:val="auto"/>
              </w:rPr>
            </w:pPr>
            <w:r>
              <w:rPr>
                <w:rFonts w:ascii="Arial" w:cs="Arial" w:eastAsia="Arial" w:hAnsi="Arial"/>
                <w:sz w:val="17"/>
                <w:szCs w:val="17"/>
                <w:color w:val="auto"/>
              </w:rPr>
              <w:t>12 %</w:t>
            </w:r>
          </w:p>
        </w:tc>
        <w:tc>
          <w:tcPr>
            <w:tcW w:w="0" w:type="dxa"/>
            <w:vAlign w:val="bottom"/>
          </w:tcPr>
          <w:p>
            <w:pPr>
              <w:spacing w:after="0"/>
              <w:rPr>
                <w:sz w:val="1"/>
                <w:szCs w:val="1"/>
                <w:color w:val="auto"/>
              </w:rPr>
            </w:pPr>
          </w:p>
        </w:tc>
      </w:tr>
      <w:tr>
        <w:trPr>
          <w:trHeight w:val="225"/>
        </w:trPr>
        <w:tc>
          <w:tcPr>
            <w:tcW w:w="2400" w:type="dxa"/>
            <w:vAlign w:val="bottom"/>
          </w:tcPr>
          <w:p>
            <w:pPr>
              <w:ind w:left="100"/>
              <w:spacing w:after="0"/>
              <w:rPr>
                <w:sz w:val="20"/>
                <w:szCs w:val="20"/>
                <w:color w:val="auto"/>
              </w:rPr>
            </w:pPr>
            <w:r>
              <w:rPr>
                <w:rFonts w:ascii="Arial" w:cs="Arial" w:eastAsia="Arial" w:hAnsi="Arial"/>
                <w:sz w:val="17"/>
                <w:szCs w:val="17"/>
                <w:color w:val="auto"/>
              </w:rPr>
              <w:t>Total International</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315.9</w:t>
            </w:r>
          </w:p>
        </w:tc>
        <w:tc>
          <w:tcPr>
            <w:tcW w:w="1580" w:type="dxa"/>
            <w:vAlign w:val="bottom"/>
            <w:gridSpan w:val="3"/>
          </w:tcPr>
          <w:p>
            <w:pPr>
              <w:jc w:val="right"/>
              <w:ind w:right="140"/>
              <w:spacing w:after="0"/>
              <w:rPr>
                <w:sz w:val="20"/>
                <w:szCs w:val="20"/>
                <w:color w:val="auto"/>
              </w:rPr>
            </w:pPr>
            <w:r>
              <w:rPr>
                <w:rFonts w:ascii="Arial" w:cs="Arial" w:eastAsia="Arial" w:hAnsi="Arial"/>
                <w:sz w:val="17"/>
                <w:szCs w:val="17"/>
                <w:color w:val="auto"/>
              </w:rPr>
              <w:t>288.0</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27.9</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10 %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12 %</w:t>
            </w:r>
          </w:p>
        </w:tc>
        <w:tc>
          <w:tcPr>
            <w:tcW w:w="1020" w:type="dxa"/>
            <w:vAlign w:val="bottom"/>
          </w:tcPr>
          <w:p>
            <w:pPr>
              <w:jc w:val="right"/>
              <w:spacing w:after="0"/>
              <w:rPr>
                <w:sz w:val="20"/>
                <w:szCs w:val="20"/>
                <w:color w:val="auto"/>
              </w:rPr>
            </w:pPr>
            <w:r>
              <w:rPr>
                <w:rFonts w:ascii="Arial" w:cs="Arial" w:eastAsia="Arial" w:hAnsi="Arial"/>
                <w:sz w:val="17"/>
                <w:szCs w:val="17"/>
                <w:color w:val="auto"/>
              </w:rPr>
              <w:t>3 %</w:t>
            </w:r>
          </w:p>
        </w:tc>
        <w:tc>
          <w:tcPr>
            <w:tcW w:w="0" w:type="dxa"/>
            <w:vAlign w:val="bottom"/>
          </w:tcPr>
          <w:p>
            <w:pPr>
              <w:spacing w:after="0"/>
              <w:rPr>
                <w:sz w:val="1"/>
                <w:szCs w:val="1"/>
                <w:color w:val="auto"/>
              </w:rPr>
            </w:pPr>
          </w:p>
        </w:tc>
      </w:tr>
      <w:tr>
        <w:trPr>
          <w:trHeight w:val="195"/>
        </w:trPr>
        <w:tc>
          <w:tcPr>
            <w:tcW w:w="2400" w:type="dxa"/>
            <w:vAlign w:val="bottom"/>
          </w:tcPr>
          <w:p>
            <w:pPr>
              <w:spacing w:after="0"/>
              <w:rPr>
                <w:sz w:val="16"/>
                <w:szCs w:val="16"/>
                <w:color w:val="auto"/>
              </w:rPr>
            </w:pPr>
          </w:p>
        </w:tc>
        <w:tc>
          <w:tcPr>
            <w:tcW w:w="1280" w:type="dxa"/>
            <w:vAlign w:val="bottom"/>
          </w:tcPr>
          <w:p>
            <w:pPr>
              <w:jc w:val="right"/>
              <w:ind w:right="538"/>
              <w:spacing w:after="0"/>
              <w:rPr>
                <w:sz w:val="20"/>
                <w:szCs w:val="20"/>
                <w:color w:val="auto"/>
              </w:rPr>
            </w:pPr>
            <w:r>
              <w:rPr>
                <w:rFonts w:ascii="Arial" w:cs="Arial" w:eastAsia="Arial" w:hAnsi="Arial"/>
                <w:sz w:val="17"/>
                <w:szCs w:val="17"/>
                <w:b w:val="1"/>
                <w:bCs w:val="1"/>
                <w:color w:val="auto"/>
              </w:rPr>
              <w:t>$</w:t>
            </w:r>
          </w:p>
        </w:tc>
        <w:tc>
          <w:tcPr>
            <w:tcW w:w="1580" w:type="dxa"/>
            <w:vAlign w:val="bottom"/>
            <w:gridSpan w:val="3"/>
          </w:tcPr>
          <w:p>
            <w:pPr>
              <w:jc w:val="right"/>
              <w:ind w:right="700"/>
              <w:spacing w:after="0"/>
              <w:rPr>
                <w:sz w:val="20"/>
                <w:szCs w:val="20"/>
                <w:color w:val="auto"/>
              </w:rPr>
            </w:pPr>
            <w:r>
              <w:rPr>
                <w:rFonts w:ascii="Arial" w:cs="Arial" w:eastAsia="Arial" w:hAnsi="Arial"/>
                <w:sz w:val="17"/>
                <w:szCs w:val="17"/>
                <w:color w:val="auto"/>
              </w:rPr>
              <w:t>$</w:t>
            </w:r>
          </w:p>
        </w:tc>
        <w:tc>
          <w:tcPr>
            <w:tcW w:w="1260" w:type="dxa"/>
            <w:vAlign w:val="bottom"/>
            <w:gridSpan w:val="2"/>
          </w:tcPr>
          <w:p>
            <w:pPr>
              <w:jc w:val="right"/>
              <w:ind w:right="618"/>
              <w:spacing w:after="0"/>
              <w:rPr>
                <w:sz w:val="20"/>
                <w:szCs w:val="20"/>
                <w:color w:val="auto"/>
              </w:rPr>
            </w:pPr>
            <w:r>
              <w:rPr>
                <w:rFonts w:ascii="Arial" w:cs="Arial" w:eastAsia="Arial" w:hAnsi="Arial"/>
                <w:sz w:val="17"/>
                <w:szCs w:val="17"/>
                <w:color w:val="auto"/>
              </w:rPr>
              <w:t>$</w:t>
            </w:r>
          </w:p>
        </w:tc>
        <w:tc>
          <w:tcPr>
            <w:tcW w:w="108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2400" w:type="dxa"/>
            <w:vAlign w:val="bottom"/>
          </w:tcPr>
          <w:p>
            <w:pPr>
              <w:ind w:left="100"/>
              <w:spacing w:after="0"/>
              <w:rPr>
                <w:sz w:val="20"/>
                <w:szCs w:val="20"/>
                <w:color w:val="auto"/>
              </w:rPr>
            </w:pPr>
            <w:r>
              <w:rPr>
                <w:rFonts w:ascii="Arial" w:cs="Arial" w:eastAsia="Arial" w:hAnsi="Arial"/>
                <w:sz w:val="17"/>
                <w:szCs w:val="17"/>
                <w:color w:val="auto"/>
              </w:rPr>
              <w:t>Total operating revenue</w:t>
            </w:r>
          </w:p>
        </w:tc>
        <w:tc>
          <w:tcPr>
            <w:tcW w:w="1280" w:type="dxa"/>
            <w:vAlign w:val="bottom"/>
          </w:tcPr>
          <w:p>
            <w:pPr>
              <w:jc w:val="right"/>
              <w:spacing w:after="0"/>
              <w:rPr>
                <w:sz w:val="20"/>
                <w:szCs w:val="20"/>
                <w:color w:val="auto"/>
              </w:rPr>
            </w:pPr>
            <w:r>
              <w:rPr>
                <w:rFonts w:ascii="Arial" w:cs="Arial" w:eastAsia="Arial" w:hAnsi="Arial"/>
                <w:sz w:val="17"/>
                <w:szCs w:val="17"/>
                <w:b w:val="1"/>
                <w:bCs w:val="1"/>
                <w:color w:val="auto"/>
              </w:rPr>
              <w:t>1,319.1</w:t>
            </w:r>
          </w:p>
        </w:tc>
        <w:tc>
          <w:tcPr>
            <w:tcW w:w="1580" w:type="dxa"/>
            <w:vAlign w:val="bottom"/>
            <w:gridSpan w:val="3"/>
          </w:tcPr>
          <w:p>
            <w:pPr>
              <w:jc w:val="right"/>
              <w:ind w:right="160"/>
              <w:spacing w:after="0"/>
              <w:rPr>
                <w:sz w:val="20"/>
                <w:szCs w:val="20"/>
                <w:color w:val="auto"/>
              </w:rPr>
            </w:pPr>
            <w:r>
              <w:rPr>
                <w:rFonts w:ascii="Arial" w:cs="Arial" w:eastAsia="Arial" w:hAnsi="Arial"/>
                <w:sz w:val="17"/>
                <w:szCs w:val="17"/>
                <w:color w:val="auto"/>
              </w:rPr>
              <w:t>1,244.3</w:t>
            </w:r>
          </w:p>
        </w:tc>
        <w:tc>
          <w:tcPr>
            <w:tcW w:w="1260" w:type="dxa"/>
            <w:vAlign w:val="bottom"/>
            <w:gridSpan w:val="2"/>
          </w:tcPr>
          <w:p>
            <w:pPr>
              <w:jc w:val="right"/>
              <w:ind w:right="58"/>
              <w:spacing w:after="0"/>
              <w:rPr>
                <w:sz w:val="20"/>
                <w:szCs w:val="20"/>
                <w:color w:val="auto"/>
              </w:rPr>
            </w:pPr>
            <w:r>
              <w:rPr>
                <w:rFonts w:ascii="Arial" w:cs="Arial" w:eastAsia="Arial" w:hAnsi="Arial"/>
                <w:sz w:val="17"/>
                <w:szCs w:val="17"/>
                <w:color w:val="auto"/>
              </w:rPr>
              <w:t>74.8</w:t>
            </w:r>
          </w:p>
        </w:tc>
        <w:tc>
          <w:tcPr>
            <w:tcW w:w="1080" w:type="dxa"/>
            <w:vAlign w:val="bottom"/>
          </w:tcPr>
          <w:p>
            <w:pPr>
              <w:jc w:val="right"/>
              <w:ind w:right="58"/>
              <w:spacing w:after="0"/>
              <w:rPr>
                <w:sz w:val="20"/>
                <w:szCs w:val="20"/>
                <w:color w:val="auto"/>
              </w:rPr>
            </w:pPr>
            <w:r>
              <w:rPr>
                <w:rFonts w:ascii="Arial" w:cs="Arial" w:eastAsia="Arial" w:hAnsi="Arial"/>
                <w:sz w:val="17"/>
                <w:szCs w:val="17"/>
                <w:color w:val="auto"/>
              </w:rPr>
              <w:t>6 %</w:t>
            </w:r>
          </w:p>
        </w:tc>
        <w:tc>
          <w:tcPr>
            <w:tcW w:w="1160" w:type="dxa"/>
            <w:vAlign w:val="bottom"/>
          </w:tcPr>
          <w:p>
            <w:pPr>
              <w:jc w:val="right"/>
              <w:ind w:right="79"/>
              <w:spacing w:after="0"/>
              <w:rPr>
                <w:sz w:val="20"/>
                <w:szCs w:val="20"/>
                <w:color w:val="auto"/>
              </w:rPr>
            </w:pPr>
            <w:r>
              <w:rPr>
                <w:rFonts w:ascii="Arial" w:cs="Arial" w:eastAsia="Arial" w:hAnsi="Arial"/>
                <w:sz w:val="17"/>
                <w:szCs w:val="17"/>
                <w:color w:val="auto"/>
              </w:rPr>
              <w:t>7 %</w:t>
            </w:r>
          </w:p>
        </w:tc>
        <w:tc>
          <w:tcPr>
            <w:tcW w:w="1020" w:type="dxa"/>
            <w:vAlign w:val="bottom"/>
          </w:tcPr>
          <w:p>
            <w:pPr>
              <w:jc w:val="right"/>
              <w:spacing w:after="0"/>
              <w:rPr>
                <w:sz w:val="20"/>
                <w:szCs w:val="20"/>
                <w:color w:val="auto"/>
              </w:rPr>
            </w:pPr>
            <w:r>
              <w:rPr>
                <w:rFonts w:ascii="Arial" w:cs="Arial" w:eastAsia="Arial" w:hAnsi="Arial"/>
                <w:sz w:val="17"/>
                <w:szCs w:val="17"/>
                <w:color w:val="auto"/>
              </w:rPr>
              <w:t>4 %</w:t>
            </w:r>
          </w:p>
        </w:tc>
        <w:tc>
          <w:tcPr>
            <w:tcW w:w="0" w:type="dxa"/>
            <w:vAlign w:val="bottom"/>
          </w:tcPr>
          <w:p>
            <w:pPr>
              <w:spacing w:after="0"/>
              <w:rPr>
                <w:sz w:val="1"/>
                <w:szCs w:val="1"/>
                <w:color w:val="auto"/>
              </w:rPr>
            </w:pPr>
          </w:p>
        </w:tc>
      </w:tr>
      <w:tr>
        <w:trPr>
          <w:trHeight w:val="25"/>
        </w:trPr>
        <w:tc>
          <w:tcPr>
            <w:tcW w:w="2400" w:type="dxa"/>
            <w:vAlign w:val="bottom"/>
          </w:tcPr>
          <w:p>
            <w:pPr>
              <w:spacing w:after="0"/>
              <w:rPr>
                <w:sz w:val="2"/>
                <w:szCs w:val="2"/>
                <w:color w:val="auto"/>
              </w:rPr>
            </w:pPr>
          </w:p>
        </w:tc>
        <w:tc>
          <w:tcPr>
            <w:tcW w:w="1280" w:type="dxa"/>
            <w:vAlign w:val="bottom"/>
            <w:tcBorders>
              <w:top w:val="single" w:sz="8" w:color="auto"/>
              <w:bottom w:val="single" w:sz="8" w:color="auto"/>
            </w:tcBorders>
          </w:tcPr>
          <w:p>
            <w:pPr>
              <w:spacing w:after="0"/>
              <w:rPr>
                <w:sz w:val="2"/>
                <w:szCs w:val="2"/>
                <w:color w:val="auto"/>
              </w:rPr>
            </w:pPr>
          </w:p>
        </w:tc>
        <w:tc>
          <w:tcPr>
            <w:tcW w:w="8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36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120" w:type="dxa"/>
            <w:vAlign w:val="bottom"/>
            <w:tcBorders>
              <w:top w:val="single" w:sz="8" w:color="auto"/>
              <w:bottom w:val="single" w:sz="8" w:color="auto"/>
            </w:tcBorders>
          </w:tcPr>
          <w:p>
            <w:pPr>
              <w:spacing w:after="0"/>
              <w:rPr>
                <w:sz w:val="2"/>
                <w:szCs w:val="2"/>
                <w:color w:val="auto"/>
              </w:rPr>
            </w:pPr>
          </w:p>
        </w:tc>
        <w:tc>
          <w:tcPr>
            <w:tcW w:w="1080" w:type="dxa"/>
            <w:vAlign w:val="bottom"/>
          </w:tcPr>
          <w:p>
            <w:pPr>
              <w:spacing w:after="0"/>
              <w:rPr>
                <w:sz w:val="2"/>
                <w:szCs w:val="2"/>
                <w:color w:val="auto"/>
              </w:rPr>
            </w:pPr>
          </w:p>
        </w:tc>
        <w:tc>
          <w:tcPr>
            <w:tcW w:w="1160" w:type="dxa"/>
            <w:vAlign w:val="bottom"/>
          </w:tcPr>
          <w:p>
            <w:pPr>
              <w:spacing w:after="0"/>
              <w:rPr>
                <w:sz w:val="2"/>
                <w:szCs w:val="2"/>
                <w:color w:val="auto"/>
              </w:rPr>
            </w:pPr>
          </w:p>
        </w:tc>
        <w:tc>
          <w:tcPr>
            <w:tcW w:w="1020" w:type="dxa"/>
            <w:vAlign w:val="bottom"/>
          </w:tcPr>
          <w:p>
            <w:pPr>
              <w:spacing w:after="0"/>
              <w:rPr>
                <w:sz w:val="2"/>
                <w:szCs w:val="2"/>
                <w:color w:val="auto"/>
              </w:rPr>
            </w:pPr>
          </w:p>
        </w:tc>
        <w:tc>
          <w:tcPr>
            <w:tcW w:w="0" w:type="dxa"/>
            <w:vAlign w:val="bottom"/>
          </w:tcPr>
          <w:p>
            <w:pPr>
              <w:spacing w:after="0"/>
              <w:rPr>
                <w:sz w:val="1"/>
                <w:szCs w:val="1"/>
                <w:color w:val="auto"/>
              </w:rPr>
            </w:pPr>
          </w:p>
        </w:tc>
      </w:tr>
    </w:tbl>
    <w:p>
      <w:pPr>
        <w:spacing w:after="0" w:line="221" w:lineRule="exact"/>
        <w:rPr>
          <w:sz w:val="20"/>
          <w:szCs w:val="20"/>
          <w:color w:val="auto"/>
        </w:rPr>
      </w:pPr>
    </w:p>
    <w:p>
      <w:pPr>
        <w:ind w:left="340" w:hanging="280"/>
        <w:spacing w:after="0"/>
        <w:tabs>
          <w:tab w:leader="none" w:pos="340" w:val="left"/>
        </w:tabs>
        <w:numPr>
          <w:ilvl w:val="1"/>
          <w:numId w:val="3"/>
        </w:numPr>
        <w:rPr>
          <w:rFonts w:ascii="Arial" w:cs="Arial" w:eastAsia="Arial" w:hAnsi="Arial"/>
          <w:sz w:val="17"/>
          <w:szCs w:val="17"/>
          <w:color w:val="auto"/>
        </w:rPr>
      </w:pPr>
      <w:r>
        <w:rPr>
          <w:rFonts w:ascii="Arial" w:cs="Arial" w:eastAsia="Arial" w:hAnsi="Arial"/>
          <w:sz w:val="17"/>
          <w:szCs w:val="17"/>
          <w:color w:val="auto"/>
        </w:rPr>
        <w:t>Local currency revenue change is calculated by conforming 2023 results using 2022 exchange rates.</w:t>
      </w:r>
    </w:p>
    <w:p>
      <w:pPr>
        <w:spacing w:after="0" w:line="254" w:lineRule="exact"/>
        <w:rPr>
          <w:rFonts w:ascii="Arial" w:cs="Arial" w:eastAsia="Arial" w:hAnsi="Arial"/>
          <w:sz w:val="17"/>
          <w:szCs w:val="17"/>
          <w:color w:val="auto"/>
        </w:rPr>
      </w:pPr>
    </w:p>
    <w:p>
      <w:pPr>
        <w:ind w:left="340" w:right="240" w:hanging="280"/>
        <w:spacing w:after="0" w:line="255" w:lineRule="auto"/>
        <w:tabs>
          <w:tab w:leader="none" w:pos="340" w:val="left"/>
        </w:tabs>
        <w:numPr>
          <w:ilvl w:val="1"/>
          <w:numId w:val="3"/>
        </w:numPr>
        <w:rPr>
          <w:rFonts w:ascii="Arial" w:cs="Arial" w:eastAsia="Arial" w:hAnsi="Arial"/>
          <w:sz w:val="17"/>
          <w:szCs w:val="17"/>
          <w:color w:val="auto"/>
        </w:rPr>
      </w:pPr>
      <w:r>
        <w:rPr>
          <w:rFonts w:ascii="Arial" w:cs="Arial" w:eastAsia="Arial" w:hAnsi="Arial"/>
          <w:sz w:val="17"/>
          <w:szCs w:val="17"/>
          <w:color w:val="auto"/>
        </w:rPr>
        <w:t>Organic local currency revenue growth is defined as local currency revenue growth, adjusted to reflect an increase in prior year Equifax revenue from the revenue of acquired companies in the prior year period. This adjustment is made for 12 months following the acquisition.</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35" w:lineRule="exact"/>
        <w:rPr>
          <w:rFonts w:ascii="Arial" w:cs="Arial" w:eastAsia="Arial" w:hAnsi="Arial"/>
          <w:sz w:val="17"/>
          <w:szCs w:val="17"/>
          <w:color w:val="auto"/>
        </w:rPr>
      </w:pPr>
    </w:p>
    <w:p>
      <w:pPr>
        <w:ind w:right="180"/>
        <w:spacing w:after="0" w:line="328" w:lineRule="auto"/>
        <w:tabs>
          <w:tab w:leader="none" w:pos="466"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What is the estimate of the change in overall U.S. Mortgage Market credit inquiry volume that is included in the 2023 fourth quarter and full year guidance provided?</w:t>
      </w:r>
    </w:p>
    <w:p>
      <w:pPr>
        <w:spacing w:after="0" w:line="91" w:lineRule="exact"/>
        <w:rPr>
          <w:sz w:val="20"/>
          <w:szCs w:val="20"/>
          <w:color w:val="auto"/>
        </w:rPr>
      </w:pPr>
    </w:p>
    <w:p>
      <w:pPr>
        <w:ind w:right="140"/>
        <w:spacing w:after="0" w:line="258" w:lineRule="auto"/>
        <w:rPr>
          <w:sz w:val="20"/>
          <w:szCs w:val="20"/>
          <w:color w:val="auto"/>
        </w:rPr>
      </w:pPr>
      <w:r>
        <w:rPr>
          <w:rFonts w:ascii="Arial" w:cs="Arial" w:eastAsia="Arial" w:hAnsi="Arial"/>
          <w:sz w:val="24"/>
          <w:szCs w:val="24"/>
          <w:color w:val="auto"/>
        </w:rPr>
        <w:t>The change year over year in total U.S. mortgage credit inquiries received by Equifax in the third quarter of 2023 was a decline of 29%. The guidance provided on page 3 assumes a change year over year in total U.S. Mortgage Market Credit inquiries received by Equifax in the fourth quarter of 2023 to be a decline of about 22%. For full year 2023, our guidance assumes a decline of about 34%.</w:t>
      </w:r>
    </w:p>
    <w:p>
      <w:pPr>
        <w:spacing w:after="0" w:line="178" w:lineRule="exact"/>
        <w:rPr>
          <w:sz w:val="20"/>
          <w:szCs w:val="20"/>
          <w:color w:val="auto"/>
        </w:rPr>
      </w:pPr>
    </w:p>
    <w:p>
      <w:pPr>
        <w:ind w:right="820"/>
        <w:spacing w:after="0" w:line="304" w:lineRule="auto"/>
        <w:tabs>
          <w:tab w:leader="none" w:pos="266"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color w:val="auto"/>
        </w:rPr>
        <w:t>In the third quarter of 2023, what was the revenue impact of foreign currency versus the July revenue guidance?</w:t>
      </w:r>
    </w:p>
    <w:p>
      <w:pPr>
        <w:spacing w:after="0" w:line="115"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The strengthening of the U.S. dollar resulted in a lower third quarter of 2023 Equifax revenue from foreign currency exchange of $6 million versus the quarterly revenue guidance we provided in July 2023.</w:t>
      </w:r>
    </w:p>
    <w:p>
      <w:pPr>
        <w:spacing w:after="0" w:line="166" w:lineRule="exact"/>
        <w:rPr>
          <w:sz w:val="20"/>
          <w:szCs w:val="20"/>
          <w:color w:val="auto"/>
        </w:rPr>
      </w:pPr>
    </w:p>
    <w:p>
      <w:pPr>
        <w:ind w:right="140"/>
        <w:spacing w:after="0" w:line="262" w:lineRule="auto"/>
        <w:rPr>
          <w:sz w:val="20"/>
          <w:szCs w:val="20"/>
          <w:color w:val="auto"/>
        </w:rPr>
      </w:pPr>
      <w:r>
        <w:rPr>
          <w:rFonts w:ascii="Arial" w:cs="Arial" w:eastAsia="Arial" w:hAnsi="Arial"/>
          <w:sz w:val="24"/>
          <w:szCs w:val="24"/>
          <w:b w:val="1"/>
          <w:bCs w:val="1"/>
          <w:color w:val="auto"/>
        </w:rPr>
        <w:t>Reconciliations of Non-GAAP Financial Measures to the Comparable GAAP Financial Measures (Unaudited)</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(Dollars in millions, except per share amounts)</w:t>
      </w:r>
    </w:p>
    <w:p>
      <w:pPr>
        <w:spacing w:after="0" w:line="215" w:lineRule="exact"/>
        <w:rPr>
          <w:sz w:val="20"/>
          <w:szCs w:val="20"/>
          <w:color w:val="auto"/>
        </w:rPr>
      </w:pPr>
    </w:p>
    <w:p>
      <w:pPr>
        <w:ind w:right="40"/>
        <w:spacing w:after="0" w:line="262" w:lineRule="auto"/>
        <w:tabs>
          <w:tab w:leader="none" w:pos="506"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color w:val="auto"/>
        </w:rPr>
        <w:t>Reconciliation of net income attributable to Equifax to diluted EPS attributable to Equifax, defined as net income adjusted for acquisition-related amortization expense, accrual for legal and regulatory matters related to the 2017 cybersecurity incident, fair value adjustment and gain on sale of equity investments, foreign currency impact of certain intercompany loans, acquisition-related costs other than acquisition</w:t>
      </w:r>
    </w:p>
    <w:p>
      <w:pPr>
        <w:sectPr>
          <w:pgSz w:w="12240" w:h="15840" w:orient="portrait"/>
          <w:cols w:equalWidth="0" w:num="1">
            <w:col w:w="9820"/>
          </w:cols>
          <w:pgMar w:left="1200" w:top="1073" w:right="1220" w:bottom="115" w:gutter="0" w:footer="0" w:header="0"/>
        </w:sectPr>
      </w:pPr>
    </w:p>
    <w:bookmarkStart w:id="9" w:name="page10"/>
    <w:bookmarkEnd w:id="9"/>
    <w:p>
      <w:pPr>
        <w:ind w:right="180"/>
        <w:spacing w:after="0" w:line="281" w:lineRule="auto"/>
        <w:rPr>
          <w:sz w:val="20"/>
          <w:szCs w:val="20"/>
          <w:color w:val="auto"/>
        </w:rPr>
      </w:pPr>
      <w:r>
        <w:rPr>
          <w:rFonts w:ascii="Arial" w:cs="Arial" w:eastAsia="Arial" w:hAnsi="Arial"/>
          <w:sz w:val="23"/>
          <w:szCs w:val="23"/>
          <w:b w:val="1"/>
          <w:bCs w:val="1"/>
          <w:color w:val="auto"/>
        </w:rPr>
        <w:t>amortization, income tax effect of stock awards recognized upon vesting or settlement, Argentina highly inflationary foreign currency adjustment, realignment of resources and other costs, gain on settlement of Canada pension plan, adjustments to deferred tax balances and aggregated tax impact of these adjustments:</w:t>
      </w:r>
    </w:p>
    <w:p>
      <w:pPr>
        <w:spacing w:after="0" w:line="161" w:lineRule="exact"/>
        <w:rPr>
          <w:sz w:val="20"/>
          <w:szCs w:val="20"/>
          <w:color w:val="auto"/>
        </w:rPr>
      </w:pPr>
    </w:p>
    <w:tbl>
      <w:tblPr>
        <w:tblLayout w:type="fixed"/>
        <w:tblInd w:w="60" w:type="dxa"/>
        <w:tblCellMar>
          <w:top w:w="0" w:type="dxa"/>
          <w:left w:w="0" w:type="dxa"/>
          <w:bottom w:w="0" w:type="dxa"/>
          <w:right w:w="0" w:type="dxa"/>
        </w:tblCellMar>
      </w:tblPr>
      <w:tr>
        <w:trPr>
          <w:trHeight w:val="195"/>
        </w:trPr>
        <w:tc>
          <w:tcPr>
            <w:tcW w:w="5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160" w:type="dxa"/>
            <w:vAlign w:val="bottom"/>
            <w:gridSpan w:val="4"/>
          </w:tcPr>
          <w:p>
            <w:pPr>
              <w:jc w:val="right"/>
              <w:ind w:right="358"/>
              <w:spacing w:after="0"/>
              <w:rPr>
                <w:sz w:val="20"/>
                <w:szCs w:val="20"/>
                <w:color w:val="auto"/>
              </w:rPr>
            </w:pPr>
            <w:r>
              <w:rPr>
                <w:rFonts w:ascii="Arial" w:cs="Arial" w:eastAsia="Arial" w:hAnsi="Arial"/>
                <w:sz w:val="17"/>
                <w:szCs w:val="17"/>
                <w:b w:val="1"/>
                <w:bCs w:val="1"/>
                <w:color w:val="auto"/>
              </w:rPr>
              <w:t>Three Months Ended</w:t>
            </w:r>
          </w:p>
        </w:tc>
        <w:tc>
          <w:tcPr>
            <w:tcW w:w="1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3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160" w:type="dxa"/>
            <w:vAlign w:val="bottom"/>
            <w:gridSpan w:val="4"/>
          </w:tcPr>
          <w:p>
            <w:pPr>
              <w:jc w:val="right"/>
              <w:ind w:right="598"/>
              <w:spacing w:after="0"/>
              <w:rPr>
                <w:sz w:val="20"/>
                <w:szCs w:val="20"/>
                <w:color w:val="auto"/>
              </w:rPr>
            </w:pPr>
            <w:r>
              <w:rPr>
                <w:rFonts w:ascii="Arial" w:cs="Arial" w:eastAsia="Arial" w:hAnsi="Arial"/>
                <w:sz w:val="17"/>
                <w:szCs w:val="17"/>
                <w:b w:val="1"/>
                <w:bCs w:val="1"/>
                <w:color w:val="auto"/>
              </w:rPr>
              <w:t>September 30,</w:t>
            </w:r>
          </w:p>
        </w:tc>
        <w:tc>
          <w:tcPr>
            <w:tcW w:w="16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820" w:type="dxa"/>
            <w:vAlign w:val="bottom"/>
            <w:vMerge w:val="restart"/>
          </w:tcPr>
          <w:p>
            <w:pPr>
              <w:jc w:val="right"/>
              <w:ind w:right="138"/>
              <w:spacing w:after="0"/>
              <w:rPr>
                <w:sz w:val="20"/>
                <w:szCs w:val="20"/>
                <w:color w:val="auto"/>
              </w:rPr>
            </w:pP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91"/>
        </w:trPr>
        <w:tc>
          <w:tcPr>
            <w:tcW w:w="5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820" w:type="dxa"/>
            <w:vAlign w:val="bottom"/>
            <w:vMerge w:val="restart"/>
          </w:tcPr>
          <w:p>
            <w:pPr>
              <w:jc w:val="right"/>
              <w:ind w:right="358"/>
              <w:spacing w:after="0"/>
              <w:rPr>
                <w:sz w:val="20"/>
                <w:szCs w:val="20"/>
                <w:color w:val="auto"/>
              </w:rPr>
            </w:pPr>
            <w:r>
              <w:rPr>
                <w:rFonts w:ascii="Arial" w:cs="Arial" w:eastAsia="Arial" w:hAnsi="Arial"/>
                <w:sz w:val="17"/>
                <w:szCs w:val="17"/>
                <w:b w:val="1"/>
                <w:bCs w:val="1"/>
                <w:color w:val="auto"/>
                <w:w w:val="95"/>
              </w:rPr>
              <w:t>2023</w:t>
            </w:r>
          </w:p>
        </w:tc>
        <w:tc>
          <w:tcPr>
            <w:tcW w:w="1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820" w:type="dxa"/>
            <w:vAlign w:val="bottom"/>
            <w:vMerge w:val="restart"/>
          </w:tcPr>
          <w:p>
            <w:pPr>
              <w:jc w:val="right"/>
              <w:ind w:right="358"/>
              <w:spacing w:after="0"/>
              <w:rPr>
                <w:sz w:val="20"/>
                <w:szCs w:val="20"/>
                <w:color w:val="auto"/>
              </w:rPr>
            </w:pPr>
            <w:r>
              <w:rPr>
                <w:rFonts w:ascii="Arial" w:cs="Arial" w:eastAsia="Arial" w:hAnsi="Arial"/>
                <w:sz w:val="17"/>
                <w:szCs w:val="17"/>
                <w:b w:val="1"/>
                <w:bCs w:val="1"/>
                <w:color w:val="auto"/>
                <w:w w:val="95"/>
              </w:rPr>
              <w:t>2022</w:t>
            </w:r>
          </w:p>
        </w:tc>
        <w:tc>
          <w:tcPr>
            <w:tcW w:w="1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8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23"/>
        </w:trPr>
        <w:tc>
          <w:tcPr>
            <w:tcW w:w="5760" w:type="dxa"/>
            <w:vAlign w:val="bottom"/>
            <w:gridSpan w:val="2"/>
          </w:tcPr>
          <w:p>
            <w:pPr>
              <w:spacing w:after="0"/>
              <w:rPr>
                <w:sz w:val="20"/>
                <w:szCs w:val="20"/>
                <w:color w:val="auto"/>
              </w:rPr>
            </w:pPr>
            <w:r>
              <w:rPr>
                <w:rFonts w:ascii="Arial" w:cs="Arial" w:eastAsia="Arial" w:hAnsi="Arial"/>
                <w:sz w:val="17"/>
                <w:szCs w:val="17"/>
                <w:i w:val="1"/>
                <w:iCs w:val="1"/>
                <w:color w:val="auto"/>
              </w:rPr>
              <w:t>(In millions, except per share amounts)</w:t>
            </w:r>
          </w:p>
        </w:tc>
        <w:tc>
          <w:tcPr>
            <w:tcW w:w="820" w:type="dxa"/>
            <w:vAlign w:val="bottom"/>
            <w:vMerge w:val="continue"/>
          </w:tcPr>
          <w:p>
            <w:pPr>
              <w:spacing w:after="0"/>
              <w:rPr>
                <w:sz w:val="19"/>
                <w:szCs w:val="19"/>
                <w:color w:val="auto"/>
              </w:rPr>
            </w:pPr>
          </w:p>
        </w:tc>
        <w:tc>
          <w:tcPr>
            <w:tcW w:w="1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820" w:type="dxa"/>
            <w:vAlign w:val="bottom"/>
            <w:vMerge w:val="continue"/>
          </w:tcPr>
          <w:p>
            <w:pPr>
              <w:spacing w:after="0"/>
              <w:rPr>
                <w:sz w:val="19"/>
                <w:szCs w:val="19"/>
                <w:color w:val="auto"/>
              </w:rPr>
            </w:pPr>
          </w:p>
        </w:tc>
        <w:tc>
          <w:tcPr>
            <w:tcW w:w="160" w:type="dxa"/>
            <w:vAlign w:val="bottom"/>
          </w:tcPr>
          <w:p>
            <w:pPr>
              <w:spacing w:after="0"/>
              <w:rPr>
                <w:sz w:val="19"/>
                <w:szCs w:val="19"/>
                <w:color w:val="auto"/>
              </w:rPr>
            </w:pPr>
          </w:p>
        </w:tc>
        <w:tc>
          <w:tcPr>
            <w:tcW w:w="880" w:type="dxa"/>
            <w:vAlign w:val="bottom"/>
          </w:tcPr>
          <w:p>
            <w:pPr>
              <w:jc w:val="right"/>
              <w:spacing w:after="0"/>
              <w:rPr>
                <w:sz w:val="20"/>
                <w:szCs w:val="20"/>
                <w:color w:val="auto"/>
              </w:rPr>
            </w:pPr>
            <w:r>
              <w:rPr>
                <w:rFonts w:ascii="Arial" w:cs="Arial" w:eastAsia="Arial" w:hAnsi="Arial"/>
                <w:sz w:val="17"/>
                <w:szCs w:val="17"/>
                <w:color w:val="auto"/>
              </w:rPr>
              <w:t>$ Change</w:t>
            </w:r>
          </w:p>
        </w:tc>
        <w:tc>
          <w:tcPr>
            <w:tcW w:w="820" w:type="dxa"/>
            <w:vAlign w:val="bottom"/>
          </w:tcPr>
          <w:p>
            <w:pPr>
              <w:jc w:val="right"/>
              <w:spacing w:after="0"/>
              <w:rPr>
                <w:sz w:val="20"/>
                <w:szCs w:val="20"/>
                <w:color w:val="auto"/>
              </w:rPr>
            </w:pPr>
            <w:r>
              <w:rPr>
                <w:rFonts w:ascii="Arial" w:cs="Arial" w:eastAsia="Arial" w:hAnsi="Arial"/>
                <w:sz w:val="17"/>
                <w:szCs w:val="17"/>
                <w:color w:val="auto"/>
              </w:rPr>
              <w:t>Change</w:t>
            </w:r>
          </w:p>
        </w:tc>
        <w:tc>
          <w:tcPr>
            <w:tcW w:w="0" w:type="dxa"/>
            <w:vAlign w:val="bottom"/>
          </w:tcPr>
          <w:p>
            <w:pPr>
              <w:spacing w:after="0"/>
              <w:rPr>
                <w:sz w:val="1"/>
                <w:szCs w:val="1"/>
                <w:color w:val="auto"/>
              </w:rPr>
            </w:pPr>
          </w:p>
        </w:tc>
      </w:tr>
      <w:tr>
        <w:trPr>
          <w:trHeight w:val="195"/>
        </w:trPr>
        <w:tc>
          <w:tcPr>
            <w:tcW w:w="5760" w:type="dxa"/>
            <w:vAlign w:val="bottom"/>
            <w:gridSpan w:val="2"/>
          </w:tcPr>
          <w:p>
            <w:pPr>
              <w:ind w:left="5680"/>
              <w:spacing w:after="0"/>
              <w:rPr>
                <w:sz w:val="20"/>
                <w:szCs w:val="20"/>
                <w:color w:val="auto"/>
              </w:rPr>
            </w:pPr>
            <w:r>
              <w:rPr>
                <w:rFonts w:ascii="Arial" w:cs="Arial" w:eastAsia="Arial" w:hAnsi="Arial"/>
                <w:sz w:val="15"/>
                <w:szCs w:val="15"/>
                <w:b w:val="1"/>
                <w:bCs w:val="1"/>
                <w:color w:val="auto"/>
                <w:w w:val="71"/>
              </w:rPr>
              <w:t>$</w:t>
            </w:r>
          </w:p>
        </w:tc>
        <w:tc>
          <w:tcPr>
            <w:tcW w:w="1340" w:type="dxa"/>
            <w:vAlign w:val="bottom"/>
            <w:gridSpan w:val="3"/>
          </w:tcPr>
          <w:p>
            <w:pPr>
              <w:jc w:val="right"/>
              <w:spacing w:after="0"/>
              <w:rPr>
                <w:sz w:val="20"/>
                <w:szCs w:val="20"/>
                <w:color w:val="auto"/>
              </w:rPr>
            </w:pPr>
            <w:r>
              <w:rPr>
                <w:rFonts w:ascii="Arial" w:cs="Arial" w:eastAsia="Arial" w:hAnsi="Arial"/>
                <w:sz w:val="17"/>
                <w:szCs w:val="17"/>
                <w:color w:val="auto"/>
              </w:rPr>
              <w:t>$</w:t>
            </w:r>
          </w:p>
        </w:tc>
        <w:tc>
          <w:tcPr>
            <w:tcW w:w="820" w:type="dxa"/>
            <w:vAlign w:val="bottom"/>
          </w:tcPr>
          <w:p>
            <w:pPr>
              <w:spacing w:after="0"/>
              <w:rPr>
                <w:sz w:val="16"/>
                <w:szCs w:val="16"/>
                <w:color w:val="auto"/>
              </w:rPr>
            </w:pPr>
          </w:p>
        </w:tc>
        <w:tc>
          <w:tcPr>
            <w:tcW w:w="1040" w:type="dxa"/>
            <w:vAlign w:val="bottom"/>
            <w:gridSpan w:val="2"/>
          </w:tcPr>
          <w:p>
            <w:pPr>
              <w:jc w:val="right"/>
              <w:ind w:right="418"/>
              <w:spacing w:after="0"/>
              <w:rPr>
                <w:sz w:val="20"/>
                <w:szCs w:val="20"/>
                <w:color w:val="auto"/>
              </w:rPr>
            </w:pPr>
            <w:r>
              <w:rPr>
                <w:rFonts w:ascii="Arial" w:cs="Arial" w:eastAsia="Arial" w:hAnsi="Arial"/>
                <w:sz w:val="17"/>
                <w:szCs w:val="17"/>
                <w:color w:val="auto"/>
              </w:rPr>
              <w:t>$</w:t>
            </w:r>
          </w:p>
        </w:tc>
        <w:tc>
          <w:tcPr>
            <w:tcW w:w="8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7"/>
        </w:trPr>
        <w:tc>
          <w:tcPr>
            <w:tcW w:w="5760" w:type="dxa"/>
            <w:vAlign w:val="bottom"/>
            <w:gridSpan w:val="2"/>
          </w:tcPr>
          <w:p>
            <w:pPr>
              <w:spacing w:after="0"/>
              <w:rPr>
                <w:sz w:val="20"/>
                <w:szCs w:val="20"/>
                <w:color w:val="auto"/>
              </w:rPr>
            </w:pPr>
            <w:r>
              <w:rPr>
                <w:rFonts w:ascii="Arial" w:cs="Arial" w:eastAsia="Arial" w:hAnsi="Arial"/>
                <w:sz w:val="17"/>
                <w:szCs w:val="17"/>
                <w:color w:val="auto"/>
              </w:rPr>
              <w:t>Net income attributable to Equifax</w:t>
            </w:r>
          </w:p>
        </w:tc>
        <w:tc>
          <w:tcPr>
            <w:tcW w:w="820" w:type="dxa"/>
            <w:vAlign w:val="bottom"/>
          </w:tcPr>
          <w:p>
            <w:pPr>
              <w:jc w:val="right"/>
              <w:ind w:right="38"/>
              <w:spacing w:after="0"/>
              <w:rPr>
                <w:sz w:val="20"/>
                <w:szCs w:val="20"/>
                <w:color w:val="auto"/>
              </w:rPr>
            </w:pPr>
            <w:r>
              <w:rPr>
                <w:rFonts w:ascii="Arial" w:cs="Arial" w:eastAsia="Arial" w:hAnsi="Arial"/>
                <w:sz w:val="17"/>
                <w:szCs w:val="17"/>
                <w:b w:val="1"/>
                <w:bCs w:val="1"/>
                <w:color w:val="auto"/>
              </w:rPr>
              <w:t>162.2</w:t>
            </w:r>
          </w:p>
        </w:tc>
        <w:tc>
          <w:tcPr>
            <w:tcW w:w="1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820" w:type="dxa"/>
            <w:vAlign w:val="bottom"/>
          </w:tcPr>
          <w:p>
            <w:pPr>
              <w:jc w:val="right"/>
              <w:ind w:right="38"/>
              <w:spacing w:after="0"/>
              <w:rPr>
                <w:sz w:val="20"/>
                <w:szCs w:val="20"/>
                <w:color w:val="auto"/>
              </w:rPr>
            </w:pPr>
            <w:r>
              <w:rPr>
                <w:rFonts w:ascii="Arial" w:cs="Arial" w:eastAsia="Arial" w:hAnsi="Arial"/>
                <w:sz w:val="17"/>
                <w:szCs w:val="17"/>
                <w:color w:val="auto"/>
              </w:rPr>
              <w:t>165.7</w:t>
            </w:r>
          </w:p>
        </w:tc>
        <w:tc>
          <w:tcPr>
            <w:tcW w:w="1040" w:type="dxa"/>
            <w:vAlign w:val="bottom"/>
            <w:gridSpan w:val="2"/>
          </w:tcPr>
          <w:p>
            <w:pPr>
              <w:jc w:val="right"/>
              <w:spacing w:after="0"/>
              <w:rPr>
                <w:sz w:val="20"/>
                <w:szCs w:val="20"/>
                <w:color w:val="auto"/>
              </w:rPr>
            </w:pPr>
            <w:r>
              <w:rPr>
                <w:rFonts w:ascii="Arial" w:cs="Arial" w:eastAsia="Arial" w:hAnsi="Arial"/>
                <w:sz w:val="17"/>
                <w:szCs w:val="17"/>
                <w:color w:val="auto"/>
              </w:rPr>
              <w:t>(3.5)</w:t>
            </w:r>
          </w:p>
        </w:tc>
        <w:tc>
          <w:tcPr>
            <w:tcW w:w="8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11"/>
        </w:trPr>
        <w:tc>
          <w:tcPr>
            <w:tcW w:w="5760" w:type="dxa"/>
            <w:vAlign w:val="bottom"/>
            <w:gridSpan w:val="2"/>
          </w:tcPr>
          <w:p>
            <w:pPr>
              <w:spacing w:after="0"/>
              <w:rPr>
                <w:sz w:val="20"/>
                <w:szCs w:val="20"/>
                <w:color w:val="auto"/>
              </w:rPr>
            </w:pPr>
            <w:r>
              <w:rPr>
                <w:rFonts w:ascii="Arial" w:cs="Arial" w:eastAsia="Arial" w:hAnsi="Arial"/>
                <w:sz w:val="17"/>
                <w:szCs w:val="17"/>
                <w:color w:val="auto"/>
              </w:rPr>
              <w:t>Acquisition-related amortization expense of certain acquired intangibles</w:t>
            </w: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4"/>
        </w:trPr>
        <w:tc>
          <w:tcPr>
            <w:tcW w:w="5380" w:type="dxa"/>
            <w:vAlign w:val="bottom"/>
          </w:tcPr>
          <w:p>
            <w:pPr>
              <w:spacing w:after="0"/>
              <w:rPr>
                <w:sz w:val="20"/>
                <w:szCs w:val="20"/>
                <w:color w:val="auto"/>
              </w:rPr>
            </w:pPr>
            <w:r>
              <w:rPr>
                <w:rFonts w:ascii="Arial" w:cs="Arial" w:eastAsia="Arial" w:hAnsi="Arial"/>
                <w:sz w:val="14"/>
                <w:szCs w:val="14"/>
                <w:color w:val="auto"/>
              </w:rPr>
              <w:t>(1)</w:t>
            </w:r>
          </w:p>
        </w:tc>
        <w:tc>
          <w:tcPr>
            <w:tcW w:w="380" w:type="dxa"/>
            <w:vAlign w:val="bottom"/>
          </w:tcPr>
          <w:p>
            <w:pPr>
              <w:spacing w:after="0"/>
              <w:rPr>
                <w:sz w:val="22"/>
                <w:szCs w:val="22"/>
                <w:color w:val="auto"/>
              </w:rPr>
            </w:pPr>
          </w:p>
        </w:tc>
        <w:tc>
          <w:tcPr>
            <w:tcW w:w="820" w:type="dxa"/>
            <w:vAlign w:val="bottom"/>
          </w:tcPr>
          <w:p>
            <w:pPr>
              <w:jc w:val="right"/>
              <w:ind w:right="38"/>
              <w:spacing w:after="0"/>
              <w:rPr>
                <w:sz w:val="20"/>
                <w:szCs w:val="20"/>
                <w:color w:val="auto"/>
              </w:rPr>
            </w:pPr>
            <w:r>
              <w:rPr>
                <w:rFonts w:ascii="Arial" w:cs="Arial" w:eastAsia="Arial" w:hAnsi="Arial"/>
                <w:sz w:val="17"/>
                <w:szCs w:val="17"/>
                <w:b w:val="1"/>
                <w:bCs w:val="1"/>
                <w:color w:val="auto"/>
              </w:rPr>
              <w:t>64.4</w:t>
            </w:r>
          </w:p>
        </w:tc>
        <w:tc>
          <w:tcPr>
            <w:tcW w:w="1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20" w:type="dxa"/>
            <w:vAlign w:val="bottom"/>
          </w:tcPr>
          <w:p>
            <w:pPr>
              <w:jc w:val="right"/>
              <w:ind w:right="38"/>
              <w:spacing w:after="0"/>
              <w:rPr>
                <w:sz w:val="20"/>
                <w:szCs w:val="20"/>
                <w:color w:val="auto"/>
              </w:rPr>
            </w:pPr>
            <w:r>
              <w:rPr>
                <w:rFonts w:ascii="Arial" w:cs="Arial" w:eastAsia="Arial" w:hAnsi="Arial"/>
                <w:sz w:val="17"/>
                <w:szCs w:val="17"/>
                <w:color w:val="auto"/>
              </w:rPr>
              <w:t>59.1</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5.3</w:t>
            </w:r>
          </w:p>
        </w:tc>
        <w:tc>
          <w:tcPr>
            <w:tcW w:w="820" w:type="dxa"/>
            <w:vAlign w:val="bottom"/>
          </w:tcPr>
          <w:p>
            <w:pPr>
              <w:jc w:val="right"/>
              <w:spacing w:after="0"/>
              <w:rPr>
                <w:sz w:val="20"/>
                <w:szCs w:val="20"/>
                <w:color w:val="auto"/>
              </w:rPr>
            </w:pPr>
            <w:r>
              <w:rPr>
                <w:rFonts w:ascii="Arial" w:cs="Arial" w:eastAsia="Arial" w:hAnsi="Arial"/>
                <w:sz w:val="17"/>
                <w:szCs w:val="17"/>
                <w:color w:val="auto"/>
              </w:rPr>
              <w:t>9 %</w:t>
            </w:r>
          </w:p>
        </w:tc>
        <w:tc>
          <w:tcPr>
            <w:tcW w:w="0" w:type="dxa"/>
            <w:vAlign w:val="bottom"/>
          </w:tcPr>
          <w:p>
            <w:pPr>
              <w:spacing w:after="0"/>
              <w:rPr>
                <w:sz w:val="1"/>
                <w:szCs w:val="1"/>
                <w:color w:val="auto"/>
              </w:rPr>
            </w:pPr>
          </w:p>
        </w:tc>
      </w:tr>
      <w:tr>
        <w:trPr>
          <w:trHeight w:val="211"/>
        </w:trPr>
        <w:tc>
          <w:tcPr>
            <w:tcW w:w="5760" w:type="dxa"/>
            <w:vAlign w:val="bottom"/>
            <w:gridSpan w:val="2"/>
          </w:tcPr>
          <w:p>
            <w:pPr>
              <w:spacing w:after="0"/>
              <w:rPr>
                <w:sz w:val="20"/>
                <w:szCs w:val="20"/>
                <w:color w:val="auto"/>
              </w:rPr>
            </w:pPr>
            <w:r>
              <w:rPr>
                <w:rFonts w:ascii="Arial" w:cs="Arial" w:eastAsia="Arial" w:hAnsi="Arial"/>
                <w:sz w:val="17"/>
                <w:szCs w:val="17"/>
                <w:color w:val="auto"/>
              </w:rPr>
              <w:t>Accrual for legal and regulatory matters related to the 2017</w:t>
            </w: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cybersecurity incident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(2)</w:t>
            </w:r>
          </w:p>
        </w:tc>
        <w:tc>
          <w:tcPr>
            <w:tcW w:w="820" w:type="dxa"/>
            <w:vAlign w:val="bottom"/>
          </w:tcPr>
          <w:p>
            <w:pPr>
              <w:jc w:val="right"/>
              <w:ind w:right="38"/>
              <w:spacing w:after="0"/>
              <w:rPr>
                <w:sz w:val="20"/>
                <w:szCs w:val="20"/>
                <w:color w:val="auto"/>
              </w:rPr>
            </w:pPr>
            <w:r>
              <w:rPr>
                <w:rFonts w:ascii="Arial" w:cs="Arial" w:eastAsia="Arial" w:hAnsi="Arial"/>
                <w:sz w:val="17"/>
                <w:szCs w:val="17"/>
                <w:b w:val="1"/>
                <w:bCs w:val="1"/>
                <w:color w:val="auto"/>
              </w:rPr>
              <w:t>14.2</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ind w:right="58"/>
              <w:spacing w:after="0"/>
              <w:rPr>
                <w:sz w:val="20"/>
                <w:szCs w:val="20"/>
                <w:color w:val="auto"/>
              </w:rPr>
            </w:pPr>
            <w:r>
              <w:rPr>
                <w:rFonts w:ascii="Arial" w:cs="Arial" w:eastAsia="Arial" w:hAnsi="Arial"/>
                <w:sz w:val="17"/>
                <w:szCs w:val="17"/>
                <w:color w:val="auto"/>
              </w:rPr>
              <w:t>0.2</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14.0</w:t>
            </w:r>
          </w:p>
        </w:tc>
        <w:tc>
          <w:tcPr>
            <w:tcW w:w="82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Fair market value adjustment and gain on sale of equity investments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(3)</w:t>
            </w:r>
          </w:p>
        </w:tc>
        <w:tc>
          <w:tcPr>
            <w:tcW w:w="820" w:type="dxa"/>
            <w:vAlign w:val="bottom"/>
          </w:tcPr>
          <w:p>
            <w:pPr>
              <w:jc w:val="right"/>
              <w:ind w:right="38"/>
              <w:spacing w:after="0"/>
              <w:rPr>
                <w:sz w:val="20"/>
                <w:szCs w:val="20"/>
                <w:color w:val="auto"/>
              </w:rPr>
            </w:pPr>
            <w:r>
              <w:rPr>
                <w:rFonts w:ascii="Arial" w:cs="Arial" w:eastAsia="Arial" w:hAnsi="Arial"/>
                <w:sz w:val="17"/>
                <w:szCs w:val="17"/>
                <w:b w:val="1"/>
                <w:bCs w:val="1"/>
                <w:color w:val="auto"/>
              </w:rPr>
              <w:t>0.2</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spacing w:after="0"/>
              <w:rPr>
                <w:sz w:val="20"/>
                <w:szCs w:val="20"/>
                <w:color w:val="auto"/>
              </w:rPr>
            </w:pPr>
            <w:r>
              <w:rPr>
                <w:rFonts w:ascii="Arial" w:cs="Arial" w:eastAsia="Arial" w:hAnsi="Arial"/>
                <w:sz w:val="17"/>
                <w:szCs w:val="17"/>
                <w:color w:val="auto"/>
              </w:rPr>
              <w:t>(17.5)</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17.7</w:t>
            </w:r>
          </w:p>
        </w:tc>
        <w:tc>
          <w:tcPr>
            <w:tcW w:w="82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Foreign currency impact of certain intercompany loans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(4)</w:t>
            </w:r>
          </w:p>
        </w:tc>
        <w:tc>
          <w:tcPr>
            <w:tcW w:w="820" w:type="dxa"/>
            <w:vAlign w:val="bottom"/>
          </w:tcPr>
          <w:p>
            <w:pPr>
              <w:jc w:val="right"/>
              <w:spacing w:after="0"/>
              <w:rPr>
                <w:sz w:val="20"/>
                <w:szCs w:val="20"/>
                <w:color w:val="auto"/>
              </w:rPr>
            </w:pPr>
            <w:r>
              <w:rPr>
                <w:rFonts w:ascii="Arial" w:cs="Arial" w:eastAsia="Arial" w:hAnsi="Arial"/>
                <w:sz w:val="17"/>
                <w:szCs w:val="17"/>
                <w:b w:val="1"/>
                <w:bCs w:val="1"/>
                <w:color w:val="auto"/>
              </w:rPr>
              <w:t>(0.4)</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spacing w:after="0"/>
              <w:rPr>
                <w:sz w:val="20"/>
                <w:szCs w:val="20"/>
                <w:color w:val="auto"/>
              </w:rPr>
            </w:pPr>
            <w:r>
              <w:rPr>
                <w:rFonts w:ascii="Arial" w:cs="Arial" w:eastAsia="Arial" w:hAnsi="Arial"/>
                <w:sz w:val="17"/>
                <w:szCs w:val="17"/>
                <w:color w:val="auto"/>
              </w:rPr>
              <w:t>(0.5)</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0.1</w:t>
            </w:r>
          </w:p>
        </w:tc>
        <w:tc>
          <w:tcPr>
            <w:tcW w:w="820" w:type="dxa"/>
            <w:vAlign w:val="bottom"/>
          </w:tcPr>
          <w:p>
            <w:pPr>
              <w:jc w:val="right"/>
              <w:spacing w:after="0"/>
              <w:rPr>
                <w:sz w:val="20"/>
                <w:szCs w:val="20"/>
                <w:color w:val="auto"/>
              </w:rPr>
            </w:pPr>
            <w:r>
              <w:rPr>
                <w:rFonts w:ascii="Arial" w:cs="Arial" w:eastAsia="Arial" w:hAnsi="Arial"/>
                <w:sz w:val="17"/>
                <w:szCs w:val="17"/>
                <w:color w:val="auto"/>
              </w:rPr>
              <w:t>(20) %</w:t>
            </w:r>
          </w:p>
        </w:tc>
        <w:tc>
          <w:tcPr>
            <w:tcW w:w="0" w:type="dxa"/>
            <w:vAlign w:val="bottom"/>
          </w:tcPr>
          <w:p>
            <w:pPr>
              <w:spacing w:after="0"/>
              <w:rPr>
                <w:sz w:val="1"/>
                <w:szCs w:val="1"/>
                <w:color w:val="auto"/>
              </w:rPr>
            </w:pPr>
          </w:p>
        </w:tc>
      </w:tr>
      <w:tr>
        <w:trPr>
          <w:trHeight w:val="254"/>
        </w:trPr>
        <w:tc>
          <w:tcPr>
            <w:tcW w:w="5760" w:type="dxa"/>
            <w:vAlign w:val="bottom"/>
            <w:gridSpan w:val="2"/>
          </w:tcPr>
          <w:p>
            <w:pPr>
              <w:spacing w:after="0" w:line="254" w:lineRule="exact"/>
              <w:rPr>
                <w:sz w:val="20"/>
                <w:szCs w:val="20"/>
                <w:color w:val="auto"/>
              </w:rPr>
            </w:pPr>
            <w:r>
              <w:rPr>
                <w:rFonts w:ascii="Arial" w:cs="Arial" w:eastAsia="Arial" w:hAnsi="Arial"/>
                <w:sz w:val="17"/>
                <w:szCs w:val="17"/>
                <w:color w:val="auto"/>
              </w:rPr>
              <w:t>Acquisition-related costs other than acquisition amortization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(5)</w:t>
            </w:r>
          </w:p>
        </w:tc>
        <w:tc>
          <w:tcPr>
            <w:tcW w:w="820" w:type="dxa"/>
            <w:vAlign w:val="bottom"/>
          </w:tcPr>
          <w:p>
            <w:pPr>
              <w:jc w:val="right"/>
              <w:ind w:right="38"/>
              <w:spacing w:after="0"/>
              <w:rPr>
                <w:sz w:val="20"/>
                <w:szCs w:val="20"/>
                <w:color w:val="auto"/>
              </w:rPr>
            </w:pPr>
            <w:r>
              <w:rPr>
                <w:rFonts w:ascii="Arial" w:cs="Arial" w:eastAsia="Arial" w:hAnsi="Arial"/>
                <w:sz w:val="17"/>
                <w:szCs w:val="17"/>
                <w:b w:val="1"/>
                <w:bCs w:val="1"/>
                <w:color w:val="auto"/>
              </w:rPr>
              <w:t>24.4</w:t>
            </w:r>
          </w:p>
        </w:tc>
        <w:tc>
          <w:tcPr>
            <w:tcW w:w="1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20" w:type="dxa"/>
            <w:vAlign w:val="bottom"/>
          </w:tcPr>
          <w:p>
            <w:pPr>
              <w:jc w:val="right"/>
              <w:ind w:right="38"/>
              <w:spacing w:after="0"/>
              <w:rPr>
                <w:sz w:val="20"/>
                <w:szCs w:val="20"/>
                <w:color w:val="auto"/>
              </w:rPr>
            </w:pPr>
            <w:r>
              <w:rPr>
                <w:rFonts w:ascii="Arial" w:cs="Arial" w:eastAsia="Arial" w:hAnsi="Arial"/>
                <w:sz w:val="17"/>
                <w:szCs w:val="17"/>
                <w:color w:val="auto"/>
              </w:rPr>
              <w:t>19.1</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5.3</w:t>
            </w:r>
          </w:p>
        </w:tc>
        <w:tc>
          <w:tcPr>
            <w:tcW w:w="820" w:type="dxa"/>
            <w:vAlign w:val="bottom"/>
          </w:tcPr>
          <w:p>
            <w:pPr>
              <w:jc w:val="right"/>
              <w:spacing w:after="0"/>
              <w:rPr>
                <w:sz w:val="20"/>
                <w:szCs w:val="20"/>
                <w:color w:val="auto"/>
              </w:rPr>
            </w:pPr>
            <w:r>
              <w:rPr>
                <w:rFonts w:ascii="Arial" w:cs="Arial" w:eastAsia="Arial" w:hAnsi="Arial"/>
                <w:sz w:val="17"/>
                <w:szCs w:val="17"/>
                <w:color w:val="auto"/>
              </w:rPr>
              <w:t>28 %</w:t>
            </w:r>
          </w:p>
        </w:tc>
        <w:tc>
          <w:tcPr>
            <w:tcW w:w="0" w:type="dxa"/>
            <w:vAlign w:val="bottom"/>
          </w:tcPr>
          <w:p>
            <w:pPr>
              <w:spacing w:after="0"/>
              <w:rPr>
                <w:sz w:val="1"/>
                <w:szCs w:val="1"/>
                <w:color w:val="auto"/>
              </w:rPr>
            </w:pPr>
          </w:p>
        </w:tc>
      </w:tr>
      <w:tr>
        <w:trPr>
          <w:trHeight w:val="211"/>
        </w:trPr>
        <w:tc>
          <w:tcPr>
            <w:tcW w:w="5760" w:type="dxa"/>
            <w:vAlign w:val="bottom"/>
            <w:gridSpan w:val="2"/>
          </w:tcPr>
          <w:p>
            <w:pPr>
              <w:spacing w:after="0"/>
              <w:rPr>
                <w:sz w:val="20"/>
                <w:szCs w:val="20"/>
                <w:color w:val="auto"/>
              </w:rPr>
            </w:pPr>
            <w:r>
              <w:rPr>
                <w:rFonts w:ascii="Arial" w:cs="Arial" w:eastAsia="Arial" w:hAnsi="Arial"/>
                <w:sz w:val="17"/>
                <w:szCs w:val="17"/>
                <w:color w:val="auto"/>
              </w:rPr>
              <w:t>Income tax effects of stock awards that are recognized upon vesting or</w:t>
            </w: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settlement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(6)</w:t>
            </w:r>
          </w:p>
        </w:tc>
        <w:tc>
          <w:tcPr>
            <w:tcW w:w="820" w:type="dxa"/>
            <w:vAlign w:val="bottom"/>
          </w:tcPr>
          <w:p>
            <w:pPr>
              <w:jc w:val="right"/>
              <w:spacing w:after="0"/>
              <w:rPr>
                <w:sz w:val="20"/>
                <w:szCs w:val="20"/>
                <w:color w:val="auto"/>
              </w:rPr>
            </w:pPr>
            <w:r>
              <w:rPr>
                <w:rFonts w:ascii="Arial" w:cs="Arial" w:eastAsia="Arial" w:hAnsi="Arial"/>
                <w:sz w:val="17"/>
                <w:szCs w:val="17"/>
                <w:b w:val="1"/>
                <w:bCs w:val="1"/>
                <w:color w:val="auto"/>
              </w:rPr>
              <w:t>(0.3)</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spacing w:after="0"/>
              <w:rPr>
                <w:sz w:val="20"/>
                <w:szCs w:val="20"/>
                <w:color w:val="auto"/>
              </w:rPr>
            </w:pPr>
            <w:r>
              <w:rPr>
                <w:rFonts w:ascii="Arial" w:cs="Arial" w:eastAsia="Arial" w:hAnsi="Arial"/>
                <w:sz w:val="17"/>
                <w:szCs w:val="17"/>
                <w:color w:val="auto"/>
              </w:rPr>
              <w:t>(0.2)</w:t>
            </w:r>
          </w:p>
        </w:tc>
        <w:tc>
          <w:tcPr>
            <w:tcW w:w="1040" w:type="dxa"/>
            <w:vAlign w:val="bottom"/>
            <w:gridSpan w:val="2"/>
          </w:tcPr>
          <w:p>
            <w:pPr>
              <w:jc w:val="right"/>
              <w:spacing w:after="0"/>
              <w:rPr>
                <w:sz w:val="20"/>
                <w:szCs w:val="20"/>
                <w:color w:val="auto"/>
              </w:rPr>
            </w:pPr>
            <w:r>
              <w:rPr>
                <w:rFonts w:ascii="Arial" w:cs="Arial" w:eastAsia="Arial" w:hAnsi="Arial"/>
                <w:sz w:val="17"/>
                <w:szCs w:val="17"/>
                <w:color w:val="auto"/>
              </w:rPr>
              <w:t>(0.1)</w:t>
            </w:r>
          </w:p>
        </w:tc>
        <w:tc>
          <w:tcPr>
            <w:tcW w:w="820" w:type="dxa"/>
            <w:vAlign w:val="bottom"/>
          </w:tcPr>
          <w:p>
            <w:pPr>
              <w:jc w:val="right"/>
              <w:spacing w:after="0"/>
              <w:rPr>
                <w:sz w:val="20"/>
                <w:szCs w:val="20"/>
                <w:color w:val="auto"/>
              </w:rPr>
            </w:pPr>
            <w:r>
              <w:rPr>
                <w:rFonts w:ascii="Arial" w:cs="Arial" w:eastAsia="Arial" w:hAnsi="Arial"/>
                <w:sz w:val="17"/>
                <w:szCs w:val="17"/>
                <w:color w:val="auto"/>
              </w:rPr>
              <w:t>50 %</w:t>
            </w: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Argentina highly inflationary foreign currency adjustment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(7)</w:t>
            </w:r>
          </w:p>
        </w:tc>
        <w:tc>
          <w:tcPr>
            <w:tcW w:w="820" w:type="dxa"/>
            <w:vAlign w:val="bottom"/>
          </w:tcPr>
          <w:p>
            <w:pPr>
              <w:jc w:val="right"/>
              <w:ind w:right="38"/>
              <w:spacing w:after="0"/>
              <w:rPr>
                <w:sz w:val="20"/>
                <w:szCs w:val="20"/>
                <w:color w:val="auto"/>
              </w:rPr>
            </w:pPr>
            <w:r>
              <w:rPr>
                <w:rFonts w:ascii="Arial" w:cs="Arial" w:eastAsia="Arial" w:hAnsi="Arial"/>
                <w:sz w:val="17"/>
                <w:szCs w:val="17"/>
                <w:b w:val="1"/>
                <w:bCs w:val="1"/>
                <w:color w:val="auto"/>
              </w:rPr>
              <w:t>0.4</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spacing w:after="0"/>
              <w:rPr>
                <w:sz w:val="20"/>
                <w:szCs w:val="20"/>
                <w:color w:val="auto"/>
              </w:rPr>
            </w:pPr>
            <w:r>
              <w:rPr>
                <w:rFonts w:ascii="Arial" w:cs="Arial" w:eastAsia="Arial" w:hAnsi="Arial"/>
                <w:sz w:val="17"/>
                <w:szCs w:val="17"/>
                <w:color w:val="auto"/>
              </w:rPr>
              <w:t>(0.2)</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0.6</w:t>
            </w:r>
          </w:p>
        </w:tc>
        <w:tc>
          <w:tcPr>
            <w:tcW w:w="82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Realignment of resources and other costs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(8)</w:t>
            </w:r>
          </w:p>
        </w:tc>
        <w:tc>
          <w:tcPr>
            <w:tcW w:w="820" w:type="dxa"/>
            <w:vAlign w:val="bottom"/>
          </w:tcPr>
          <w:p>
            <w:pPr>
              <w:jc w:val="right"/>
              <w:spacing w:after="0"/>
              <w:rPr>
                <w:sz w:val="20"/>
                <w:szCs w:val="20"/>
                <w:color w:val="auto"/>
              </w:rPr>
            </w:pPr>
            <w:r>
              <w:rPr>
                <w:rFonts w:ascii="Arial" w:cs="Arial" w:eastAsia="Arial" w:hAnsi="Arial"/>
                <w:sz w:val="17"/>
                <w:szCs w:val="17"/>
                <w:b w:val="1"/>
                <w:bCs w:val="1"/>
                <w:color w:val="auto"/>
              </w:rPr>
              <w:t>(2.3)</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ind w:right="58"/>
              <w:spacing w:after="0"/>
              <w:rPr>
                <w:sz w:val="20"/>
                <w:szCs w:val="20"/>
                <w:color w:val="auto"/>
              </w:rPr>
            </w:pPr>
            <w:r>
              <w:rPr>
                <w:rFonts w:ascii="Arial" w:cs="Arial" w:eastAsia="Arial" w:hAnsi="Arial"/>
                <w:sz w:val="17"/>
                <w:szCs w:val="17"/>
                <w:b w:val="1"/>
                <w:bCs w:val="1"/>
                <w:color w:val="auto"/>
              </w:rPr>
              <w:t>—</w:t>
            </w:r>
          </w:p>
        </w:tc>
        <w:tc>
          <w:tcPr>
            <w:tcW w:w="1040" w:type="dxa"/>
            <w:vAlign w:val="bottom"/>
            <w:gridSpan w:val="2"/>
          </w:tcPr>
          <w:p>
            <w:pPr>
              <w:jc w:val="right"/>
              <w:spacing w:after="0"/>
              <w:rPr>
                <w:sz w:val="20"/>
                <w:szCs w:val="20"/>
                <w:color w:val="auto"/>
              </w:rPr>
            </w:pPr>
            <w:r>
              <w:rPr>
                <w:rFonts w:ascii="Arial" w:cs="Arial" w:eastAsia="Arial" w:hAnsi="Arial"/>
                <w:sz w:val="17"/>
                <w:szCs w:val="17"/>
                <w:color w:val="auto"/>
              </w:rPr>
              <w:t>(2.3)</w:t>
            </w:r>
          </w:p>
        </w:tc>
        <w:tc>
          <w:tcPr>
            <w:tcW w:w="82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Gain on settlement of Canada pension plan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(9)</w:t>
            </w:r>
          </w:p>
        </w:tc>
        <w:tc>
          <w:tcPr>
            <w:tcW w:w="1340" w:type="dxa"/>
            <w:vAlign w:val="bottom"/>
            <w:gridSpan w:val="3"/>
          </w:tcPr>
          <w:p>
            <w:pPr>
              <w:jc w:val="right"/>
              <w:ind w:right="578"/>
              <w:spacing w:after="0"/>
              <w:rPr>
                <w:sz w:val="20"/>
                <w:szCs w:val="20"/>
                <w:color w:val="auto"/>
              </w:rPr>
            </w:pPr>
            <w:r>
              <w:rPr>
                <w:rFonts w:ascii="Arial" w:cs="Arial" w:eastAsia="Arial" w:hAnsi="Arial"/>
                <w:sz w:val="17"/>
                <w:szCs w:val="17"/>
                <w:b w:val="1"/>
                <w:bCs w:val="1"/>
                <w:color w:val="auto"/>
              </w:rPr>
              <w:t>—</w:t>
            </w:r>
          </w:p>
        </w:tc>
        <w:tc>
          <w:tcPr>
            <w:tcW w:w="820" w:type="dxa"/>
            <w:vAlign w:val="bottom"/>
          </w:tcPr>
          <w:p>
            <w:pPr>
              <w:jc w:val="right"/>
              <w:spacing w:after="0"/>
              <w:rPr>
                <w:sz w:val="20"/>
                <w:szCs w:val="20"/>
                <w:color w:val="auto"/>
              </w:rPr>
            </w:pPr>
            <w:r>
              <w:rPr>
                <w:rFonts w:ascii="Arial" w:cs="Arial" w:eastAsia="Arial" w:hAnsi="Arial"/>
                <w:sz w:val="17"/>
                <w:szCs w:val="17"/>
                <w:color w:val="auto"/>
              </w:rPr>
              <w:t>(2.2)</w:t>
            </w:r>
          </w:p>
        </w:tc>
        <w:tc>
          <w:tcPr>
            <w:tcW w:w="1040" w:type="dxa"/>
            <w:vAlign w:val="bottom"/>
            <w:gridSpan w:val="2"/>
          </w:tcPr>
          <w:p>
            <w:pPr>
              <w:jc w:val="right"/>
              <w:ind w:right="58"/>
              <w:spacing w:after="0"/>
              <w:rPr>
                <w:sz w:val="20"/>
                <w:szCs w:val="20"/>
                <w:color w:val="auto"/>
              </w:rPr>
            </w:pPr>
            <w:r>
              <w:rPr>
                <w:rFonts w:ascii="Arial" w:cs="Arial" w:eastAsia="Arial" w:hAnsi="Arial"/>
                <w:sz w:val="17"/>
                <w:szCs w:val="17"/>
                <w:color w:val="auto"/>
              </w:rPr>
              <w:t>2.2</w:t>
            </w:r>
          </w:p>
        </w:tc>
        <w:tc>
          <w:tcPr>
            <w:tcW w:w="82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5760" w:type="dxa"/>
            <w:vAlign w:val="bottom"/>
            <w:gridSpan w:val="2"/>
          </w:tcPr>
          <w:p>
            <w:pPr>
              <w:spacing w:after="0" w:line="270" w:lineRule="exact"/>
              <w:rPr>
                <w:sz w:val="20"/>
                <w:szCs w:val="20"/>
                <w:color w:val="auto"/>
              </w:rPr>
            </w:pPr>
            <w:r>
              <w:rPr>
                <w:rFonts w:ascii="Arial" w:cs="Arial" w:eastAsia="Arial" w:hAnsi="Arial"/>
                <w:sz w:val="17"/>
                <w:szCs w:val="17"/>
                <w:color w:val="auto"/>
              </w:rPr>
              <w:t>Adjustments to deferred tax balances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(10)</w:t>
            </w:r>
          </w:p>
        </w:tc>
        <w:tc>
          <w:tcPr>
            <w:tcW w:w="820" w:type="dxa"/>
            <w:vAlign w:val="bottom"/>
          </w:tcPr>
          <w:p>
            <w:pPr>
              <w:jc w:val="right"/>
              <w:spacing w:after="0"/>
              <w:rPr>
                <w:sz w:val="20"/>
                <w:szCs w:val="20"/>
                <w:color w:val="auto"/>
              </w:rPr>
            </w:pPr>
            <w:r>
              <w:rPr>
                <w:rFonts w:ascii="Arial" w:cs="Arial" w:eastAsia="Arial" w:hAnsi="Arial"/>
                <w:sz w:val="17"/>
                <w:szCs w:val="17"/>
                <w:b w:val="1"/>
                <w:bCs w:val="1"/>
                <w:color w:val="auto"/>
              </w:rPr>
              <w:t>(28.2)</w:t>
            </w: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820" w:type="dxa"/>
            <w:vAlign w:val="bottom"/>
          </w:tcPr>
          <w:p>
            <w:pPr>
              <w:jc w:val="right"/>
              <w:ind w:right="58"/>
              <w:spacing w:after="0"/>
              <w:rPr>
                <w:sz w:val="20"/>
                <w:szCs w:val="20"/>
                <w:color w:val="auto"/>
              </w:rPr>
            </w:pPr>
            <w:r>
              <w:rPr>
                <w:rFonts w:ascii="Arial" w:cs="Arial" w:eastAsia="Arial" w:hAnsi="Arial"/>
                <w:sz w:val="17"/>
                <w:szCs w:val="17"/>
                <w:color w:val="auto"/>
              </w:rPr>
              <w:t>—</w:t>
            </w:r>
          </w:p>
        </w:tc>
        <w:tc>
          <w:tcPr>
            <w:tcW w:w="1040" w:type="dxa"/>
            <w:vAlign w:val="bottom"/>
            <w:gridSpan w:val="2"/>
          </w:tcPr>
          <w:p>
            <w:pPr>
              <w:jc w:val="right"/>
              <w:spacing w:after="0"/>
              <w:rPr>
                <w:sz w:val="20"/>
                <w:szCs w:val="20"/>
                <w:color w:val="auto"/>
              </w:rPr>
            </w:pPr>
            <w:r>
              <w:rPr>
                <w:rFonts w:ascii="Arial" w:cs="Arial" w:eastAsia="Arial" w:hAnsi="Arial"/>
                <w:sz w:val="17"/>
                <w:szCs w:val="17"/>
                <w:color w:val="auto"/>
              </w:rPr>
              <w:t>(28.2)</w:t>
            </w:r>
          </w:p>
        </w:tc>
        <w:tc>
          <w:tcPr>
            <w:tcW w:w="82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52"/>
        </w:trPr>
        <w:tc>
          <w:tcPr>
            <w:tcW w:w="5760" w:type="dxa"/>
            <w:vAlign w:val="bottom"/>
            <w:gridSpan w:val="2"/>
          </w:tcPr>
          <w:p>
            <w:pPr>
              <w:spacing w:after="0" w:line="251" w:lineRule="exact"/>
              <w:rPr>
                <w:sz w:val="20"/>
                <w:szCs w:val="20"/>
                <w:color w:val="auto"/>
              </w:rPr>
            </w:pPr>
            <w:r>
              <w:rPr>
                <w:rFonts w:ascii="Arial" w:cs="Arial" w:eastAsia="Arial" w:hAnsi="Arial"/>
                <w:sz w:val="17"/>
                <w:szCs w:val="17"/>
                <w:color w:val="auto"/>
              </w:rPr>
              <w:t>Tax impact of adjustments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(11)</w:t>
            </w:r>
          </w:p>
        </w:tc>
        <w:tc>
          <w:tcPr>
            <w:tcW w:w="820" w:type="dxa"/>
            <w:vAlign w:val="bottom"/>
          </w:tcPr>
          <w:p>
            <w:pPr>
              <w:jc w:val="right"/>
              <w:spacing w:after="0"/>
              <w:rPr>
                <w:sz w:val="20"/>
                <w:szCs w:val="20"/>
                <w:color w:val="auto"/>
              </w:rPr>
            </w:pPr>
            <w:r>
              <w:rPr>
                <w:rFonts w:ascii="Arial" w:cs="Arial" w:eastAsia="Arial" w:hAnsi="Arial"/>
                <w:sz w:val="17"/>
                <w:szCs w:val="17"/>
                <w:b w:val="1"/>
                <w:bCs w:val="1"/>
                <w:color w:val="auto"/>
              </w:rPr>
              <w:t>(16.7)</w:t>
            </w:r>
          </w:p>
        </w:tc>
        <w:tc>
          <w:tcPr>
            <w:tcW w:w="1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820" w:type="dxa"/>
            <w:vAlign w:val="bottom"/>
          </w:tcPr>
          <w:p>
            <w:pPr>
              <w:jc w:val="right"/>
              <w:spacing w:after="0"/>
              <w:rPr>
                <w:sz w:val="20"/>
                <w:szCs w:val="20"/>
                <w:color w:val="auto"/>
              </w:rPr>
            </w:pPr>
            <w:r>
              <w:rPr>
                <w:rFonts w:ascii="Arial" w:cs="Arial" w:eastAsia="Arial" w:hAnsi="Arial"/>
                <w:sz w:val="17"/>
                <w:szCs w:val="17"/>
                <w:color w:val="auto"/>
              </w:rPr>
              <w:t>(10.6)</w:t>
            </w:r>
          </w:p>
        </w:tc>
        <w:tc>
          <w:tcPr>
            <w:tcW w:w="1040" w:type="dxa"/>
            <w:vAlign w:val="bottom"/>
            <w:gridSpan w:val="2"/>
          </w:tcPr>
          <w:p>
            <w:pPr>
              <w:jc w:val="right"/>
              <w:spacing w:after="0"/>
              <w:rPr>
                <w:sz w:val="20"/>
                <w:szCs w:val="20"/>
                <w:color w:val="auto"/>
              </w:rPr>
            </w:pPr>
            <w:r>
              <w:rPr>
                <w:rFonts w:ascii="Arial" w:cs="Arial" w:eastAsia="Arial" w:hAnsi="Arial"/>
                <w:sz w:val="17"/>
                <w:szCs w:val="17"/>
                <w:color w:val="auto"/>
              </w:rPr>
              <w:t>(6.1)</w:t>
            </w:r>
          </w:p>
        </w:tc>
        <w:tc>
          <w:tcPr>
            <w:tcW w:w="820" w:type="dxa"/>
            <w:vAlign w:val="bottom"/>
          </w:tcPr>
          <w:p>
            <w:pPr>
              <w:jc w:val="right"/>
              <w:spacing w:after="0"/>
              <w:rPr>
                <w:sz w:val="20"/>
                <w:szCs w:val="20"/>
                <w:color w:val="auto"/>
              </w:rPr>
            </w:pPr>
            <w:r>
              <w:rPr>
                <w:rFonts w:ascii="Arial" w:cs="Arial" w:eastAsia="Arial" w:hAnsi="Arial"/>
                <w:sz w:val="17"/>
                <w:szCs w:val="17"/>
                <w:color w:val="auto"/>
              </w:rPr>
              <w:t>58 %</w:t>
            </w:r>
          </w:p>
        </w:tc>
        <w:tc>
          <w:tcPr>
            <w:tcW w:w="0" w:type="dxa"/>
            <w:vAlign w:val="bottom"/>
          </w:tcPr>
          <w:p>
            <w:pPr>
              <w:spacing w:after="0"/>
              <w:rPr>
                <w:sz w:val="1"/>
                <w:szCs w:val="1"/>
                <w:color w:val="auto"/>
              </w:rPr>
            </w:pPr>
          </w:p>
        </w:tc>
      </w:tr>
      <w:tr>
        <w:trPr>
          <w:trHeight w:val="195"/>
        </w:trPr>
        <w:tc>
          <w:tcPr>
            <w:tcW w:w="5760" w:type="dxa"/>
            <w:vAlign w:val="bottom"/>
            <w:gridSpan w:val="2"/>
          </w:tcPr>
          <w:p>
            <w:pPr>
              <w:ind w:left="5680"/>
              <w:spacing w:after="0"/>
              <w:rPr>
                <w:sz w:val="20"/>
                <w:szCs w:val="20"/>
                <w:color w:val="auto"/>
              </w:rPr>
            </w:pPr>
            <w:r>
              <w:rPr>
                <w:rFonts w:ascii="Arial" w:cs="Arial" w:eastAsia="Arial" w:hAnsi="Arial"/>
                <w:sz w:val="15"/>
                <w:szCs w:val="15"/>
                <w:b w:val="1"/>
                <w:bCs w:val="1"/>
                <w:color w:val="auto"/>
                <w:w w:val="71"/>
              </w:rPr>
              <w:t>$</w:t>
            </w:r>
          </w:p>
        </w:tc>
        <w:tc>
          <w:tcPr>
            <w:tcW w:w="1340" w:type="dxa"/>
            <w:vAlign w:val="bottom"/>
            <w:gridSpan w:val="3"/>
          </w:tcPr>
          <w:p>
            <w:pPr>
              <w:jc w:val="right"/>
              <w:spacing w:after="0"/>
              <w:rPr>
                <w:sz w:val="20"/>
                <w:szCs w:val="20"/>
                <w:color w:val="auto"/>
              </w:rPr>
            </w:pPr>
            <w:r>
              <w:rPr>
                <w:rFonts w:ascii="Arial" w:cs="Arial" w:eastAsia="Arial" w:hAnsi="Arial"/>
                <w:sz w:val="17"/>
                <w:szCs w:val="17"/>
                <w:color w:val="auto"/>
              </w:rPr>
              <w:t>$</w:t>
            </w:r>
          </w:p>
        </w:tc>
        <w:tc>
          <w:tcPr>
            <w:tcW w:w="820" w:type="dxa"/>
            <w:vAlign w:val="bottom"/>
          </w:tcPr>
          <w:p>
            <w:pPr>
              <w:spacing w:after="0"/>
              <w:rPr>
                <w:sz w:val="16"/>
                <w:szCs w:val="16"/>
                <w:color w:val="auto"/>
              </w:rPr>
            </w:pPr>
          </w:p>
        </w:tc>
        <w:tc>
          <w:tcPr>
            <w:tcW w:w="1040" w:type="dxa"/>
            <w:vAlign w:val="bottom"/>
            <w:gridSpan w:val="2"/>
          </w:tcPr>
          <w:p>
            <w:pPr>
              <w:jc w:val="right"/>
              <w:ind w:right="558"/>
              <w:spacing w:after="0"/>
              <w:rPr>
                <w:sz w:val="20"/>
                <w:szCs w:val="20"/>
                <w:color w:val="auto"/>
              </w:rPr>
            </w:pPr>
            <w:r>
              <w:rPr>
                <w:rFonts w:ascii="Arial" w:cs="Arial" w:eastAsia="Arial" w:hAnsi="Arial"/>
                <w:sz w:val="17"/>
                <w:szCs w:val="17"/>
                <w:color w:val="auto"/>
              </w:rPr>
              <w:t>$</w:t>
            </w:r>
          </w:p>
        </w:tc>
        <w:tc>
          <w:tcPr>
            <w:tcW w:w="8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380" w:type="dxa"/>
            <w:vAlign w:val="bottom"/>
          </w:tcPr>
          <w:p>
            <w:pPr>
              <w:spacing w:after="0"/>
              <w:rPr>
                <w:sz w:val="20"/>
                <w:szCs w:val="20"/>
                <w:color w:val="auto"/>
              </w:rPr>
            </w:pPr>
            <w:r>
              <w:rPr>
                <w:rFonts w:ascii="Arial" w:cs="Arial" w:eastAsia="Arial" w:hAnsi="Arial"/>
                <w:sz w:val="17"/>
                <w:szCs w:val="17"/>
                <w:color w:val="auto"/>
              </w:rPr>
              <w:t>Net income attributable to Equifax, adjusted for items listed above</w:t>
            </w:r>
          </w:p>
        </w:tc>
        <w:tc>
          <w:tcPr>
            <w:tcW w:w="380" w:type="dxa"/>
            <w:vAlign w:val="bottom"/>
            <w:tcBorders>
              <w:bottom w:val="single" w:sz="8" w:color="auto"/>
            </w:tcBorders>
          </w:tcPr>
          <w:p>
            <w:pPr>
              <w:spacing w:after="0"/>
              <w:rPr>
                <w:sz w:val="20"/>
                <w:szCs w:val="20"/>
                <w:color w:val="auto"/>
              </w:rPr>
            </w:pPr>
          </w:p>
        </w:tc>
        <w:tc>
          <w:tcPr>
            <w:tcW w:w="820" w:type="dxa"/>
            <w:vAlign w:val="bottom"/>
            <w:tcBorders>
              <w:bottom w:val="single" w:sz="8" w:color="auto"/>
            </w:tcBorders>
          </w:tcPr>
          <w:p>
            <w:pPr>
              <w:jc w:val="right"/>
              <w:ind w:right="38"/>
              <w:spacing w:after="0"/>
              <w:rPr>
                <w:sz w:val="20"/>
                <w:szCs w:val="20"/>
                <w:color w:val="auto"/>
              </w:rPr>
            </w:pPr>
            <w:r>
              <w:rPr>
                <w:rFonts w:ascii="Arial" w:cs="Arial" w:eastAsia="Arial" w:hAnsi="Arial"/>
                <w:sz w:val="17"/>
                <w:szCs w:val="17"/>
                <w:b w:val="1"/>
                <w:bCs w:val="1"/>
                <w:color w:val="auto"/>
              </w:rPr>
              <w:t>217.9</w:t>
            </w:r>
          </w:p>
        </w:tc>
        <w:tc>
          <w:tcPr>
            <w:tcW w:w="160" w:type="dxa"/>
            <w:vAlign w:val="bottom"/>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820" w:type="dxa"/>
            <w:vAlign w:val="bottom"/>
            <w:tcBorders>
              <w:bottom w:val="single" w:sz="8" w:color="auto"/>
            </w:tcBorders>
          </w:tcPr>
          <w:p>
            <w:pPr>
              <w:jc w:val="right"/>
              <w:ind w:right="38"/>
              <w:spacing w:after="0"/>
              <w:rPr>
                <w:sz w:val="20"/>
                <w:szCs w:val="20"/>
                <w:color w:val="auto"/>
              </w:rPr>
            </w:pPr>
            <w:r>
              <w:rPr>
                <w:rFonts w:ascii="Arial" w:cs="Arial" w:eastAsia="Arial" w:hAnsi="Arial"/>
                <w:sz w:val="17"/>
                <w:szCs w:val="17"/>
                <w:color w:val="auto"/>
              </w:rPr>
              <w:t>212.9</w:t>
            </w:r>
          </w:p>
        </w:tc>
        <w:tc>
          <w:tcPr>
            <w:tcW w:w="160" w:type="dxa"/>
            <w:vAlign w:val="bottom"/>
          </w:tcPr>
          <w:p>
            <w:pPr>
              <w:spacing w:after="0"/>
              <w:rPr>
                <w:sz w:val="20"/>
                <w:szCs w:val="20"/>
                <w:color w:val="auto"/>
              </w:rPr>
            </w:pPr>
          </w:p>
        </w:tc>
        <w:tc>
          <w:tcPr>
            <w:tcW w:w="880" w:type="dxa"/>
            <w:vAlign w:val="bottom"/>
            <w:tcBorders>
              <w:bottom w:val="single" w:sz="8" w:color="auto"/>
            </w:tcBorders>
          </w:tcPr>
          <w:p>
            <w:pPr>
              <w:jc w:val="right"/>
              <w:ind w:right="58"/>
              <w:spacing w:after="0"/>
              <w:rPr>
                <w:sz w:val="20"/>
                <w:szCs w:val="20"/>
                <w:color w:val="auto"/>
              </w:rPr>
            </w:pPr>
            <w:r>
              <w:rPr>
                <w:rFonts w:ascii="Arial" w:cs="Arial" w:eastAsia="Arial" w:hAnsi="Arial"/>
                <w:sz w:val="17"/>
                <w:szCs w:val="17"/>
                <w:color w:val="auto"/>
              </w:rPr>
              <w:t>5.0</w:t>
            </w:r>
          </w:p>
        </w:tc>
        <w:tc>
          <w:tcPr>
            <w:tcW w:w="8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5"/>
        </w:trPr>
        <w:tc>
          <w:tcPr>
            <w:tcW w:w="5760" w:type="dxa"/>
            <w:vAlign w:val="bottom"/>
            <w:gridSpan w:val="2"/>
          </w:tcPr>
          <w:p>
            <w:pPr>
              <w:spacing w:after="0"/>
              <w:rPr>
                <w:sz w:val="2"/>
                <w:szCs w:val="2"/>
                <w:color w:val="auto"/>
              </w:rPr>
            </w:pPr>
          </w:p>
        </w:tc>
        <w:tc>
          <w:tcPr>
            <w:tcW w:w="980" w:type="dxa"/>
            <w:vAlign w:val="bottom"/>
            <w:gridSpan w:val="2"/>
          </w:tcPr>
          <w:p>
            <w:pPr>
              <w:spacing w:after="0"/>
              <w:rPr>
                <w:sz w:val="2"/>
                <w:szCs w:val="2"/>
                <w:color w:val="auto"/>
              </w:rPr>
            </w:pPr>
          </w:p>
        </w:tc>
        <w:tc>
          <w:tcPr>
            <w:tcW w:w="360" w:type="dxa"/>
            <w:vAlign w:val="bottom"/>
          </w:tcPr>
          <w:p>
            <w:pPr>
              <w:spacing w:after="0"/>
              <w:rPr>
                <w:sz w:val="2"/>
                <w:szCs w:val="2"/>
                <w:color w:val="auto"/>
              </w:rPr>
            </w:pPr>
          </w:p>
        </w:tc>
        <w:tc>
          <w:tcPr>
            <w:tcW w:w="8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80" w:type="dxa"/>
            <w:vAlign w:val="bottom"/>
          </w:tcPr>
          <w:p>
            <w:pPr>
              <w:spacing w:after="0"/>
              <w:rPr>
                <w:sz w:val="2"/>
                <w:szCs w:val="2"/>
                <w:color w:val="auto"/>
              </w:rPr>
            </w:pPr>
          </w:p>
        </w:tc>
        <w:tc>
          <w:tcPr>
            <w:tcW w:w="8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86"/>
        </w:trPr>
        <w:tc>
          <w:tcPr>
            <w:tcW w:w="5380" w:type="dxa"/>
            <w:vAlign w:val="bottom"/>
          </w:tcPr>
          <w:p>
            <w:pPr>
              <w:spacing w:after="0"/>
              <w:rPr>
                <w:sz w:val="16"/>
                <w:szCs w:val="16"/>
                <w:color w:val="auto"/>
              </w:rPr>
            </w:pPr>
          </w:p>
        </w:tc>
        <w:tc>
          <w:tcPr>
            <w:tcW w:w="380" w:type="dxa"/>
            <w:vAlign w:val="bottom"/>
            <w:tcBorders>
              <w:top w:val="single" w:sz="8" w:color="auto"/>
            </w:tcBorders>
          </w:tcPr>
          <w:p>
            <w:pPr>
              <w:jc w:val="right"/>
              <w:spacing w:after="0" w:line="185" w:lineRule="exact"/>
              <w:rPr>
                <w:sz w:val="20"/>
                <w:szCs w:val="20"/>
                <w:color w:val="auto"/>
              </w:rPr>
            </w:pPr>
            <w:r>
              <w:rPr>
                <w:rFonts w:ascii="Arial" w:cs="Arial" w:eastAsia="Arial" w:hAnsi="Arial"/>
                <w:sz w:val="17"/>
                <w:szCs w:val="17"/>
                <w:b w:val="1"/>
                <w:bCs w:val="1"/>
                <w:color w:val="auto"/>
              </w:rPr>
              <w:t>$</w:t>
            </w:r>
          </w:p>
        </w:tc>
        <w:tc>
          <w:tcPr>
            <w:tcW w:w="820" w:type="dxa"/>
            <w:vAlign w:val="bottom"/>
            <w:tcBorders>
              <w:top w:val="single" w:sz="8" w:color="auto"/>
            </w:tcBorders>
            <w:vMerge w:val="restart"/>
          </w:tcPr>
          <w:p>
            <w:pPr>
              <w:jc w:val="right"/>
              <w:ind w:right="38"/>
              <w:spacing w:after="0"/>
              <w:rPr>
                <w:sz w:val="20"/>
                <w:szCs w:val="20"/>
                <w:color w:val="auto"/>
              </w:rPr>
            </w:pPr>
            <w:r>
              <w:rPr>
                <w:rFonts w:ascii="Arial" w:cs="Arial" w:eastAsia="Arial" w:hAnsi="Arial"/>
                <w:sz w:val="17"/>
                <w:szCs w:val="17"/>
                <w:b w:val="1"/>
                <w:bCs w:val="1"/>
                <w:color w:val="auto"/>
              </w:rPr>
              <w:t>1.76</w:t>
            </w:r>
          </w:p>
        </w:tc>
        <w:tc>
          <w:tcPr>
            <w:tcW w:w="160" w:type="dxa"/>
            <w:vAlign w:val="bottom"/>
          </w:tcPr>
          <w:p>
            <w:pPr>
              <w:spacing w:after="0"/>
              <w:rPr>
                <w:sz w:val="16"/>
                <w:szCs w:val="16"/>
                <w:color w:val="auto"/>
              </w:rPr>
            </w:pPr>
          </w:p>
        </w:tc>
        <w:tc>
          <w:tcPr>
            <w:tcW w:w="360" w:type="dxa"/>
            <w:vAlign w:val="bottom"/>
            <w:tcBorders>
              <w:top w:val="single" w:sz="8" w:color="auto"/>
            </w:tcBorders>
          </w:tcPr>
          <w:p>
            <w:pPr>
              <w:jc w:val="right"/>
              <w:spacing w:after="0" w:line="185" w:lineRule="exact"/>
              <w:rPr>
                <w:sz w:val="20"/>
                <w:szCs w:val="20"/>
                <w:color w:val="auto"/>
              </w:rPr>
            </w:pPr>
            <w:r>
              <w:rPr>
                <w:rFonts w:ascii="Arial" w:cs="Arial" w:eastAsia="Arial" w:hAnsi="Arial"/>
                <w:sz w:val="17"/>
                <w:szCs w:val="17"/>
                <w:b w:val="1"/>
                <w:bCs w:val="1"/>
                <w:color w:val="auto"/>
              </w:rPr>
              <w:t>$</w:t>
            </w:r>
          </w:p>
        </w:tc>
        <w:tc>
          <w:tcPr>
            <w:tcW w:w="820" w:type="dxa"/>
            <w:vAlign w:val="bottom"/>
            <w:tcBorders>
              <w:top w:val="single" w:sz="8" w:color="auto"/>
            </w:tcBorders>
            <w:vMerge w:val="restart"/>
          </w:tcPr>
          <w:p>
            <w:pPr>
              <w:jc w:val="right"/>
              <w:ind w:right="38"/>
              <w:spacing w:after="0"/>
              <w:rPr>
                <w:sz w:val="20"/>
                <w:szCs w:val="20"/>
                <w:color w:val="auto"/>
              </w:rPr>
            </w:pPr>
            <w:r>
              <w:rPr>
                <w:rFonts w:ascii="Arial" w:cs="Arial" w:eastAsia="Arial" w:hAnsi="Arial"/>
                <w:sz w:val="17"/>
                <w:szCs w:val="17"/>
                <w:b w:val="1"/>
                <w:bCs w:val="1"/>
                <w:color w:val="auto"/>
              </w:rPr>
              <w:t>1.73</w:t>
            </w:r>
          </w:p>
        </w:tc>
        <w:tc>
          <w:tcPr>
            <w:tcW w:w="160" w:type="dxa"/>
            <w:vAlign w:val="bottom"/>
          </w:tcPr>
          <w:p>
            <w:pPr>
              <w:spacing w:after="0"/>
              <w:rPr>
                <w:sz w:val="16"/>
                <w:szCs w:val="16"/>
                <w:color w:val="auto"/>
              </w:rPr>
            </w:pPr>
          </w:p>
        </w:tc>
        <w:tc>
          <w:tcPr>
            <w:tcW w:w="880" w:type="dxa"/>
            <w:vAlign w:val="bottom"/>
            <w:tcBorders>
              <w:top w:val="single" w:sz="8" w:color="auto"/>
            </w:tcBorders>
          </w:tcPr>
          <w:p>
            <w:pPr>
              <w:jc w:val="right"/>
              <w:ind w:right="478"/>
              <w:spacing w:after="0" w:line="185" w:lineRule="exact"/>
              <w:rPr>
                <w:sz w:val="20"/>
                <w:szCs w:val="20"/>
                <w:color w:val="auto"/>
              </w:rPr>
            </w:pPr>
            <w:r>
              <w:rPr>
                <w:rFonts w:ascii="Arial" w:cs="Arial" w:eastAsia="Arial" w:hAnsi="Arial"/>
                <w:sz w:val="17"/>
                <w:szCs w:val="17"/>
                <w:color w:val="auto"/>
              </w:rPr>
              <w:t>$</w:t>
            </w:r>
          </w:p>
        </w:tc>
        <w:tc>
          <w:tcPr>
            <w:tcW w:w="8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9"/>
        </w:trPr>
        <w:tc>
          <w:tcPr>
            <w:tcW w:w="5380" w:type="dxa"/>
            <w:vAlign w:val="bottom"/>
          </w:tcPr>
          <w:p>
            <w:pPr>
              <w:spacing w:after="0"/>
              <w:rPr>
                <w:sz w:val="20"/>
                <w:szCs w:val="20"/>
                <w:color w:val="auto"/>
              </w:rPr>
            </w:pPr>
            <w:r>
              <w:rPr>
                <w:rFonts w:ascii="Arial" w:cs="Arial" w:eastAsia="Arial" w:hAnsi="Arial"/>
                <w:sz w:val="17"/>
                <w:szCs w:val="17"/>
                <w:color w:val="auto"/>
              </w:rPr>
              <w:t>Diluted EPS attributable to Equifax, adjusted for the items listed above</w:t>
            </w:r>
          </w:p>
        </w:tc>
        <w:tc>
          <w:tcPr>
            <w:tcW w:w="38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vMerge w:val="continue"/>
          </w:tcPr>
          <w:p>
            <w:pPr>
              <w:spacing w:after="0"/>
              <w:rPr>
                <w:sz w:val="19"/>
                <w:szCs w:val="19"/>
                <w:color w:val="auto"/>
              </w:rPr>
            </w:pPr>
          </w:p>
        </w:tc>
        <w:tc>
          <w:tcPr>
            <w:tcW w:w="16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820" w:type="dxa"/>
            <w:vAlign w:val="bottom"/>
            <w:tcBorders>
              <w:bottom w:val="single" w:sz="8" w:color="auto"/>
            </w:tcBorders>
            <w:vMerge w:val="continue"/>
          </w:tcPr>
          <w:p>
            <w:pPr>
              <w:spacing w:after="0"/>
              <w:rPr>
                <w:sz w:val="19"/>
                <w:szCs w:val="19"/>
                <w:color w:val="auto"/>
              </w:rPr>
            </w:pPr>
          </w:p>
        </w:tc>
        <w:tc>
          <w:tcPr>
            <w:tcW w:w="160" w:type="dxa"/>
            <w:vAlign w:val="bottom"/>
          </w:tcPr>
          <w:p>
            <w:pPr>
              <w:spacing w:after="0"/>
              <w:rPr>
                <w:sz w:val="19"/>
                <w:szCs w:val="19"/>
                <w:color w:val="auto"/>
              </w:rPr>
            </w:pPr>
          </w:p>
        </w:tc>
        <w:tc>
          <w:tcPr>
            <w:tcW w:w="880" w:type="dxa"/>
            <w:vAlign w:val="bottom"/>
            <w:tcBorders>
              <w:bottom w:val="single" w:sz="8" w:color="auto"/>
            </w:tcBorders>
          </w:tcPr>
          <w:p>
            <w:pPr>
              <w:jc w:val="right"/>
              <w:ind w:right="58"/>
              <w:spacing w:after="0"/>
              <w:rPr>
                <w:sz w:val="20"/>
                <w:szCs w:val="20"/>
                <w:color w:val="auto"/>
              </w:rPr>
            </w:pPr>
            <w:r>
              <w:rPr>
                <w:rFonts w:ascii="Arial" w:cs="Arial" w:eastAsia="Arial" w:hAnsi="Arial"/>
                <w:sz w:val="17"/>
                <w:szCs w:val="17"/>
                <w:color w:val="auto"/>
              </w:rPr>
              <w:t>0.03</w:t>
            </w:r>
          </w:p>
        </w:tc>
        <w:tc>
          <w:tcPr>
            <w:tcW w:w="82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5"/>
        </w:trPr>
        <w:tc>
          <w:tcPr>
            <w:tcW w:w="5760" w:type="dxa"/>
            <w:vAlign w:val="bottom"/>
            <w:gridSpan w:val="2"/>
          </w:tcPr>
          <w:p>
            <w:pPr>
              <w:spacing w:after="0"/>
              <w:rPr>
                <w:sz w:val="2"/>
                <w:szCs w:val="2"/>
                <w:color w:val="auto"/>
              </w:rPr>
            </w:pPr>
          </w:p>
        </w:tc>
        <w:tc>
          <w:tcPr>
            <w:tcW w:w="820" w:type="dxa"/>
            <w:vAlign w:val="bottom"/>
          </w:tcPr>
          <w:p>
            <w:pPr>
              <w:spacing w:after="0"/>
              <w:rPr>
                <w:sz w:val="2"/>
                <w:szCs w:val="2"/>
                <w:color w:val="auto"/>
              </w:rPr>
            </w:pPr>
          </w:p>
        </w:tc>
        <w:tc>
          <w:tcPr>
            <w:tcW w:w="160" w:type="dxa"/>
            <w:vAlign w:val="bottom"/>
          </w:tcPr>
          <w:p>
            <w:pPr>
              <w:spacing w:after="0"/>
              <w:rPr>
                <w:sz w:val="2"/>
                <w:szCs w:val="2"/>
                <w:color w:val="auto"/>
              </w:rPr>
            </w:pPr>
          </w:p>
        </w:tc>
        <w:tc>
          <w:tcPr>
            <w:tcW w:w="360" w:type="dxa"/>
            <w:vAlign w:val="bottom"/>
          </w:tcPr>
          <w:p>
            <w:pPr>
              <w:spacing w:after="0"/>
              <w:rPr>
                <w:sz w:val="2"/>
                <w:szCs w:val="2"/>
                <w:color w:val="auto"/>
              </w:rPr>
            </w:pPr>
          </w:p>
        </w:tc>
        <w:tc>
          <w:tcPr>
            <w:tcW w:w="8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80" w:type="dxa"/>
            <w:vAlign w:val="bottom"/>
          </w:tcPr>
          <w:p>
            <w:pPr>
              <w:spacing w:after="0"/>
              <w:rPr>
                <w:sz w:val="2"/>
                <w:szCs w:val="2"/>
                <w:color w:val="auto"/>
              </w:rPr>
            </w:pPr>
          </w:p>
        </w:tc>
        <w:tc>
          <w:tcPr>
            <w:tcW w:w="8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6"/>
        </w:trPr>
        <w:tc>
          <w:tcPr>
            <w:tcW w:w="5380" w:type="dxa"/>
            <w:vAlign w:val="bottom"/>
          </w:tcPr>
          <w:p>
            <w:pPr>
              <w:spacing w:after="0"/>
              <w:rPr>
                <w:sz w:val="20"/>
                <w:szCs w:val="20"/>
                <w:color w:val="auto"/>
              </w:rPr>
            </w:pPr>
            <w:r>
              <w:rPr>
                <w:rFonts w:ascii="Arial" w:cs="Arial" w:eastAsia="Arial" w:hAnsi="Arial"/>
                <w:sz w:val="17"/>
                <w:szCs w:val="17"/>
                <w:color w:val="auto"/>
              </w:rPr>
              <w:t>Weighted-average shares used in computing diluted EPS</w:t>
            </w:r>
          </w:p>
        </w:tc>
        <w:tc>
          <w:tcPr>
            <w:tcW w:w="380" w:type="dxa"/>
            <w:vAlign w:val="bottom"/>
            <w:tcBorders>
              <w:top w:val="single" w:sz="8" w:color="auto"/>
            </w:tcBorders>
          </w:tcPr>
          <w:p>
            <w:pPr>
              <w:spacing w:after="0"/>
              <w:rPr>
                <w:sz w:val="19"/>
                <w:szCs w:val="19"/>
                <w:color w:val="auto"/>
              </w:rPr>
            </w:pPr>
          </w:p>
        </w:tc>
        <w:tc>
          <w:tcPr>
            <w:tcW w:w="820" w:type="dxa"/>
            <w:vAlign w:val="bottom"/>
            <w:tcBorders>
              <w:top w:val="single" w:sz="8" w:color="auto"/>
            </w:tcBorders>
          </w:tcPr>
          <w:p>
            <w:pPr>
              <w:jc w:val="right"/>
              <w:ind w:right="38"/>
              <w:spacing w:after="0"/>
              <w:rPr>
                <w:sz w:val="20"/>
                <w:szCs w:val="20"/>
                <w:color w:val="auto"/>
              </w:rPr>
            </w:pPr>
            <w:r>
              <w:rPr>
                <w:rFonts w:ascii="Arial" w:cs="Arial" w:eastAsia="Arial" w:hAnsi="Arial"/>
                <w:sz w:val="17"/>
                <w:szCs w:val="17"/>
                <w:b w:val="1"/>
                <w:bCs w:val="1"/>
                <w:color w:val="auto"/>
              </w:rPr>
              <w:t>123.9</w:t>
            </w:r>
          </w:p>
        </w:tc>
        <w:tc>
          <w:tcPr>
            <w:tcW w:w="160" w:type="dxa"/>
            <w:vAlign w:val="bottom"/>
          </w:tcPr>
          <w:p>
            <w:pPr>
              <w:spacing w:after="0"/>
              <w:rPr>
                <w:sz w:val="19"/>
                <w:szCs w:val="19"/>
                <w:color w:val="auto"/>
              </w:rPr>
            </w:pPr>
          </w:p>
        </w:tc>
        <w:tc>
          <w:tcPr>
            <w:tcW w:w="360" w:type="dxa"/>
            <w:vAlign w:val="bottom"/>
            <w:tcBorders>
              <w:top w:val="single" w:sz="8" w:color="auto"/>
            </w:tcBorders>
          </w:tcPr>
          <w:p>
            <w:pPr>
              <w:spacing w:after="0"/>
              <w:rPr>
                <w:sz w:val="19"/>
                <w:szCs w:val="19"/>
                <w:color w:val="auto"/>
              </w:rPr>
            </w:pPr>
          </w:p>
        </w:tc>
        <w:tc>
          <w:tcPr>
            <w:tcW w:w="820" w:type="dxa"/>
            <w:vAlign w:val="bottom"/>
            <w:tcBorders>
              <w:top w:val="single" w:sz="8" w:color="auto"/>
            </w:tcBorders>
          </w:tcPr>
          <w:p>
            <w:pPr>
              <w:jc w:val="right"/>
              <w:ind w:right="38"/>
              <w:spacing w:after="0"/>
              <w:rPr>
                <w:sz w:val="20"/>
                <w:szCs w:val="20"/>
                <w:color w:val="auto"/>
              </w:rPr>
            </w:pPr>
            <w:r>
              <w:rPr>
                <w:rFonts w:ascii="Arial" w:cs="Arial" w:eastAsia="Arial" w:hAnsi="Arial"/>
                <w:sz w:val="17"/>
                <w:szCs w:val="17"/>
                <w:color w:val="auto"/>
              </w:rPr>
              <w:t>123.3</w:t>
            </w:r>
          </w:p>
        </w:tc>
        <w:tc>
          <w:tcPr>
            <w:tcW w:w="160" w:type="dxa"/>
            <w:vAlign w:val="bottom"/>
          </w:tcPr>
          <w:p>
            <w:pPr>
              <w:spacing w:after="0"/>
              <w:rPr>
                <w:sz w:val="19"/>
                <w:szCs w:val="19"/>
                <w:color w:val="auto"/>
              </w:rPr>
            </w:pPr>
          </w:p>
        </w:tc>
        <w:tc>
          <w:tcPr>
            <w:tcW w:w="880" w:type="dxa"/>
            <w:vAlign w:val="bottom"/>
            <w:tcBorders>
              <w:top w:val="single" w:sz="8" w:color="auto"/>
            </w:tcBorders>
          </w:tcPr>
          <w:p>
            <w:pPr>
              <w:spacing w:after="0"/>
              <w:rPr>
                <w:sz w:val="19"/>
                <w:szCs w:val="19"/>
                <w:color w:val="auto"/>
              </w:rPr>
            </w:pPr>
          </w:p>
        </w:tc>
        <w:tc>
          <w:tcPr>
            <w:tcW w:w="82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14" w:lineRule="exact"/>
        <w:rPr>
          <w:sz w:val="20"/>
          <w:szCs w:val="20"/>
          <w:color w:val="auto"/>
        </w:rPr>
      </w:pPr>
    </w:p>
    <w:p>
      <w:pPr>
        <w:ind w:left="440" w:right="40" w:hanging="380"/>
        <w:spacing w:after="0" w:line="282" w:lineRule="auto"/>
        <w:tabs>
          <w:tab w:leader="none" w:pos="440" w:val="left"/>
        </w:tabs>
        <w:numPr>
          <w:ilvl w:val="0"/>
          <w:numId w:val="7"/>
        </w:numPr>
        <w:rPr>
          <w:rFonts w:ascii="Arial" w:cs="Arial" w:eastAsia="Arial" w:hAnsi="Arial"/>
          <w:sz w:val="15"/>
          <w:szCs w:val="15"/>
          <w:color w:val="auto"/>
        </w:rPr>
      </w:pPr>
      <w:r>
        <w:rPr>
          <w:rFonts w:ascii="Arial" w:cs="Arial" w:eastAsia="Arial" w:hAnsi="Arial"/>
          <w:sz w:val="15"/>
          <w:szCs w:val="15"/>
          <w:color w:val="auto"/>
        </w:rPr>
        <w:t>During the third quarter of 2023, we recorded acquisition-related amortization expense of certain acquired intangibles of $64.4 million ($51.7 million, net of tax). We calculate this financial measure by excluding the impact of acquisition-related amortization expense and including a benefit to reflect the significant cash income tax savings resulting from the income tax deductibility of amortization for certain acquired intangibles. The $12.7 million of tax is comprised of $16.7 million of tax expense net of $4.0 million of a cash income tax benefit. During the third quarter of 2022, we recorded acquisition-related amortization expense of certain acquired intangibles of $59.1 million ($48.1 million, net of tax). The $11.0 million of tax is comprised of $15.1 million of tax expense net of $4.1 million of a cash income tax benefit. See the Notes to this reconciliation for additional detail.</w:t>
      </w:r>
    </w:p>
    <w:p>
      <w:pPr>
        <w:spacing w:after="0" w:line="201" w:lineRule="exact"/>
        <w:rPr>
          <w:rFonts w:ascii="Arial" w:cs="Arial" w:eastAsia="Arial" w:hAnsi="Arial"/>
          <w:sz w:val="15"/>
          <w:szCs w:val="15"/>
          <w:color w:val="auto"/>
        </w:rPr>
      </w:pPr>
    </w:p>
    <w:p>
      <w:pPr>
        <w:ind w:left="440" w:right="80" w:hanging="380"/>
        <w:spacing w:after="0" w:line="247" w:lineRule="auto"/>
        <w:tabs>
          <w:tab w:leader="none" w:pos="4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third quarter of 2023, we recorded an accrual for legal and regulatory matters related to the 2017 cybersecurity incident of $14.2 million primarily driven by our accrual for a penalty associated with resolution of the investigation of the incident by the Financial Conduct Authority in the United Kingdom. During the third quarter of 2022, we recorded an accrual for legal and regulatory matters related to the 2017 cybersecurity incident of $0.2 million ($0.1 million, net of tax). See the Notes to this reconciliation for additional detail.</w:t>
      </w:r>
    </w:p>
    <w:p>
      <w:pPr>
        <w:spacing w:after="0" w:line="224" w:lineRule="exact"/>
        <w:rPr>
          <w:rFonts w:ascii="Arial" w:cs="Arial" w:eastAsia="Arial" w:hAnsi="Arial"/>
          <w:sz w:val="17"/>
          <w:szCs w:val="17"/>
          <w:color w:val="auto"/>
        </w:rPr>
      </w:pPr>
    </w:p>
    <w:p>
      <w:pPr>
        <w:ind w:left="440" w:hanging="380"/>
        <w:spacing w:after="0"/>
        <w:tabs>
          <w:tab w:leader="none" w:pos="4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third quarter of 2023, we recorded a loss on the fair market value adjustment of equity investments of $0.2 million</w:t>
      </w:r>
    </w:p>
    <w:p>
      <w:pPr>
        <w:spacing w:after="0" w:line="19" w:lineRule="exact"/>
        <w:rPr>
          <w:rFonts w:ascii="Arial" w:cs="Arial" w:eastAsia="Arial" w:hAnsi="Arial"/>
          <w:sz w:val="17"/>
          <w:szCs w:val="17"/>
          <w:color w:val="auto"/>
        </w:rPr>
      </w:pPr>
    </w:p>
    <w:p>
      <w:pPr>
        <w:ind w:left="440"/>
        <w:spacing w:after="0" w:line="241" w:lineRule="auto"/>
        <w:rPr>
          <w:rFonts w:ascii="Arial" w:cs="Arial" w:eastAsia="Arial" w:hAnsi="Arial"/>
          <w:sz w:val="17"/>
          <w:szCs w:val="17"/>
          <w:color w:val="auto"/>
        </w:rPr>
      </w:pPr>
      <w:r>
        <w:rPr>
          <w:rFonts w:ascii="Arial" w:cs="Arial" w:eastAsia="Arial" w:hAnsi="Arial"/>
          <w:sz w:val="17"/>
          <w:szCs w:val="17"/>
          <w:color w:val="auto"/>
        </w:rPr>
        <w:t>($0.1 million, net of tax). During the third quarter of 2022, we recorded an unrealized gain on the fair market value adjustment and gain on sale of equity investments of $17.5 million ($11.4 million, net of tax). The fair value adjustments were recorded to the Other income, net line item within the Consolidated Statements of Income. See the Notes to this reconciliation for additional details.</w:t>
      </w:r>
    </w:p>
    <w:p>
      <w:pPr>
        <w:spacing w:after="0" w:line="229" w:lineRule="exact"/>
        <w:rPr>
          <w:rFonts w:ascii="Arial" w:cs="Arial" w:eastAsia="Arial" w:hAnsi="Arial"/>
          <w:sz w:val="17"/>
          <w:szCs w:val="17"/>
          <w:color w:val="auto"/>
        </w:rPr>
      </w:pPr>
    </w:p>
    <w:p>
      <w:pPr>
        <w:ind w:left="440" w:right="40" w:hanging="380"/>
        <w:spacing w:after="0" w:line="249" w:lineRule="auto"/>
        <w:tabs>
          <w:tab w:leader="none" w:pos="440" w:val="left"/>
        </w:tabs>
        <w:numPr>
          <w:ilvl w:val="0"/>
          <w:numId w:val="7"/>
        </w:numPr>
        <w:rPr>
          <w:rFonts w:ascii="Arial" w:cs="Arial" w:eastAsia="Arial" w:hAnsi="Arial"/>
          <w:sz w:val="17"/>
          <w:szCs w:val="17"/>
          <w:color w:val="auto"/>
        </w:rPr>
      </w:pPr>
      <w:r>
        <w:rPr>
          <w:rFonts w:ascii="Arial" w:cs="Arial" w:eastAsia="Arial" w:hAnsi="Arial"/>
          <w:sz w:val="17"/>
          <w:szCs w:val="17"/>
          <w:color w:val="auto"/>
        </w:rPr>
        <w:t>During the third quarter of 2023, we recorded a foreign currency gain on certain intercompany loans of $0.4 million. During the third quarter of 2022, we recorded a foreign currency gain on certain intercompany loans of $0.5 million. The impact was recorded to the Other income, net line item within the Consolidated Statements of Income. See the Notes to this reconciliation for additional detail.</w:t>
      </w:r>
    </w:p>
    <w:p>
      <w:pPr>
        <w:spacing w:after="0" w:line="223" w:lineRule="exact"/>
        <w:rPr>
          <w:rFonts w:ascii="Arial" w:cs="Arial" w:eastAsia="Arial" w:hAnsi="Arial"/>
          <w:sz w:val="17"/>
          <w:szCs w:val="17"/>
          <w:color w:val="auto"/>
        </w:rPr>
      </w:pPr>
    </w:p>
    <w:p>
      <w:pPr>
        <w:ind w:left="440" w:right="380" w:hanging="380"/>
        <w:spacing w:after="0" w:line="293" w:lineRule="auto"/>
        <w:tabs>
          <w:tab w:leader="none" w:pos="440" w:val="left"/>
        </w:tabs>
        <w:numPr>
          <w:ilvl w:val="0"/>
          <w:numId w:val="7"/>
        </w:numPr>
        <w:rPr>
          <w:rFonts w:ascii="Arial" w:cs="Arial" w:eastAsia="Arial" w:hAnsi="Arial"/>
          <w:sz w:val="15"/>
          <w:szCs w:val="15"/>
          <w:color w:val="auto"/>
        </w:rPr>
      </w:pPr>
      <w:r>
        <w:rPr>
          <w:rFonts w:ascii="Arial" w:cs="Arial" w:eastAsia="Arial" w:hAnsi="Arial"/>
          <w:sz w:val="15"/>
          <w:szCs w:val="15"/>
          <w:color w:val="auto"/>
        </w:rPr>
        <w:t>During the third quarter of 2023, we recorded $24.4 million ($19.9 million, net of tax) for acquisition-related costs other than acquisition amortization. During the third quarter of 2022, we recorded $19.1 million ($14.4 million, net of tax) for acquisition-related costs other than acquisition amortization. These costs primarily related to integration costs resulting from recent acquisition activity and were recorded in operating income. See the Notes to this reconciliation for additional detail.</w:t>
      </w:r>
    </w:p>
    <w:p>
      <w:pPr>
        <w:sectPr>
          <w:pgSz w:w="12240" w:h="15840" w:orient="portrait"/>
          <w:cols w:equalWidth="0" w:num="1">
            <w:col w:w="9860"/>
          </w:cols>
          <w:pgMar w:left="1200" w:top="1053" w:right="1180" w:bottom="638" w:gutter="0" w:footer="0" w:header="0"/>
        </w:sectPr>
      </w:pPr>
    </w:p>
    <w:bookmarkStart w:id="10" w:name="page11"/>
    <w:bookmarkEnd w:id="10"/>
    <w:p>
      <w:pPr>
        <w:ind w:left="440" w:right="20" w:hanging="380"/>
        <w:spacing w:after="0" w:line="249" w:lineRule="auto"/>
        <w:tabs>
          <w:tab w:leader="none" w:pos="440" w:val="left"/>
        </w:tabs>
        <w:numPr>
          <w:ilvl w:val="1"/>
          <w:numId w:val="8"/>
        </w:numPr>
        <w:rPr>
          <w:rFonts w:ascii="Arial" w:cs="Arial" w:eastAsia="Arial" w:hAnsi="Arial"/>
          <w:sz w:val="17"/>
          <w:szCs w:val="17"/>
          <w:color w:val="auto"/>
        </w:rPr>
      </w:pPr>
      <w:r>
        <w:rPr>
          <w:rFonts w:ascii="Arial" w:cs="Arial" w:eastAsia="Arial" w:hAnsi="Arial"/>
          <w:sz w:val="17"/>
          <w:szCs w:val="17"/>
          <w:color w:val="auto"/>
        </w:rPr>
        <w:t>During the third quarter of 2023, we recorded a tax benefit of $0.3 million related to the tax effects of deductions for stock compensation in excess of amounts recorded for compensation costs. During the third quarter of 2022, we recorded a tax benefit of $0.2 million related to the tax effects of deductions for stock compensation expense in excess of amounts recorded for compensation costs. See the Notes to this reconciliation for additional detail.</w:t>
      </w:r>
    </w:p>
    <w:p>
      <w:pPr>
        <w:spacing w:after="0" w:line="223" w:lineRule="exact"/>
        <w:rPr>
          <w:rFonts w:ascii="Arial" w:cs="Arial" w:eastAsia="Arial" w:hAnsi="Arial"/>
          <w:sz w:val="17"/>
          <w:szCs w:val="17"/>
          <w:color w:val="auto"/>
        </w:rPr>
      </w:pPr>
    </w:p>
    <w:p>
      <w:pPr>
        <w:ind w:left="440" w:right="80" w:hanging="380"/>
        <w:spacing w:after="0" w:line="247" w:lineRule="auto"/>
        <w:tabs>
          <w:tab w:leader="none" w:pos="440" w:val="left"/>
        </w:tabs>
        <w:numPr>
          <w:ilvl w:val="1"/>
          <w:numId w:val="8"/>
        </w:numPr>
        <w:rPr>
          <w:rFonts w:ascii="Arial" w:cs="Arial" w:eastAsia="Arial" w:hAnsi="Arial"/>
          <w:sz w:val="17"/>
          <w:szCs w:val="17"/>
          <w:color w:val="auto"/>
        </w:rPr>
      </w:pPr>
      <w:r>
        <w:rPr>
          <w:rFonts w:ascii="Arial" w:cs="Arial" w:eastAsia="Arial" w:hAnsi="Arial"/>
          <w:sz w:val="17"/>
          <w:szCs w:val="17"/>
          <w:color w:val="auto"/>
        </w:rPr>
        <w:t>Argentina experienced multiple periods of increasing inflation rates, devaluation of the peso, and increasing borrowing rates. As such, Argentina was deemed a highly inflationary economy by accounting policymakers in 2018. During the third quarter of 2023 and 2022, we recorded a foreign currency loss of $0.4 million and a foreign currency gain of $0.2 million, respectively, related to the impact of remeasuring the peso denominated monetary assets and liabilities as a result of Argentina being a highly inflationary economy. See the Notes to this reconciliation for additional detail.</w:t>
      </w:r>
    </w:p>
    <w:p>
      <w:pPr>
        <w:spacing w:after="0" w:line="224" w:lineRule="exact"/>
        <w:rPr>
          <w:rFonts w:ascii="Arial" w:cs="Arial" w:eastAsia="Arial" w:hAnsi="Arial"/>
          <w:sz w:val="17"/>
          <w:szCs w:val="17"/>
          <w:color w:val="auto"/>
        </w:rPr>
      </w:pPr>
    </w:p>
    <w:p>
      <w:pPr>
        <w:ind w:left="440" w:right="120" w:hanging="380"/>
        <w:spacing w:after="0" w:line="255" w:lineRule="auto"/>
        <w:tabs>
          <w:tab w:leader="none" w:pos="440" w:val="left"/>
        </w:tabs>
        <w:numPr>
          <w:ilvl w:val="1"/>
          <w:numId w:val="8"/>
        </w:numPr>
        <w:rPr>
          <w:rFonts w:ascii="Arial" w:cs="Arial" w:eastAsia="Arial" w:hAnsi="Arial"/>
          <w:sz w:val="17"/>
          <w:szCs w:val="17"/>
          <w:color w:val="auto"/>
        </w:rPr>
      </w:pPr>
      <w:r>
        <w:rPr>
          <w:rFonts w:ascii="Arial" w:cs="Arial" w:eastAsia="Arial" w:hAnsi="Arial"/>
          <w:sz w:val="17"/>
          <w:szCs w:val="17"/>
          <w:color w:val="auto"/>
        </w:rPr>
        <w:t>During the third quarter of 2023, we recorded an adjustment of $2.3 million ($1.7 million, net of tax) to previous restructuring charges as we refined our estimate for the realignment of resources and other costs recorded in Q2 2023. See the Notes to this reconciliation for additional detail.</w:t>
      </w:r>
    </w:p>
    <w:p>
      <w:pPr>
        <w:spacing w:after="0" w:line="216" w:lineRule="exact"/>
        <w:rPr>
          <w:rFonts w:ascii="Arial" w:cs="Arial" w:eastAsia="Arial" w:hAnsi="Arial"/>
          <w:sz w:val="17"/>
          <w:szCs w:val="17"/>
          <w:color w:val="auto"/>
        </w:rPr>
      </w:pPr>
    </w:p>
    <w:p>
      <w:pPr>
        <w:ind w:left="440" w:right="20" w:hanging="380"/>
        <w:spacing w:after="0" w:line="249" w:lineRule="auto"/>
        <w:tabs>
          <w:tab w:leader="none" w:pos="440" w:val="left"/>
        </w:tabs>
        <w:numPr>
          <w:ilvl w:val="1"/>
          <w:numId w:val="8"/>
        </w:numPr>
        <w:rPr>
          <w:rFonts w:ascii="Arial" w:cs="Arial" w:eastAsia="Arial" w:hAnsi="Arial"/>
          <w:sz w:val="17"/>
          <w:szCs w:val="17"/>
          <w:color w:val="auto"/>
        </w:rPr>
      </w:pPr>
      <w:r>
        <w:rPr>
          <w:rFonts w:ascii="Arial" w:cs="Arial" w:eastAsia="Arial" w:hAnsi="Arial"/>
          <w:sz w:val="17"/>
          <w:szCs w:val="17"/>
          <w:color w:val="auto"/>
        </w:rPr>
        <w:t>During the third quarter of 2022, we recorded a gain on the settlement of Canada pension plan of $2.2 million ($3.1 million, net of tax). We received a tax deduction for the settlement payments made resulting in a tax benefit. The impact is recorded to the Other income, net line item within the Consolidated Statements of Income. See the Notes to this reconciliation for additional details.</w:t>
      </w:r>
    </w:p>
    <w:p>
      <w:pPr>
        <w:spacing w:after="0" w:line="223" w:lineRule="exact"/>
        <w:rPr>
          <w:rFonts w:ascii="Arial" w:cs="Arial" w:eastAsia="Arial" w:hAnsi="Arial"/>
          <w:sz w:val="17"/>
          <w:szCs w:val="17"/>
          <w:color w:val="auto"/>
        </w:rPr>
      </w:pPr>
    </w:p>
    <w:p>
      <w:pPr>
        <w:jc w:val="both"/>
        <w:ind w:left="440" w:right="60" w:hanging="380"/>
        <w:spacing w:after="0" w:line="255" w:lineRule="auto"/>
        <w:tabs>
          <w:tab w:leader="none" w:pos="440" w:val="left"/>
        </w:tabs>
        <w:numPr>
          <w:ilvl w:val="1"/>
          <w:numId w:val="8"/>
        </w:numPr>
        <w:rPr>
          <w:rFonts w:ascii="Arial" w:cs="Arial" w:eastAsia="Arial" w:hAnsi="Arial"/>
          <w:sz w:val="17"/>
          <w:szCs w:val="17"/>
          <w:color w:val="auto"/>
        </w:rPr>
      </w:pPr>
      <w:r>
        <w:rPr>
          <w:rFonts w:ascii="Arial" w:cs="Arial" w:eastAsia="Arial" w:hAnsi="Arial"/>
          <w:sz w:val="17"/>
          <w:szCs w:val="17"/>
          <w:color w:val="auto"/>
        </w:rPr>
        <w:t>During the third quarter of 2023, we recorded a tax benefit of $28.2 million related to the write off of a deferred tax liability related to our original investment in Boa Vista Serviços as a result of our purchase of the remaining interest in Boa Vista Serviços in the same quarter. See Notes to this reconciliation for additional detail.</w:t>
      </w:r>
    </w:p>
    <w:p>
      <w:pPr>
        <w:spacing w:after="0" w:line="216" w:lineRule="exact"/>
        <w:rPr>
          <w:rFonts w:ascii="Arial" w:cs="Arial" w:eastAsia="Arial" w:hAnsi="Arial"/>
          <w:sz w:val="17"/>
          <w:szCs w:val="17"/>
          <w:color w:val="auto"/>
        </w:rPr>
      </w:pPr>
    </w:p>
    <w:p>
      <w:pPr>
        <w:ind w:left="440" w:right="140" w:hanging="380"/>
        <w:spacing w:after="0" w:line="247" w:lineRule="auto"/>
        <w:tabs>
          <w:tab w:leader="none" w:pos="440" w:val="left"/>
        </w:tabs>
        <w:numPr>
          <w:ilvl w:val="1"/>
          <w:numId w:val="8"/>
        </w:numPr>
        <w:rPr>
          <w:rFonts w:ascii="Arial" w:cs="Arial" w:eastAsia="Arial" w:hAnsi="Arial"/>
          <w:sz w:val="17"/>
          <w:szCs w:val="17"/>
          <w:color w:val="auto"/>
        </w:rPr>
      </w:pPr>
      <w:r>
        <w:rPr>
          <w:rFonts w:ascii="Arial" w:cs="Arial" w:eastAsia="Arial" w:hAnsi="Arial"/>
          <w:sz w:val="17"/>
          <w:szCs w:val="17"/>
          <w:color w:val="auto"/>
        </w:rPr>
        <w:t>During the third quarter of 2023, we recorded the tax impact of adjustments of $16.7 million comprised of (i) acquisition-related amortization expense of certain acquired intangibles of $12.7 million ($16.7 million of tax expense net of $4.0 million of cash income tax benefit), (ii) a tax adjustment of $0.1 million related to the fair market value adjustment of equity investments, (iii) a tax adjustment of $4.5 million related to acquisition-related costs other than acquisition amortization and (iv) a tax adjustment of $0.6 million related to the realignment of resources.</w:t>
      </w:r>
    </w:p>
    <w:p>
      <w:pPr>
        <w:spacing w:after="0" w:line="224" w:lineRule="exact"/>
        <w:rPr>
          <w:rFonts w:ascii="Arial" w:cs="Arial" w:eastAsia="Arial" w:hAnsi="Arial"/>
          <w:sz w:val="17"/>
          <w:szCs w:val="17"/>
          <w:color w:val="auto"/>
        </w:rPr>
      </w:pPr>
    </w:p>
    <w:p>
      <w:pPr>
        <w:ind w:left="440" w:right="40"/>
        <w:spacing w:after="0" w:line="276" w:lineRule="auto"/>
        <w:rPr>
          <w:rFonts w:ascii="Arial" w:cs="Arial" w:eastAsia="Arial" w:hAnsi="Arial"/>
          <w:sz w:val="17"/>
          <w:szCs w:val="17"/>
          <w:color w:val="auto"/>
        </w:rPr>
      </w:pPr>
      <w:r>
        <w:rPr>
          <w:rFonts w:ascii="Arial" w:cs="Arial" w:eastAsia="Arial" w:hAnsi="Arial"/>
          <w:sz w:val="15"/>
          <w:szCs w:val="15"/>
          <w:color w:val="auto"/>
        </w:rPr>
        <w:t>During the third quarter of 2022, we recorded the tax impact of adjustments of $10.6 million comprised of (i) acquisition-related amortization expense of certain acquired intangibles of $11.0 million ($15.1 million of tax expense net of $4.1 million of cash income tax benefit), (ii) a tax adjustment of $0.1 million related to an accrual for legal and regulatory matters related to the 2017 cybersecurity incident, (iii) a tax adjustment of $6.1 million related to the gain on fair market value adjustment and gain on sale of equity investment, (iv) a tax adjustment of $4.7 million related to acquisition-related costs other than acquisition amortization and</w:t>
      </w:r>
    </w:p>
    <w:p>
      <w:pPr>
        <w:spacing w:after="0" w:line="3" w:lineRule="exact"/>
        <w:rPr>
          <w:rFonts w:ascii="Arial" w:cs="Arial" w:eastAsia="Arial" w:hAnsi="Arial"/>
          <w:sz w:val="17"/>
          <w:szCs w:val="17"/>
          <w:color w:val="auto"/>
        </w:rPr>
      </w:pPr>
    </w:p>
    <w:p>
      <w:pPr>
        <w:ind w:left="440"/>
        <w:spacing w:after="0"/>
        <w:rPr>
          <w:rFonts w:ascii="Arial" w:cs="Arial" w:eastAsia="Arial" w:hAnsi="Arial"/>
          <w:sz w:val="17"/>
          <w:szCs w:val="17"/>
          <w:color w:val="auto"/>
        </w:rPr>
      </w:pPr>
      <w:r>
        <w:rPr>
          <w:rFonts w:ascii="Arial" w:cs="Arial" w:eastAsia="Arial" w:hAnsi="Arial"/>
          <w:sz w:val="17"/>
          <w:szCs w:val="17"/>
          <w:color w:val="auto"/>
        </w:rPr>
        <w:t>(v) a tax adjustment of $0.9 million related to the gain on settlement of Canada pension plan.</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57" w:lineRule="exact"/>
        <w:rPr>
          <w:rFonts w:ascii="Arial" w:cs="Arial" w:eastAsia="Arial" w:hAnsi="Arial"/>
          <w:sz w:val="17"/>
          <w:szCs w:val="17"/>
          <w:color w:val="auto"/>
        </w:rPr>
      </w:pPr>
    </w:p>
    <w:p>
      <w:pPr>
        <w:spacing w:after="0" w:line="255" w:lineRule="auto"/>
        <w:tabs>
          <w:tab w:leader="none" w:pos="506" w:val="left"/>
        </w:tabs>
        <w:numPr>
          <w:ilvl w:val="0"/>
          <w:numId w:val="9"/>
        </w:numPr>
        <w:rPr>
          <w:rFonts w:ascii="Arial" w:cs="Arial" w:eastAsia="Arial" w:hAnsi="Arial"/>
          <w:sz w:val="24"/>
          <w:szCs w:val="24"/>
          <w:b w:val="1"/>
          <w:bCs w:val="1"/>
          <w:color w:val="auto"/>
        </w:rPr>
      </w:pPr>
      <w:r>
        <w:rPr>
          <w:rFonts w:ascii="Arial" w:cs="Arial" w:eastAsia="Arial" w:hAnsi="Arial"/>
          <w:sz w:val="24"/>
          <w:szCs w:val="24"/>
          <w:b w:val="1"/>
          <w:bCs w:val="1"/>
          <w:color w:val="auto"/>
        </w:rPr>
        <w:t>Reconciliation of net income attributable to Equifax to adjusted EBITDA, defined as net income excluding income taxes, interest expense, net, depreciation and amortization expense, accrual for legal and regulatory matters related to the 2017 cybersecurity incident, fair value adjustment and gain on sale of equity investments, foreign currency impact of certain intercompany loans, acquisition-related costs other than acquisition amortization, Argentina highly inflationary foreign currency adjustment, realignment of resources and other costs, gain on settlement of Canada pension and presentation of adjusted EBITDA margin:</w:t>
      </w:r>
    </w:p>
    <w:p>
      <w:pPr>
        <w:sectPr>
          <w:pgSz w:w="12240" w:h="15840" w:orient="portrait"/>
          <w:cols w:equalWidth="0" w:num="1">
            <w:col w:w="9840"/>
          </w:cols>
          <w:pgMar w:left="1200" w:top="1075" w:right="1200" w:bottom="1440"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195"/>
        </w:trPr>
        <w:tc>
          <w:tcPr>
            <w:tcW w:w="5300" w:type="dxa"/>
            <w:vAlign w:val="bottom"/>
          </w:tcPr>
          <w:p>
            <w:pPr>
              <w:spacing w:after="0"/>
              <w:rPr>
                <w:sz w:val="16"/>
                <w:szCs w:val="16"/>
                <w:color w:val="auto"/>
              </w:rPr>
            </w:pPr>
          </w:p>
        </w:tc>
        <w:tc>
          <w:tcPr>
            <w:tcW w:w="2540" w:type="dxa"/>
            <w:vAlign w:val="bottom"/>
            <w:gridSpan w:val="3"/>
          </w:tcPr>
          <w:p>
            <w:pPr>
              <w:jc w:val="right"/>
              <w:ind w:right="358"/>
              <w:spacing w:after="0"/>
              <w:rPr>
                <w:sz w:val="20"/>
                <w:szCs w:val="20"/>
                <w:color w:val="auto"/>
              </w:rPr>
            </w:pPr>
            <w:r>
              <w:rPr>
                <w:rFonts w:ascii="Arial" w:cs="Arial" w:eastAsia="Arial" w:hAnsi="Arial"/>
                <w:sz w:val="17"/>
                <w:szCs w:val="17"/>
                <w:b w:val="1"/>
                <w:bCs w:val="1"/>
                <w:color w:val="auto"/>
              </w:rPr>
              <w:t>Three Months Ended</w:t>
            </w:r>
          </w:p>
        </w:tc>
        <w:tc>
          <w:tcPr>
            <w:tcW w:w="14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300" w:type="dxa"/>
            <w:vAlign w:val="bottom"/>
          </w:tcPr>
          <w:p>
            <w:pPr>
              <w:spacing w:after="0"/>
              <w:rPr>
                <w:sz w:val="20"/>
                <w:szCs w:val="20"/>
                <w:color w:val="auto"/>
              </w:rPr>
            </w:pPr>
          </w:p>
        </w:tc>
        <w:tc>
          <w:tcPr>
            <w:tcW w:w="2540" w:type="dxa"/>
            <w:vAlign w:val="bottom"/>
            <w:gridSpan w:val="3"/>
          </w:tcPr>
          <w:p>
            <w:pPr>
              <w:jc w:val="right"/>
              <w:ind w:right="618"/>
              <w:spacing w:after="0"/>
              <w:rPr>
                <w:sz w:val="20"/>
                <w:szCs w:val="20"/>
                <w:color w:val="auto"/>
              </w:rPr>
            </w:pPr>
            <w:r>
              <w:rPr>
                <w:rFonts w:ascii="Arial" w:cs="Arial" w:eastAsia="Arial" w:hAnsi="Arial"/>
                <w:sz w:val="17"/>
                <w:szCs w:val="17"/>
                <w:b w:val="1"/>
                <w:bCs w:val="1"/>
                <w:color w:val="auto"/>
              </w:rPr>
              <w:t>September 30,</w:t>
            </w:r>
          </w:p>
        </w:tc>
        <w:tc>
          <w:tcPr>
            <w:tcW w:w="14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880" w:type="dxa"/>
            <w:vAlign w:val="bottom"/>
            <w:vMerge w:val="restart"/>
          </w:tcPr>
          <w:p>
            <w:pPr>
              <w:jc w:val="right"/>
              <w:ind w:right="178"/>
              <w:spacing w:after="0"/>
              <w:rPr>
                <w:sz w:val="20"/>
                <w:szCs w:val="20"/>
                <w:color w:val="auto"/>
              </w:rPr>
            </w:pPr>
            <w:r>
              <w:rPr>
                <w:rFonts w:ascii="Arial" w:cs="Arial" w:eastAsia="Arial" w:hAnsi="Arial"/>
                <w:sz w:val="17"/>
                <w:szCs w:val="17"/>
                <w:b w:val="1"/>
                <w:bCs w:val="1"/>
                <w:color w:val="auto"/>
              </w:rPr>
              <w:t>%</w:t>
            </w:r>
          </w:p>
        </w:tc>
        <w:tc>
          <w:tcPr>
            <w:tcW w:w="0" w:type="dxa"/>
            <w:vAlign w:val="bottom"/>
          </w:tcPr>
          <w:p>
            <w:pPr>
              <w:spacing w:after="0"/>
              <w:rPr>
                <w:sz w:val="1"/>
                <w:szCs w:val="1"/>
                <w:color w:val="auto"/>
              </w:rPr>
            </w:pPr>
          </w:p>
        </w:tc>
      </w:tr>
      <w:tr>
        <w:trPr>
          <w:trHeight w:val="189"/>
        </w:trPr>
        <w:tc>
          <w:tcPr>
            <w:tcW w:w="5300" w:type="dxa"/>
            <w:vAlign w:val="bottom"/>
          </w:tcPr>
          <w:p>
            <w:pPr>
              <w:spacing w:after="0"/>
              <w:rPr>
                <w:sz w:val="16"/>
                <w:szCs w:val="16"/>
                <w:color w:val="auto"/>
              </w:rPr>
            </w:pPr>
          </w:p>
        </w:tc>
        <w:tc>
          <w:tcPr>
            <w:tcW w:w="1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8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25"/>
        </w:trPr>
        <w:tc>
          <w:tcPr>
            <w:tcW w:w="5300" w:type="dxa"/>
            <w:vAlign w:val="bottom"/>
          </w:tcPr>
          <w:p>
            <w:pPr>
              <w:ind w:left="40"/>
              <w:spacing w:after="0"/>
              <w:rPr>
                <w:sz w:val="20"/>
                <w:szCs w:val="20"/>
                <w:color w:val="auto"/>
              </w:rPr>
            </w:pPr>
            <w:r>
              <w:rPr>
                <w:rFonts w:ascii="Arial" w:cs="Arial" w:eastAsia="Arial" w:hAnsi="Arial"/>
                <w:sz w:val="17"/>
                <w:szCs w:val="17"/>
                <w:i w:val="1"/>
                <w:iCs w:val="1"/>
                <w:color w:val="auto"/>
              </w:rPr>
              <w:t>(in millions)</w:t>
            </w:r>
          </w:p>
        </w:tc>
        <w:tc>
          <w:tcPr>
            <w:tcW w:w="1160" w:type="dxa"/>
            <w:vAlign w:val="bottom"/>
          </w:tcPr>
          <w:p>
            <w:pPr>
              <w:jc w:val="right"/>
              <w:ind w:right="358"/>
              <w:spacing w:after="0"/>
              <w:rPr>
                <w:sz w:val="20"/>
                <w:szCs w:val="20"/>
                <w:color w:val="auto"/>
              </w:rPr>
            </w:pPr>
            <w:r>
              <w:rPr>
                <w:rFonts w:ascii="Arial" w:cs="Arial" w:eastAsia="Arial" w:hAnsi="Arial"/>
                <w:sz w:val="17"/>
                <w:szCs w:val="17"/>
                <w:b w:val="1"/>
                <w:bCs w:val="1"/>
                <w:color w:val="auto"/>
              </w:rPr>
              <w:t>2023</w:t>
            </w:r>
          </w:p>
        </w:tc>
        <w:tc>
          <w:tcPr>
            <w:tcW w:w="1380" w:type="dxa"/>
            <w:vAlign w:val="bottom"/>
            <w:gridSpan w:val="2"/>
          </w:tcPr>
          <w:p>
            <w:pPr>
              <w:jc w:val="right"/>
              <w:ind w:right="398"/>
              <w:spacing w:after="0"/>
              <w:rPr>
                <w:sz w:val="20"/>
                <w:szCs w:val="20"/>
                <w:color w:val="auto"/>
              </w:rPr>
            </w:pPr>
            <w:r>
              <w:rPr>
                <w:rFonts w:ascii="Arial" w:cs="Arial" w:eastAsia="Arial" w:hAnsi="Arial"/>
                <w:sz w:val="17"/>
                <w:szCs w:val="17"/>
                <w:b w:val="1"/>
                <w:bCs w:val="1"/>
                <w:color w:val="auto"/>
              </w:rPr>
              <w:t>2022</w:t>
            </w:r>
          </w:p>
        </w:tc>
        <w:tc>
          <w:tcPr>
            <w:tcW w:w="140" w:type="dxa"/>
            <w:vAlign w:val="bottom"/>
          </w:tcPr>
          <w:p>
            <w:pPr>
              <w:spacing w:after="0"/>
              <w:rPr>
                <w:sz w:val="19"/>
                <w:szCs w:val="19"/>
                <w:color w:val="auto"/>
              </w:rPr>
            </w:pPr>
          </w:p>
        </w:tc>
        <w:tc>
          <w:tcPr>
            <w:tcW w:w="920" w:type="dxa"/>
            <w:vAlign w:val="bottom"/>
          </w:tcPr>
          <w:p>
            <w:pPr>
              <w:jc w:val="right"/>
              <w:spacing w:after="0"/>
              <w:rPr>
                <w:sz w:val="20"/>
                <w:szCs w:val="20"/>
                <w:color w:val="auto"/>
              </w:rPr>
            </w:pPr>
            <w:r>
              <w:rPr>
                <w:rFonts w:ascii="Arial" w:cs="Arial" w:eastAsia="Arial" w:hAnsi="Arial"/>
                <w:sz w:val="17"/>
                <w:szCs w:val="17"/>
                <w:b w:val="1"/>
                <w:bCs w:val="1"/>
                <w:color w:val="auto"/>
              </w:rPr>
              <w:t>$ Change</w:t>
            </w:r>
          </w:p>
        </w:tc>
        <w:tc>
          <w:tcPr>
            <w:tcW w:w="880" w:type="dxa"/>
            <w:vAlign w:val="bottom"/>
          </w:tcPr>
          <w:p>
            <w:pPr>
              <w:jc w:val="right"/>
              <w:spacing w:after="0"/>
              <w:rPr>
                <w:sz w:val="20"/>
                <w:szCs w:val="20"/>
                <w:color w:val="auto"/>
              </w:rPr>
            </w:pPr>
            <w:r>
              <w:rPr>
                <w:rFonts w:ascii="Arial" w:cs="Arial" w:eastAsia="Arial" w:hAnsi="Arial"/>
                <w:sz w:val="17"/>
                <w:szCs w:val="17"/>
                <w:b w:val="1"/>
                <w:bCs w:val="1"/>
                <w:color w:val="auto"/>
              </w:rPr>
              <w:t>Change</w:t>
            </w:r>
          </w:p>
        </w:tc>
        <w:tc>
          <w:tcPr>
            <w:tcW w:w="0" w:type="dxa"/>
            <w:vAlign w:val="bottom"/>
          </w:tcPr>
          <w:p>
            <w:pPr>
              <w:spacing w:after="0"/>
              <w:rPr>
                <w:sz w:val="1"/>
                <w:szCs w:val="1"/>
                <w:color w:val="auto"/>
              </w:rPr>
            </w:pPr>
          </w:p>
        </w:tc>
      </w:tr>
      <w:tr>
        <w:trPr>
          <w:trHeight w:val="195"/>
        </w:trPr>
        <w:tc>
          <w:tcPr>
            <w:tcW w:w="5300" w:type="dxa"/>
            <w:vAlign w:val="bottom"/>
          </w:tcPr>
          <w:p>
            <w:pPr>
              <w:spacing w:after="0"/>
              <w:rPr>
                <w:sz w:val="16"/>
                <w:szCs w:val="16"/>
                <w:color w:val="auto"/>
              </w:rPr>
            </w:pPr>
          </w:p>
        </w:tc>
        <w:tc>
          <w:tcPr>
            <w:tcW w:w="1160" w:type="dxa"/>
            <w:vAlign w:val="bottom"/>
          </w:tcPr>
          <w:p>
            <w:pPr>
              <w:jc w:val="right"/>
              <w:ind w:right="41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478"/>
              <w:spacing w:after="0"/>
              <w:rPr>
                <w:sz w:val="20"/>
                <w:szCs w:val="20"/>
                <w:color w:val="auto"/>
              </w:rPr>
            </w:pPr>
            <w:r>
              <w:rPr>
                <w:rFonts w:ascii="Arial" w:cs="Arial" w:eastAsia="Arial" w:hAnsi="Arial"/>
                <w:sz w:val="17"/>
                <w:szCs w:val="17"/>
                <w:color w:val="auto"/>
              </w:rPr>
              <w:t>$</w:t>
            </w:r>
          </w:p>
        </w:tc>
        <w:tc>
          <w:tcPr>
            <w:tcW w:w="1060" w:type="dxa"/>
            <w:vAlign w:val="bottom"/>
            <w:gridSpan w:val="2"/>
          </w:tcPr>
          <w:p>
            <w:pPr>
              <w:jc w:val="right"/>
              <w:ind w:right="478"/>
              <w:spacing w:after="0"/>
              <w:rPr>
                <w:sz w:val="20"/>
                <w:szCs w:val="20"/>
                <w:color w:val="auto"/>
              </w:rPr>
            </w:pPr>
            <w:r>
              <w:rPr>
                <w:rFonts w:ascii="Arial" w:cs="Arial" w:eastAsia="Arial" w:hAnsi="Arial"/>
                <w:sz w:val="17"/>
                <w:szCs w:val="17"/>
                <w:color w:val="auto"/>
              </w:rPr>
              <w:t>$</w:t>
            </w:r>
          </w:p>
        </w:tc>
        <w:tc>
          <w:tcPr>
            <w:tcW w:w="8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300" w:type="dxa"/>
            <w:vAlign w:val="bottom"/>
          </w:tcPr>
          <w:p>
            <w:pPr>
              <w:spacing w:after="0"/>
              <w:rPr>
                <w:sz w:val="20"/>
                <w:szCs w:val="20"/>
                <w:color w:val="auto"/>
              </w:rPr>
            </w:pPr>
            <w:r>
              <w:rPr>
                <w:rFonts w:ascii="Arial" w:cs="Arial" w:eastAsia="Arial" w:hAnsi="Arial"/>
                <w:sz w:val="17"/>
                <w:szCs w:val="17"/>
                <w:color w:val="auto"/>
              </w:rPr>
              <w:t>Revenue</w:t>
            </w:r>
          </w:p>
        </w:tc>
        <w:tc>
          <w:tcPr>
            <w:tcW w:w="1160" w:type="dxa"/>
            <w:vAlign w:val="bottom"/>
          </w:tcPr>
          <w:p>
            <w:pPr>
              <w:jc w:val="right"/>
              <w:ind w:right="78"/>
              <w:spacing w:after="0"/>
              <w:rPr>
                <w:sz w:val="20"/>
                <w:szCs w:val="20"/>
                <w:color w:val="auto"/>
              </w:rPr>
            </w:pPr>
            <w:r>
              <w:rPr>
                <w:rFonts w:ascii="Arial" w:cs="Arial" w:eastAsia="Arial" w:hAnsi="Arial"/>
                <w:sz w:val="17"/>
                <w:szCs w:val="17"/>
                <w:b w:val="1"/>
                <w:bCs w:val="1"/>
                <w:color w:val="auto"/>
              </w:rPr>
              <w:t>1,319.1</w:t>
            </w:r>
          </w:p>
        </w:tc>
        <w:tc>
          <w:tcPr>
            <w:tcW w:w="1380" w:type="dxa"/>
            <w:vAlign w:val="bottom"/>
            <w:gridSpan w:val="2"/>
          </w:tcPr>
          <w:p>
            <w:pPr>
              <w:jc w:val="right"/>
              <w:ind w:right="78"/>
              <w:spacing w:after="0"/>
              <w:rPr>
                <w:sz w:val="20"/>
                <w:szCs w:val="20"/>
                <w:color w:val="auto"/>
              </w:rPr>
            </w:pPr>
            <w:r>
              <w:rPr>
                <w:rFonts w:ascii="Arial" w:cs="Arial" w:eastAsia="Arial" w:hAnsi="Arial"/>
                <w:sz w:val="17"/>
                <w:szCs w:val="17"/>
                <w:color w:val="auto"/>
              </w:rPr>
              <w:t>1,244.3</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74.8</w:t>
            </w:r>
          </w:p>
        </w:tc>
        <w:tc>
          <w:tcPr>
            <w:tcW w:w="880" w:type="dxa"/>
            <w:vAlign w:val="bottom"/>
          </w:tcPr>
          <w:p>
            <w:pPr>
              <w:jc w:val="right"/>
              <w:spacing w:after="0"/>
              <w:rPr>
                <w:sz w:val="20"/>
                <w:szCs w:val="20"/>
                <w:color w:val="auto"/>
              </w:rPr>
            </w:pPr>
            <w:r>
              <w:rPr>
                <w:rFonts w:ascii="Arial" w:cs="Arial" w:eastAsia="Arial" w:hAnsi="Arial"/>
                <w:sz w:val="17"/>
                <w:szCs w:val="17"/>
                <w:color w:val="auto"/>
              </w:rPr>
              <w:t>6 %</w:t>
            </w:r>
          </w:p>
        </w:tc>
        <w:tc>
          <w:tcPr>
            <w:tcW w:w="0" w:type="dxa"/>
            <w:vAlign w:val="bottom"/>
          </w:tcPr>
          <w:p>
            <w:pPr>
              <w:spacing w:after="0"/>
              <w:rPr>
                <w:sz w:val="1"/>
                <w:szCs w:val="1"/>
                <w:color w:val="auto"/>
              </w:rPr>
            </w:pPr>
          </w:p>
        </w:tc>
      </w:tr>
      <w:tr>
        <w:trPr>
          <w:trHeight w:val="414"/>
        </w:trPr>
        <w:tc>
          <w:tcPr>
            <w:tcW w:w="5300" w:type="dxa"/>
            <w:vAlign w:val="bottom"/>
          </w:tcPr>
          <w:p>
            <w:pPr>
              <w:spacing w:after="0"/>
              <w:rPr>
                <w:sz w:val="24"/>
                <w:szCs w:val="24"/>
                <w:color w:val="auto"/>
              </w:rPr>
            </w:pPr>
          </w:p>
        </w:tc>
        <w:tc>
          <w:tcPr>
            <w:tcW w:w="1160" w:type="dxa"/>
            <w:vAlign w:val="bottom"/>
          </w:tcPr>
          <w:p>
            <w:pPr>
              <w:jc w:val="right"/>
              <w:ind w:right="57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618"/>
              <w:spacing w:after="0"/>
              <w:rPr>
                <w:sz w:val="20"/>
                <w:szCs w:val="20"/>
                <w:color w:val="auto"/>
              </w:rPr>
            </w:pPr>
            <w:r>
              <w:rPr>
                <w:rFonts w:ascii="Arial" w:cs="Arial" w:eastAsia="Arial" w:hAnsi="Arial"/>
                <w:sz w:val="17"/>
                <w:szCs w:val="17"/>
                <w:color w:val="auto"/>
              </w:rPr>
              <w:t>$</w:t>
            </w:r>
          </w:p>
        </w:tc>
        <w:tc>
          <w:tcPr>
            <w:tcW w:w="1060" w:type="dxa"/>
            <w:vAlign w:val="bottom"/>
            <w:gridSpan w:val="2"/>
          </w:tcPr>
          <w:p>
            <w:pPr>
              <w:jc w:val="right"/>
              <w:ind w:right="418"/>
              <w:spacing w:after="0"/>
              <w:rPr>
                <w:sz w:val="20"/>
                <w:szCs w:val="20"/>
                <w:color w:val="auto"/>
              </w:rPr>
            </w:pPr>
            <w:r>
              <w:rPr>
                <w:rFonts w:ascii="Arial" w:cs="Arial" w:eastAsia="Arial" w:hAnsi="Arial"/>
                <w:sz w:val="17"/>
                <w:szCs w:val="17"/>
                <w:color w:val="auto"/>
              </w:rPr>
              <w:t>$</w:t>
            </w: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5"/>
        </w:trPr>
        <w:tc>
          <w:tcPr>
            <w:tcW w:w="5300" w:type="dxa"/>
            <w:vAlign w:val="bottom"/>
          </w:tcPr>
          <w:p>
            <w:pPr>
              <w:spacing w:after="0"/>
              <w:rPr>
                <w:sz w:val="20"/>
                <w:szCs w:val="20"/>
                <w:color w:val="auto"/>
              </w:rPr>
            </w:pPr>
            <w:r>
              <w:rPr>
                <w:rFonts w:ascii="Arial" w:cs="Arial" w:eastAsia="Arial" w:hAnsi="Arial"/>
                <w:sz w:val="17"/>
                <w:szCs w:val="17"/>
                <w:color w:val="auto"/>
              </w:rPr>
              <w:t>Net income attributable to Equifax</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162.2</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165.7</w:t>
            </w:r>
          </w:p>
        </w:tc>
        <w:tc>
          <w:tcPr>
            <w:tcW w:w="1060" w:type="dxa"/>
            <w:vAlign w:val="bottom"/>
            <w:gridSpan w:val="2"/>
          </w:tcPr>
          <w:p>
            <w:pPr>
              <w:jc w:val="right"/>
              <w:spacing w:after="0"/>
              <w:rPr>
                <w:sz w:val="20"/>
                <w:szCs w:val="20"/>
                <w:color w:val="auto"/>
              </w:rPr>
            </w:pPr>
            <w:r>
              <w:rPr>
                <w:rFonts w:ascii="Arial" w:cs="Arial" w:eastAsia="Arial" w:hAnsi="Arial"/>
                <w:sz w:val="17"/>
                <w:szCs w:val="17"/>
                <w:color w:val="auto"/>
              </w:rPr>
              <w:t>(3.5)</w:t>
            </w:r>
          </w:p>
        </w:tc>
        <w:tc>
          <w:tcPr>
            <w:tcW w:w="880" w:type="dxa"/>
            <w:vAlign w:val="bottom"/>
          </w:tcPr>
          <w:p>
            <w:pPr>
              <w:jc w:val="right"/>
              <w:spacing w:after="0"/>
              <w:rPr>
                <w:sz w:val="20"/>
                <w:szCs w:val="20"/>
                <w:color w:val="auto"/>
              </w:rPr>
            </w:pPr>
            <w:r>
              <w:rPr>
                <w:rFonts w:ascii="Arial" w:cs="Arial" w:eastAsia="Arial" w:hAnsi="Arial"/>
                <w:sz w:val="17"/>
                <w:szCs w:val="17"/>
                <w:color w:val="auto"/>
              </w:rPr>
              <w:t>(2) %</w:t>
            </w:r>
          </w:p>
        </w:tc>
        <w:tc>
          <w:tcPr>
            <w:tcW w:w="0" w:type="dxa"/>
            <w:vAlign w:val="bottom"/>
          </w:tcPr>
          <w:p>
            <w:pPr>
              <w:spacing w:after="0"/>
              <w:rPr>
                <w:sz w:val="1"/>
                <w:szCs w:val="1"/>
                <w:color w:val="auto"/>
              </w:rPr>
            </w:pPr>
          </w:p>
        </w:tc>
      </w:tr>
      <w:tr>
        <w:trPr>
          <w:trHeight w:val="225"/>
        </w:trPr>
        <w:tc>
          <w:tcPr>
            <w:tcW w:w="5300" w:type="dxa"/>
            <w:vAlign w:val="bottom"/>
          </w:tcPr>
          <w:p>
            <w:pPr>
              <w:spacing w:after="0"/>
              <w:rPr>
                <w:sz w:val="20"/>
                <w:szCs w:val="20"/>
                <w:color w:val="auto"/>
              </w:rPr>
            </w:pPr>
            <w:r>
              <w:rPr>
                <w:rFonts w:ascii="Arial" w:cs="Arial" w:eastAsia="Arial" w:hAnsi="Arial"/>
                <w:sz w:val="17"/>
                <w:szCs w:val="17"/>
                <w:color w:val="auto"/>
              </w:rPr>
              <w:t>Income taxes</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26.4</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52.8</w:t>
            </w:r>
          </w:p>
        </w:tc>
        <w:tc>
          <w:tcPr>
            <w:tcW w:w="1060" w:type="dxa"/>
            <w:vAlign w:val="bottom"/>
            <w:gridSpan w:val="2"/>
          </w:tcPr>
          <w:p>
            <w:pPr>
              <w:jc w:val="right"/>
              <w:spacing w:after="0"/>
              <w:rPr>
                <w:sz w:val="20"/>
                <w:szCs w:val="20"/>
                <w:color w:val="auto"/>
              </w:rPr>
            </w:pPr>
            <w:r>
              <w:rPr>
                <w:rFonts w:ascii="Arial" w:cs="Arial" w:eastAsia="Arial" w:hAnsi="Arial"/>
                <w:sz w:val="17"/>
                <w:szCs w:val="17"/>
                <w:color w:val="auto"/>
              </w:rPr>
              <w:t>(26.4)</w:t>
            </w:r>
          </w:p>
        </w:tc>
        <w:tc>
          <w:tcPr>
            <w:tcW w:w="880" w:type="dxa"/>
            <w:vAlign w:val="bottom"/>
          </w:tcPr>
          <w:p>
            <w:pPr>
              <w:jc w:val="right"/>
              <w:spacing w:after="0"/>
              <w:rPr>
                <w:sz w:val="20"/>
                <w:szCs w:val="20"/>
                <w:color w:val="auto"/>
              </w:rPr>
            </w:pPr>
            <w:r>
              <w:rPr>
                <w:rFonts w:ascii="Arial" w:cs="Arial" w:eastAsia="Arial" w:hAnsi="Arial"/>
                <w:sz w:val="17"/>
                <w:szCs w:val="17"/>
                <w:color w:val="auto"/>
              </w:rPr>
              <w:t>(50) %</w:t>
            </w:r>
          </w:p>
        </w:tc>
        <w:tc>
          <w:tcPr>
            <w:tcW w:w="0" w:type="dxa"/>
            <w:vAlign w:val="bottom"/>
          </w:tcPr>
          <w:p>
            <w:pPr>
              <w:spacing w:after="0"/>
              <w:rPr>
                <w:sz w:val="1"/>
                <w:szCs w:val="1"/>
                <w:color w:val="auto"/>
              </w:rPr>
            </w:pPr>
          </w:p>
        </w:tc>
      </w:tr>
      <w:tr>
        <w:trPr>
          <w:trHeight w:val="225"/>
        </w:trPr>
        <w:tc>
          <w:tcPr>
            <w:tcW w:w="5300" w:type="dxa"/>
            <w:vAlign w:val="bottom"/>
          </w:tcPr>
          <w:p>
            <w:pPr>
              <w:spacing w:after="0"/>
              <w:rPr>
                <w:sz w:val="20"/>
                <w:szCs w:val="20"/>
                <w:color w:val="auto"/>
              </w:rPr>
            </w:pPr>
            <w:r>
              <w:rPr>
                <w:rFonts w:ascii="Arial" w:cs="Arial" w:eastAsia="Arial" w:hAnsi="Arial"/>
                <w:sz w:val="17"/>
                <w:szCs w:val="17"/>
                <w:color w:val="auto"/>
              </w:rPr>
              <w:t>Interest expense, net*</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56.6</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46.6</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10.0</w:t>
            </w:r>
          </w:p>
        </w:tc>
        <w:tc>
          <w:tcPr>
            <w:tcW w:w="880" w:type="dxa"/>
            <w:vAlign w:val="bottom"/>
          </w:tcPr>
          <w:p>
            <w:pPr>
              <w:jc w:val="right"/>
              <w:spacing w:after="0"/>
              <w:rPr>
                <w:sz w:val="20"/>
                <w:szCs w:val="20"/>
                <w:color w:val="auto"/>
              </w:rPr>
            </w:pPr>
            <w:r>
              <w:rPr>
                <w:rFonts w:ascii="Arial" w:cs="Arial" w:eastAsia="Arial" w:hAnsi="Arial"/>
                <w:sz w:val="17"/>
                <w:szCs w:val="17"/>
                <w:color w:val="auto"/>
              </w:rPr>
              <w:t>21 %</w:t>
            </w:r>
          </w:p>
        </w:tc>
        <w:tc>
          <w:tcPr>
            <w:tcW w:w="0" w:type="dxa"/>
            <w:vAlign w:val="bottom"/>
          </w:tcPr>
          <w:p>
            <w:pPr>
              <w:spacing w:after="0"/>
              <w:rPr>
                <w:sz w:val="1"/>
                <w:szCs w:val="1"/>
                <w:color w:val="auto"/>
              </w:rPr>
            </w:pPr>
          </w:p>
        </w:tc>
      </w:tr>
      <w:tr>
        <w:trPr>
          <w:trHeight w:val="227"/>
        </w:trPr>
        <w:tc>
          <w:tcPr>
            <w:tcW w:w="5300" w:type="dxa"/>
            <w:vAlign w:val="bottom"/>
          </w:tcPr>
          <w:p>
            <w:pPr>
              <w:spacing w:after="0"/>
              <w:rPr>
                <w:sz w:val="20"/>
                <w:szCs w:val="20"/>
                <w:color w:val="auto"/>
              </w:rPr>
            </w:pPr>
            <w:r>
              <w:rPr>
                <w:rFonts w:ascii="Arial" w:cs="Arial" w:eastAsia="Arial" w:hAnsi="Arial"/>
                <w:sz w:val="17"/>
                <w:szCs w:val="17"/>
                <w:color w:val="auto"/>
              </w:rPr>
              <w:t>Depreciation and amortization</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154.4</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140.9</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13.5</w:t>
            </w:r>
          </w:p>
        </w:tc>
        <w:tc>
          <w:tcPr>
            <w:tcW w:w="880" w:type="dxa"/>
            <w:vAlign w:val="bottom"/>
          </w:tcPr>
          <w:p>
            <w:pPr>
              <w:jc w:val="right"/>
              <w:spacing w:after="0"/>
              <w:rPr>
                <w:sz w:val="20"/>
                <w:szCs w:val="20"/>
                <w:color w:val="auto"/>
              </w:rPr>
            </w:pPr>
            <w:r>
              <w:rPr>
                <w:rFonts w:ascii="Arial" w:cs="Arial" w:eastAsia="Arial" w:hAnsi="Arial"/>
                <w:sz w:val="17"/>
                <w:szCs w:val="17"/>
                <w:color w:val="auto"/>
              </w:rPr>
              <w:t>10 %</w:t>
            </w:r>
          </w:p>
        </w:tc>
        <w:tc>
          <w:tcPr>
            <w:tcW w:w="0" w:type="dxa"/>
            <w:vAlign w:val="bottom"/>
          </w:tcPr>
          <w:p>
            <w:pPr>
              <w:spacing w:after="0"/>
              <w:rPr>
                <w:sz w:val="1"/>
                <w:szCs w:val="1"/>
                <w:color w:val="auto"/>
              </w:rPr>
            </w:pPr>
          </w:p>
        </w:tc>
      </w:tr>
      <w:tr>
        <w:trPr>
          <w:trHeight w:val="211"/>
        </w:trPr>
        <w:tc>
          <w:tcPr>
            <w:tcW w:w="5300" w:type="dxa"/>
            <w:vAlign w:val="bottom"/>
          </w:tcPr>
          <w:p>
            <w:pPr>
              <w:spacing w:after="0"/>
              <w:rPr>
                <w:sz w:val="20"/>
                <w:szCs w:val="20"/>
                <w:color w:val="auto"/>
              </w:rPr>
            </w:pPr>
            <w:r>
              <w:rPr>
                <w:rFonts w:ascii="Arial" w:cs="Arial" w:eastAsia="Arial" w:hAnsi="Arial"/>
                <w:sz w:val="17"/>
                <w:szCs w:val="17"/>
                <w:color w:val="auto"/>
              </w:rPr>
              <w:t>Accrual for legal and regulatory matters related to 2017 cybersecurity</w:t>
            </w:r>
          </w:p>
        </w:tc>
        <w:tc>
          <w:tcPr>
            <w:tcW w:w="1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4"/>
        </w:trPr>
        <w:tc>
          <w:tcPr>
            <w:tcW w:w="5300" w:type="dxa"/>
            <w:vAlign w:val="bottom"/>
          </w:tcPr>
          <w:p>
            <w:pPr>
              <w:spacing w:after="0" w:line="254" w:lineRule="exact"/>
              <w:rPr>
                <w:sz w:val="20"/>
                <w:szCs w:val="20"/>
                <w:color w:val="auto"/>
              </w:rPr>
            </w:pPr>
            <w:r>
              <w:rPr>
                <w:rFonts w:ascii="Arial" w:cs="Arial" w:eastAsia="Arial" w:hAnsi="Arial"/>
                <w:sz w:val="17"/>
                <w:szCs w:val="17"/>
                <w:color w:val="auto"/>
              </w:rPr>
              <w:t>incident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14.2</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0.2</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14.0</w:t>
            </w:r>
          </w:p>
        </w:tc>
        <w:tc>
          <w:tcPr>
            <w:tcW w:w="88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11"/>
        </w:trPr>
        <w:tc>
          <w:tcPr>
            <w:tcW w:w="5300" w:type="dxa"/>
            <w:vAlign w:val="bottom"/>
          </w:tcPr>
          <w:p>
            <w:pPr>
              <w:spacing w:after="0"/>
              <w:rPr>
                <w:sz w:val="20"/>
                <w:szCs w:val="20"/>
                <w:color w:val="auto"/>
              </w:rPr>
            </w:pPr>
            <w:r>
              <w:rPr>
                <w:rFonts w:ascii="Arial" w:cs="Arial" w:eastAsia="Arial" w:hAnsi="Arial"/>
                <w:sz w:val="17"/>
                <w:szCs w:val="17"/>
                <w:color w:val="auto"/>
              </w:rPr>
              <w:t>Fair market value adjustment and gain on sale of equity investments</w:t>
            </w:r>
          </w:p>
        </w:tc>
        <w:tc>
          <w:tcPr>
            <w:tcW w:w="1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8"/>
        </w:trPr>
        <w:tc>
          <w:tcPr>
            <w:tcW w:w="5300" w:type="dxa"/>
            <w:vAlign w:val="bottom"/>
          </w:tcPr>
          <w:p>
            <w:pPr>
              <w:spacing w:after="0"/>
              <w:rPr>
                <w:sz w:val="20"/>
                <w:szCs w:val="20"/>
                <w:color w:val="auto"/>
              </w:rPr>
            </w:pPr>
            <w:r>
              <w:rPr>
                <w:rFonts w:ascii="Arial" w:cs="Arial" w:eastAsia="Arial" w:hAnsi="Arial"/>
                <w:sz w:val="14"/>
                <w:szCs w:val="14"/>
                <w:color w:val="auto"/>
              </w:rPr>
              <w:t>(2)</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0.2</w:t>
            </w:r>
          </w:p>
        </w:tc>
        <w:tc>
          <w:tcPr>
            <w:tcW w:w="1380" w:type="dxa"/>
            <w:vAlign w:val="bottom"/>
            <w:gridSpan w:val="2"/>
          </w:tcPr>
          <w:p>
            <w:pPr>
              <w:jc w:val="right"/>
              <w:spacing w:after="0"/>
              <w:rPr>
                <w:sz w:val="20"/>
                <w:szCs w:val="20"/>
                <w:color w:val="auto"/>
              </w:rPr>
            </w:pPr>
            <w:r>
              <w:rPr>
                <w:rFonts w:ascii="Arial" w:cs="Arial" w:eastAsia="Arial" w:hAnsi="Arial"/>
                <w:sz w:val="17"/>
                <w:szCs w:val="17"/>
                <w:color w:val="auto"/>
              </w:rPr>
              <w:t>(17.5)</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17.7</w:t>
            </w:r>
          </w:p>
        </w:tc>
        <w:tc>
          <w:tcPr>
            <w:tcW w:w="88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82"/>
        </w:trPr>
        <w:tc>
          <w:tcPr>
            <w:tcW w:w="5300" w:type="dxa"/>
            <w:vAlign w:val="bottom"/>
          </w:tcPr>
          <w:p>
            <w:pPr>
              <w:spacing w:after="0" w:line="281" w:lineRule="exact"/>
              <w:rPr>
                <w:sz w:val="20"/>
                <w:szCs w:val="20"/>
                <w:color w:val="auto"/>
              </w:rPr>
            </w:pPr>
            <w:r>
              <w:rPr>
                <w:rFonts w:ascii="Arial" w:cs="Arial" w:eastAsia="Arial" w:hAnsi="Arial"/>
                <w:sz w:val="17"/>
                <w:szCs w:val="17"/>
                <w:color w:val="auto"/>
              </w:rPr>
              <w:t>Foreign currency impact of certain intercompany loans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(3)</w:t>
            </w:r>
          </w:p>
        </w:tc>
        <w:tc>
          <w:tcPr>
            <w:tcW w:w="1160" w:type="dxa"/>
            <w:vAlign w:val="bottom"/>
          </w:tcPr>
          <w:p>
            <w:pPr>
              <w:jc w:val="right"/>
              <w:ind w:right="18"/>
              <w:spacing w:after="0"/>
              <w:rPr>
                <w:sz w:val="20"/>
                <w:szCs w:val="20"/>
                <w:color w:val="auto"/>
              </w:rPr>
            </w:pPr>
            <w:r>
              <w:rPr>
                <w:rFonts w:ascii="Arial" w:cs="Arial" w:eastAsia="Arial" w:hAnsi="Arial"/>
                <w:sz w:val="17"/>
                <w:szCs w:val="17"/>
                <w:b w:val="1"/>
                <w:bCs w:val="1"/>
                <w:color w:val="auto"/>
              </w:rPr>
              <w:t>(0.4)</w:t>
            </w:r>
          </w:p>
        </w:tc>
        <w:tc>
          <w:tcPr>
            <w:tcW w:w="1380" w:type="dxa"/>
            <w:vAlign w:val="bottom"/>
            <w:gridSpan w:val="2"/>
          </w:tcPr>
          <w:p>
            <w:pPr>
              <w:jc w:val="right"/>
              <w:ind w:right="18"/>
              <w:spacing w:after="0"/>
              <w:rPr>
                <w:sz w:val="20"/>
                <w:szCs w:val="20"/>
                <w:color w:val="auto"/>
              </w:rPr>
            </w:pPr>
            <w:r>
              <w:rPr>
                <w:rFonts w:ascii="Arial" w:cs="Arial" w:eastAsia="Arial" w:hAnsi="Arial"/>
                <w:sz w:val="17"/>
                <w:szCs w:val="17"/>
                <w:color w:val="auto"/>
              </w:rPr>
              <w:t>(0.5)</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0.1</w:t>
            </w:r>
          </w:p>
        </w:tc>
        <w:tc>
          <w:tcPr>
            <w:tcW w:w="880" w:type="dxa"/>
            <w:vAlign w:val="bottom"/>
          </w:tcPr>
          <w:p>
            <w:pPr>
              <w:jc w:val="right"/>
              <w:spacing w:after="0"/>
              <w:rPr>
                <w:sz w:val="20"/>
                <w:szCs w:val="20"/>
                <w:color w:val="auto"/>
              </w:rPr>
            </w:pPr>
            <w:r>
              <w:rPr>
                <w:rFonts w:ascii="Arial" w:cs="Arial" w:eastAsia="Arial" w:hAnsi="Arial"/>
                <w:sz w:val="17"/>
                <w:szCs w:val="17"/>
                <w:color w:val="auto"/>
              </w:rPr>
              <w:t>(20) %</w:t>
            </w:r>
          </w:p>
        </w:tc>
        <w:tc>
          <w:tcPr>
            <w:tcW w:w="0" w:type="dxa"/>
            <w:vAlign w:val="bottom"/>
          </w:tcPr>
          <w:p>
            <w:pPr>
              <w:spacing w:after="0"/>
              <w:rPr>
                <w:sz w:val="1"/>
                <w:szCs w:val="1"/>
                <w:color w:val="auto"/>
              </w:rPr>
            </w:pPr>
          </w:p>
        </w:tc>
      </w:tr>
      <w:tr>
        <w:trPr>
          <w:trHeight w:val="270"/>
        </w:trPr>
        <w:tc>
          <w:tcPr>
            <w:tcW w:w="5300" w:type="dxa"/>
            <w:vAlign w:val="bottom"/>
          </w:tcPr>
          <w:p>
            <w:pPr>
              <w:spacing w:after="0" w:line="270" w:lineRule="exact"/>
              <w:rPr>
                <w:sz w:val="20"/>
                <w:szCs w:val="20"/>
                <w:color w:val="auto"/>
              </w:rPr>
            </w:pPr>
            <w:r>
              <w:rPr>
                <w:rFonts w:ascii="Arial" w:cs="Arial" w:eastAsia="Arial" w:hAnsi="Arial"/>
                <w:sz w:val="17"/>
                <w:szCs w:val="17"/>
                <w:color w:val="auto"/>
              </w:rPr>
              <w:t>Acquisition-related amounts other than acquisition amortization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(4)</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24.4</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19.1</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5.3</w:t>
            </w:r>
          </w:p>
        </w:tc>
        <w:tc>
          <w:tcPr>
            <w:tcW w:w="880" w:type="dxa"/>
            <w:vAlign w:val="bottom"/>
          </w:tcPr>
          <w:p>
            <w:pPr>
              <w:jc w:val="right"/>
              <w:spacing w:after="0"/>
              <w:rPr>
                <w:sz w:val="20"/>
                <w:szCs w:val="20"/>
                <w:color w:val="auto"/>
              </w:rPr>
            </w:pPr>
            <w:r>
              <w:rPr>
                <w:rFonts w:ascii="Arial" w:cs="Arial" w:eastAsia="Arial" w:hAnsi="Arial"/>
                <w:sz w:val="17"/>
                <w:szCs w:val="17"/>
                <w:color w:val="auto"/>
              </w:rPr>
              <w:t>28 %</w:t>
            </w:r>
          </w:p>
        </w:tc>
        <w:tc>
          <w:tcPr>
            <w:tcW w:w="0" w:type="dxa"/>
            <w:vAlign w:val="bottom"/>
          </w:tcPr>
          <w:p>
            <w:pPr>
              <w:spacing w:after="0"/>
              <w:rPr>
                <w:sz w:val="1"/>
                <w:szCs w:val="1"/>
                <w:color w:val="auto"/>
              </w:rPr>
            </w:pPr>
          </w:p>
        </w:tc>
      </w:tr>
      <w:tr>
        <w:trPr>
          <w:trHeight w:val="270"/>
        </w:trPr>
        <w:tc>
          <w:tcPr>
            <w:tcW w:w="5300" w:type="dxa"/>
            <w:vAlign w:val="bottom"/>
          </w:tcPr>
          <w:p>
            <w:pPr>
              <w:spacing w:after="0" w:line="270" w:lineRule="exact"/>
              <w:rPr>
                <w:sz w:val="20"/>
                <w:szCs w:val="20"/>
                <w:color w:val="auto"/>
              </w:rPr>
            </w:pPr>
            <w:r>
              <w:rPr>
                <w:rFonts w:ascii="Arial" w:cs="Arial" w:eastAsia="Arial" w:hAnsi="Arial"/>
                <w:sz w:val="17"/>
                <w:szCs w:val="17"/>
                <w:color w:val="auto"/>
              </w:rPr>
              <w:t>Argentina highly inflationary foreign currency adjustment</w:t>
            </w:r>
            <w:r>
              <w:rPr>
                <w:rFonts w:ascii="Arial" w:cs="Arial" w:eastAsia="Arial" w:hAnsi="Arial"/>
                <w:sz w:val="27"/>
                <w:szCs w:val="27"/>
                <w:color w:val="auto"/>
              </w:rPr>
              <w:t xml:space="preserve"> </w:t>
            </w:r>
            <w:r>
              <w:rPr>
                <w:rFonts w:ascii="Arial" w:cs="Arial" w:eastAsia="Arial" w:hAnsi="Arial"/>
                <w:sz w:val="27"/>
                <w:szCs w:val="27"/>
                <w:color w:val="auto"/>
                <w:vertAlign w:val="superscript"/>
              </w:rPr>
              <w:t>(5)</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0.4</w:t>
            </w:r>
          </w:p>
        </w:tc>
        <w:tc>
          <w:tcPr>
            <w:tcW w:w="1380" w:type="dxa"/>
            <w:vAlign w:val="bottom"/>
            <w:gridSpan w:val="2"/>
          </w:tcPr>
          <w:p>
            <w:pPr>
              <w:jc w:val="right"/>
              <w:ind w:right="18"/>
              <w:spacing w:after="0"/>
              <w:rPr>
                <w:sz w:val="20"/>
                <w:szCs w:val="20"/>
                <w:color w:val="auto"/>
              </w:rPr>
            </w:pPr>
            <w:r>
              <w:rPr>
                <w:rFonts w:ascii="Arial" w:cs="Arial" w:eastAsia="Arial" w:hAnsi="Arial"/>
                <w:sz w:val="17"/>
                <w:szCs w:val="17"/>
                <w:color w:val="auto"/>
              </w:rPr>
              <w:t>(0.2)</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0.6</w:t>
            </w:r>
          </w:p>
        </w:tc>
        <w:tc>
          <w:tcPr>
            <w:tcW w:w="88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70"/>
        </w:trPr>
        <w:tc>
          <w:tcPr>
            <w:tcW w:w="5300" w:type="dxa"/>
            <w:vAlign w:val="bottom"/>
          </w:tcPr>
          <w:p>
            <w:pPr>
              <w:spacing w:after="0" w:line="270" w:lineRule="exact"/>
              <w:rPr>
                <w:sz w:val="20"/>
                <w:szCs w:val="20"/>
                <w:color w:val="auto"/>
              </w:rPr>
            </w:pPr>
            <w:r>
              <w:rPr>
                <w:rFonts w:ascii="Arial" w:cs="Arial" w:eastAsia="Arial" w:hAnsi="Arial"/>
                <w:sz w:val="17"/>
                <w:szCs w:val="17"/>
                <w:color w:val="auto"/>
              </w:rPr>
              <w:t>Realignment of resources and other costs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(6)</w:t>
            </w:r>
          </w:p>
        </w:tc>
        <w:tc>
          <w:tcPr>
            <w:tcW w:w="1160" w:type="dxa"/>
            <w:vAlign w:val="bottom"/>
          </w:tcPr>
          <w:p>
            <w:pPr>
              <w:jc w:val="right"/>
              <w:ind w:right="18"/>
              <w:spacing w:after="0"/>
              <w:rPr>
                <w:sz w:val="20"/>
                <w:szCs w:val="20"/>
                <w:color w:val="auto"/>
              </w:rPr>
            </w:pPr>
            <w:r>
              <w:rPr>
                <w:rFonts w:ascii="Arial" w:cs="Arial" w:eastAsia="Arial" w:hAnsi="Arial"/>
                <w:sz w:val="17"/>
                <w:szCs w:val="17"/>
                <w:b w:val="1"/>
                <w:bCs w:val="1"/>
                <w:color w:val="auto"/>
              </w:rPr>
              <w:t>(2.3)</w:t>
            </w:r>
          </w:p>
        </w:tc>
        <w:tc>
          <w:tcPr>
            <w:tcW w:w="140" w:type="dxa"/>
            <w:vAlign w:val="bottom"/>
          </w:tcPr>
          <w:p>
            <w:pPr>
              <w:spacing w:after="0"/>
              <w:rPr>
                <w:sz w:val="23"/>
                <w:szCs w:val="23"/>
                <w:color w:val="auto"/>
              </w:rPr>
            </w:pPr>
          </w:p>
        </w:tc>
        <w:tc>
          <w:tcPr>
            <w:tcW w:w="1240" w:type="dxa"/>
            <w:vAlign w:val="bottom"/>
          </w:tcPr>
          <w:p>
            <w:pPr>
              <w:jc w:val="right"/>
              <w:ind w:right="58"/>
              <w:spacing w:after="0"/>
              <w:rPr>
                <w:sz w:val="20"/>
                <w:szCs w:val="20"/>
                <w:color w:val="auto"/>
              </w:rPr>
            </w:pPr>
            <w:r>
              <w:rPr>
                <w:rFonts w:ascii="Arial" w:cs="Arial" w:eastAsia="Arial" w:hAnsi="Arial"/>
                <w:sz w:val="17"/>
                <w:szCs w:val="17"/>
                <w:color w:val="auto"/>
              </w:rPr>
              <w:t>—</w:t>
            </w:r>
          </w:p>
        </w:tc>
        <w:tc>
          <w:tcPr>
            <w:tcW w:w="1060" w:type="dxa"/>
            <w:vAlign w:val="bottom"/>
            <w:gridSpan w:val="2"/>
          </w:tcPr>
          <w:p>
            <w:pPr>
              <w:jc w:val="right"/>
              <w:spacing w:after="0"/>
              <w:rPr>
                <w:sz w:val="20"/>
                <w:szCs w:val="20"/>
                <w:color w:val="auto"/>
              </w:rPr>
            </w:pPr>
            <w:r>
              <w:rPr>
                <w:rFonts w:ascii="Arial" w:cs="Arial" w:eastAsia="Arial" w:hAnsi="Arial"/>
                <w:sz w:val="17"/>
                <w:szCs w:val="17"/>
                <w:color w:val="auto"/>
              </w:rPr>
              <w:t>(2.3)</w:t>
            </w:r>
          </w:p>
        </w:tc>
        <w:tc>
          <w:tcPr>
            <w:tcW w:w="88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252"/>
        </w:trPr>
        <w:tc>
          <w:tcPr>
            <w:tcW w:w="5300" w:type="dxa"/>
            <w:vAlign w:val="bottom"/>
          </w:tcPr>
          <w:p>
            <w:pPr>
              <w:spacing w:after="0" w:line="251" w:lineRule="exact"/>
              <w:rPr>
                <w:sz w:val="20"/>
                <w:szCs w:val="20"/>
                <w:color w:val="auto"/>
              </w:rPr>
            </w:pPr>
            <w:r>
              <w:rPr>
                <w:rFonts w:ascii="Arial" w:cs="Arial" w:eastAsia="Arial" w:hAnsi="Arial"/>
                <w:sz w:val="17"/>
                <w:szCs w:val="17"/>
                <w:color w:val="auto"/>
              </w:rPr>
              <w:t>Gain on settlement of Canada pension plan</w:t>
            </w:r>
            <w:r>
              <w:rPr>
                <w:rFonts w:ascii="Arial" w:cs="Arial" w:eastAsia="Arial" w:hAnsi="Arial"/>
                <w:sz w:val="27"/>
                <w:szCs w:val="27"/>
                <w:color w:val="auto"/>
              </w:rPr>
              <w:t xml:space="preserve"> </w:t>
            </w:r>
            <w:r>
              <w:rPr>
                <w:rFonts w:ascii="Arial" w:cs="Arial" w:eastAsia="Arial" w:hAnsi="Arial"/>
                <w:sz w:val="27"/>
                <w:szCs w:val="27"/>
                <w:color w:val="auto"/>
                <w:vertAlign w:val="superscript"/>
              </w:rPr>
              <w:t>(7)</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18"/>
              <w:spacing w:after="0"/>
              <w:rPr>
                <w:sz w:val="20"/>
                <w:szCs w:val="20"/>
                <w:color w:val="auto"/>
              </w:rPr>
            </w:pPr>
            <w:r>
              <w:rPr>
                <w:rFonts w:ascii="Arial" w:cs="Arial" w:eastAsia="Arial" w:hAnsi="Arial"/>
                <w:sz w:val="17"/>
                <w:szCs w:val="17"/>
                <w:color w:val="auto"/>
              </w:rPr>
              <w:t>(2.2)</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2.2</w:t>
            </w:r>
          </w:p>
        </w:tc>
        <w:tc>
          <w:tcPr>
            <w:tcW w:w="880" w:type="dxa"/>
            <w:vAlign w:val="bottom"/>
          </w:tcPr>
          <w:p>
            <w:pPr>
              <w:jc w:val="right"/>
              <w:spacing w:after="0"/>
              <w:rPr>
                <w:sz w:val="20"/>
                <w:szCs w:val="20"/>
                <w:color w:val="auto"/>
              </w:rPr>
            </w:pPr>
            <w:r>
              <w:rPr>
                <w:rFonts w:ascii="Arial" w:cs="Arial" w:eastAsia="Arial" w:hAnsi="Arial"/>
                <w:sz w:val="17"/>
                <w:szCs w:val="17"/>
                <w:color w:val="auto"/>
              </w:rPr>
              <w:t>nm</w:t>
            </w:r>
          </w:p>
        </w:tc>
        <w:tc>
          <w:tcPr>
            <w:tcW w:w="0" w:type="dxa"/>
            <w:vAlign w:val="bottom"/>
          </w:tcPr>
          <w:p>
            <w:pPr>
              <w:spacing w:after="0"/>
              <w:rPr>
                <w:sz w:val="1"/>
                <w:szCs w:val="1"/>
                <w:color w:val="auto"/>
              </w:rPr>
            </w:pPr>
          </w:p>
        </w:tc>
      </w:tr>
      <w:tr>
        <w:trPr>
          <w:trHeight w:val="195"/>
        </w:trPr>
        <w:tc>
          <w:tcPr>
            <w:tcW w:w="5300" w:type="dxa"/>
            <w:vAlign w:val="bottom"/>
          </w:tcPr>
          <w:p>
            <w:pPr>
              <w:spacing w:after="0"/>
              <w:rPr>
                <w:sz w:val="16"/>
                <w:szCs w:val="16"/>
                <w:color w:val="auto"/>
              </w:rPr>
            </w:pPr>
          </w:p>
        </w:tc>
        <w:tc>
          <w:tcPr>
            <w:tcW w:w="1160" w:type="dxa"/>
            <w:vAlign w:val="bottom"/>
          </w:tcPr>
          <w:p>
            <w:pPr>
              <w:jc w:val="right"/>
              <w:ind w:right="578"/>
              <w:spacing w:after="0"/>
              <w:rPr>
                <w:sz w:val="20"/>
                <w:szCs w:val="20"/>
                <w:color w:val="auto"/>
              </w:rPr>
            </w:pPr>
            <w:r>
              <w:rPr>
                <w:rFonts w:ascii="Arial" w:cs="Arial" w:eastAsia="Arial" w:hAnsi="Arial"/>
                <w:sz w:val="17"/>
                <w:szCs w:val="17"/>
                <w:b w:val="1"/>
                <w:bCs w:val="1"/>
                <w:color w:val="auto"/>
              </w:rPr>
              <w:t>$</w:t>
            </w:r>
          </w:p>
        </w:tc>
        <w:tc>
          <w:tcPr>
            <w:tcW w:w="1380" w:type="dxa"/>
            <w:vAlign w:val="bottom"/>
            <w:gridSpan w:val="2"/>
          </w:tcPr>
          <w:p>
            <w:pPr>
              <w:jc w:val="right"/>
              <w:ind w:right="618"/>
              <w:spacing w:after="0"/>
              <w:rPr>
                <w:sz w:val="20"/>
                <w:szCs w:val="20"/>
                <w:color w:val="auto"/>
              </w:rPr>
            </w:pPr>
            <w:r>
              <w:rPr>
                <w:rFonts w:ascii="Arial" w:cs="Arial" w:eastAsia="Arial" w:hAnsi="Arial"/>
                <w:sz w:val="17"/>
                <w:szCs w:val="17"/>
                <w:color w:val="auto"/>
              </w:rPr>
              <w:t>$</w:t>
            </w:r>
          </w:p>
        </w:tc>
        <w:tc>
          <w:tcPr>
            <w:tcW w:w="1060" w:type="dxa"/>
            <w:vAlign w:val="bottom"/>
            <w:gridSpan w:val="2"/>
          </w:tcPr>
          <w:p>
            <w:pPr>
              <w:jc w:val="right"/>
              <w:ind w:right="478"/>
              <w:spacing w:after="0"/>
              <w:rPr>
                <w:sz w:val="20"/>
                <w:szCs w:val="20"/>
                <w:color w:val="auto"/>
              </w:rPr>
            </w:pPr>
            <w:r>
              <w:rPr>
                <w:rFonts w:ascii="Arial" w:cs="Arial" w:eastAsia="Arial" w:hAnsi="Arial"/>
                <w:sz w:val="17"/>
                <w:szCs w:val="17"/>
                <w:color w:val="auto"/>
              </w:rPr>
              <w:t>$</w:t>
            </w:r>
          </w:p>
        </w:tc>
        <w:tc>
          <w:tcPr>
            <w:tcW w:w="8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5300" w:type="dxa"/>
            <w:vAlign w:val="bottom"/>
          </w:tcPr>
          <w:p>
            <w:pPr>
              <w:spacing w:after="0"/>
              <w:rPr>
                <w:sz w:val="20"/>
                <w:szCs w:val="20"/>
                <w:color w:val="auto"/>
              </w:rPr>
            </w:pPr>
            <w:r>
              <w:rPr>
                <w:rFonts w:ascii="Arial" w:cs="Arial" w:eastAsia="Arial" w:hAnsi="Arial"/>
                <w:sz w:val="17"/>
                <w:szCs w:val="17"/>
                <w:color w:val="auto"/>
              </w:rPr>
              <w:t>Adjusted EBITDA, excluding the items listed above</w:t>
            </w:r>
          </w:p>
        </w:tc>
        <w:tc>
          <w:tcPr>
            <w:tcW w:w="1160" w:type="dxa"/>
            <w:vAlign w:val="bottom"/>
          </w:tcPr>
          <w:p>
            <w:pPr>
              <w:jc w:val="right"/>
              <w:ind w:right="58"/>
              <w:spacing w:after="0"/>
              <w:rPr>
                <w:sz w:val="20"/>
                <w:szCs w:val="20"/>
                <w:color w:val="auto"/>
              </w:rPr>
            </w:pPr>
            <w:r>
              <w:rPr>
                <w:rFonts w:ascii="Arial" w:cs="Arial" w:eastAsia="Arial" w:hAnsi="Arial"/>
                <w:sz w:val="17"/>
                <w:szCs w:val="17"/>
                <w:b w:val="1"/>
                <w:bCs w:val="1"/>
                <w:color w:val="auto"/>
              </w:rPr>
              <w:t>436.1</w:t>
            </w:r>
          </w:p>
        </w:tc>
        <w:tc>
          <w:tcPr>
            <w:tcW w:w="1380" w:type="dxa"/>
            <w:vAlign w:val="bottom"/>
            <w:gridSpan w:val="2"/>
          </w:tcPr>
          <w:p>
            <w:pPr>
              <w:jc w:val="right"/>
              <w:ind w:right="58"/>
              <w:spacing w:after="0"/>
              <w:rPr>
                <w:sz w:val="20"/>
                <w:szCs w:val="20"/>
                <w:color w:val="auto"/>
              </w:rPr>
            </w:pPr>
            <w:r>
              <w:rPr>
                <w:rFonts w:ascii="Arial" w:cs="Arial" w:eastAsia="Arial" w:hAnsi="Arial"/>
                <w:sz w:val="17"/>
                <w:szCs w:val="17"/>
                <w:color w:val="auto"/>
              </w:rPr>
              <w:t>404.9</w:t>
            </w:r>
          </w:p>
        </w:tc>
        <w:tc>
          <w:tcPr>
            <w:tcW w:w="1060" w:type="dxa"/>
            <w:vAlign w:val="bottom"/>
            <w:gridSpan w:val="2"/>
          </w:tcPr>
          <w:p>
            <w:pPr>
              <w:jc w:val="right"/>
              <w:ind w:right="58"/>
              <w:spacing w:after="0"/>
              <w:rPr>
                <w:sz w:val="20"/>
                <w:szCs w:val="20"/>
                <w:color w:val="auto"/>
              </w:rPr>
            </w:pPr>
            <w:r>
              <w:rPr>
                <w:rFonts w:ascii="Arial" w:cs="Arial" w:eastAsia="Arial" w:hAnsi="Arial"/>
                <w:sz w:val="17"/>
                <w:szCs w:val="17"/>
                <w:color w:val="auto"/>
              </w:rPr>
              <w:t>31.2</w:t>
            </w:r>
          </w:p>
        </w:tc>
        <w:tc>
          <w:tcPr>
            <w:tcW w:w="880" w:type="dxa"/>
            <w:vAlign w:val="bottom"/>
          </w:tcPr>
          <w:p>
            <w:pPr>
              <w:jc w:val="right"/>
              <w:spacing w:after="0"/>
              <w:rPr>
                <w:sz w:val="20"/>
                <w:szCs w:val="20"/>
                <w:color w:val="auto"/>
              </w:rPr>
            </w:pPr>
            <w:r>
              <w:rPr>
                <w:rFonts w:ascii="Arial" w:cs="Arial" w:eastAsia="Arial" w:hAnsi="Arial"/>
                <w:sz w:val="17"/>
                <w:szCs w:val="17"/>
                <w:color w:val="auto"/>
              </w:rPr>
              <w:t>8 %</w:t>
            </w:r>
          </w:p>
        </w:tc>
        <w:tc>
          <w:tcPr>
            <w:tcW w:w="0" w:type="dxa"/>
            <w:vAlign w:val="bottom"/>
          </w:tcPr>
          <w:p>
            <w:pPr>
              <w:spacing w:after="0"/>
              <w:rPr>
                <w:sz w:val="1"/>
                <w:szCs w:val="1"/>
                <w:color w:val="auto"/>
              </w:rPr>
            </w:pPr>
          </w:p>
        </w:tc>
      </w:tr>
      <w:tr>
        <w:trPr>
          <w:trHeight w:val="25"/>
        </w:trPr>
        <w:tc>
          <w:tcPr>
            <w:tcW w:w="5300" w:type="dxa"/>
            <w:vAlign w:val="bottom"/>
            <w:vMerge w:val="restart"/>
          </w:tcPr>
          <w:p>
            <w:pPr>
              <w:spacing w:after="0"/>
              <w:rPr>
                <w:sz w:val="20"/>
                <w:szCs w:val="20"/>
                <w:color w:val="auto"/>
              </w:rPr>
            </w:pPr>
            <w:r>
              <w:rPr>
                <w:rFonts w:ascii="Arial" w:cs="Arial" w:eastAsia="Arial" w:hAnsi="Arial"/>
                <w:sz w:val="17"/>
                <w:szCs w:val="17"/>
                <w:color w:val="auto"/>
              </w:rPr>
              <w:t>Adjusted EBITDA margin</w:t>
            </w:r>
          </w:p>
        </w:tc>
        <w:tc>
          <w:tcPr>
            <w:tcW w:w="116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240" w:type="dxa"/>
            <w:vAlign w:val="bottom"/>
            <w:tcBorders>
              <w:top w:val="single" w:sz="8" w:color="auto"/>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920" w:type="dxa"/>
            <w:vAlign w:val="bottom"/>
            <w:tcBorders>
              <w:top w:val="single" w:sz="8" w:color="auto"/>
              <w:bottom w:val="single" w:sz="8" w:color="auto"/>
            </w:tcBorders>
          </w:tcPr>
          <w:p>
            <w:pPr>
              <w:spacing w:after="0"/>
              <w:rPr>
                <w:sz w:val="2"/>
                <w:szCs w:val="2"/>
                <w:color w:val="auto"/>
              </w:rPr>
            </w:pPr>
          </w:p>
        </w:tc>
        <w:tc>
          <w:tcPr>
            <w:tcW w:w="8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6"/>
        </w:trPr>
        <w:tc>
          <w:tcPr>
            <w:tcW w:w="5300" w:type="dxa"/>
            <w:vAlign w:val="bottom"/>
            <w:vMerge w:val="continue"/>
          </w:tcPr>
          <w:p>
            <w:pPr>
              <w:spacing w:after="0"/>
              <w:rPr>
                <w:sz w:val="19"/>
                <w:szCs w:val="19"/>
                <w:color w:val="auto"/>
              </w:rPr>
            </w:pPr>
          </w:p>
        </w:tc>
        <w:tc>
          <w:tcPr>
            <w:tcW w:w="1160" w:type="dxa"/>
            <w:vAlign w:val="bottom"/>
          </w:tcPr>
          <w:p>
            <w:pPr>
              <w:jc w:val="right"/>
              <w:spacing w:after="0"/>
              <w:rPr>
                <w:sz w:val="20"/>
                <w:szCs w:val="20"/>
                <w:color w:val="auto"/>
              </w:rPr>
            </w:pPr>
            <w:r>
              <w:rPr>
                <w:rFonts w:ascii="Arial" w:cs="Arial" w:eastAsia="Arial" w:hAnsi="Arial"/>
                <w:sz w:val="17"/>
                <w:szCs w:val="17"/>
                <w:b w:val="1"/>
                <w:bCs w:val="1"/>
                <w:color w:val="auto"/>
              </w:rPr>
              <w:t>33.1 %</w:t>
            </w:r>
          </w:p>
        </w:tc>
        <w:tc>
          <w:tcPr>
            <w:tcW w:w="14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Arial" w:cs="Arial" w:eastAsia="Arial" w:hAnsi="Arial"/>
                <w:sz w:val="17"/>
                <w:szCs w:val="17"/>
                <w:color w:val="auto"/>
              </w:rPr>
              <w:t>32.5 %</w:t>
            </w:r>
          </w:p>
        </w:tc>
        <w:tc>
          <w:tcPr>
            <w:tcW w:w="1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14" w:lineRule="exact"/>
        <w:rPr>
          <w:sz w:val="20"/>
          <w:szCs w:val="20"/>
          <w:color w:val="auto"/>
        </w:rPr>
      </w:pPr>
    </w:p>
    <w:p>
      <w:pPr>
        <w:spacing w:after="0"/>
        <w:rPr>
          <w:sz w:val="20"/>
          <w:szCs w:val="20"/>
          <w:color w:val="auto"/>
        </w:rPr>
      </w:pPr>
      <w:r>
        <w:rPr>
          <w:rFonts w:ascii="Arial" w:cs="Arial" w:eastAsia="Arial" w:hAnsi="Arial"/>
          <w:sz w:val="17"/>
          <w:szCs w:val="17"/>
          <w:color w:val="auto"/>
        </w:rPr>
        <w:t>nm - not meaningful</w:t>
      </w:r>
    </w:p>
    <w:p>
      <w:pPr>
        <w:spacing w:after="0" w:line="30" w:lineRule="exact"/>
        <w:rPr>
          <w:sz w:val="20"/>
          <w:szCs w:val="20"/>
          <w:color w:val="auto"/>
        </w:rPr>
      </w:pPr>
    </w:p>
    <w:p>
      <w:pPr>
        <w:spacing w:after="0"/>
        <w:rPr>
          <w:sz w:val="20"/>
          <w:szCs w:val="20"/>
          <w:color w:val="auto"/>
        </w:rPr>
      </w:pPr>
      <w:r>
        <w:rPr>
          <w:rFonts w:ascii="Arial" w:cs="Arial" w:eastAsia="Arial" w:hAnsi="Arial"/>
          <w:sz w:val="17"/>
          <w:szCs w:val="17"/>
          <w:color w:val="auto"/>
        </w:rPr>
        <w:t>*Excludes interest income of $6.2 million in 2023 and $0.5 million 2022.</w:t>
      </w:r>
    </w:p>
    <w:p>
      <w:pPr>
        <w:spacing w:after="0" w:line="255" w:lineRule="exact"/>
        <w:rPr>
          <w:sz w:val="20"/>
          <w:szCs w:val="20"/>
          <w:color w:val="auto"/>
        </w:rPr>
      </w:pPr>
    </w:p>
    <w:p>
      <w:pPr>
        <w:ind w:left="280" w:right="60" w:hanging="280"/>
        <w:spacing w:after="0" w:line="247" w:lineRule="auto"/>
        <w:tabs>
          <w:tab w:leader="none" w:pos="280" w:val="left"/>
        </w:tabs>
        <w:numPr>
          <w:ilvl w:val="0"/>
          <w:numId w:val="10"/>
        </w:numPr>
        <w:rPr>
          <w:rFonts w:ascii="Arial" w:cs="Arial" w:eastAsia="Arial" w:hAnsi="Arial"/>
          <w:sz w:val="17"/>
          <w:szCs w:val="17"/>
          <w:color w:val="auto"/>
        </w:rPr>
      </w:pPr>
      <w:r>
        <w:rPr>
          <w:rFonts w:ascii="Arial" w:cs="Arial" w:eastAsia="Arial" w:hAnsi="Arial"/>
          <w:sz w:val="17"/>
          <w:szCs w:val="17"/>
          <w:color w:val="auto"/>
        </w:rPr>
        <w:t>During the third quarter of 2023, we recorded an accrual for legal and regulatory matters related to the 2017 cybersecurity incident of $14.2 million primarily driven by our accrual for a penalty associated with resolution of the investigation of the incident by the Financial Conduct Authority in the United Kingdom. During the third quarter of 2022, we recorded an accrual for legal and regulatory matters related to the 2017 cybersecurity incident of $0.2 million ($0.1 million, net of tax). See the Notes to this reconciliation for additional detail.</w:t>
      </w:r>
    </w:p>
    <w:p>
      <w:pPr>
        <w:spacing w:after="0" w:line="224" w:lineRule="exact"/>
        <w:rPr>
          <w:rFonts w:ascii="Arial" w:cs="Arial" w:eastAsia="Arial" w:hAnsi="Arial"/>
          <w:sz w:val="17"/>
          <w:szCs w:val="17"/>
          <w:color w:val="auto"/>
        </w:rPr>
      </w:pPr>
    </w:p>
    <w:p>
      <w:pPr>
        <w:ind w:left="280" w:hanging="280"/>
        <w:spacing w:after="0"/>
        <w:tabs>
          <w:tab w:leader="none" w:pos="280" w:val="left"/>
        </w:tabs>
        <w:numPr>
          <w:ilvl w:val="0"/>
          <w:numId w:val="10"/>
        </w:numPr>
        <w:rPr>
          <w:rFonts w:ascii="Arial" w:cs="Arial" w:eastAsia="Arial" w:hAnsi="Arial"/>
          <w:sz w:val="17"/>
          <w:szCs w:val="17"/>
          <w:color w:val="auto"/>
        </w:rPr>
      </w:pPr>
      <w:r>
        <w:rPr>
          <w:rFonts w:ascii="Arial" w:cs="Arial" w:eastAsia="Arial" w:hAnsi="Arial"/>
          <w:sz w:val="17"/>
          <w:szCs w:val="17"/>
          <w:color w:val="auto"/>
        </w:rPr>
        <w:t>During the third quarter of 2023, we recorded a loss on the fair market value adjustment of equity investments of $0.2 million</w:t>
      </w:r>
    </w:p>
    <w:p>
      <w:pPr>
        <w:spacing w:after="0" w:line="19" w:lineRule="exact"/>
        <w:rPr>
          <w:rFonts w:ascii="Arial" w:cs="Arial" w:eastAsia="Arial" w:hAnsi="Arial"/>
          <w:sz w:val="17"/>
          <w:szCs w:val="17"/>
          <w:color w:val="auto"/>
        </w:rPr>
      </w:pPr>
    </w:p>
    <w:p>
      <w:pPr>
        <w:ind w:left="280"/>
        <w:spacing w:after="0" w:line="291" w:lineRule="auto"/>
        <w:rPr>
          <w:rFonts w:ascii="Arial" w:cs="Arial" w:eastAsia="Arial" w:hAnsi="Arial"/>
          <w:sz w:val="17"/>
          <w:szCs w:val="17"/>
          <w:color w:val="auto"/>
        </w:rPr>
      </w:pPr>
      <w:r>
        <w:rPr>
          <w:rFonts w:ascii="Arial" w:cs="Arial" w:eastAsia="Arial" w:hAnsi="Arial"/>
          <w:sz w:val="15"/>
          <w:szCs w:val="15"/>
          <w:color w:val="auto"/>
        </w:rPr>
        <w:t>($0.1 million, net of tax). During the third quarter of 2022, we recorded an unrealized gain on the fair market value adjustment and gain on sale of equity investments of $17.5 million ($11.4 million, net of tax). The fair value adjustments were recorded to the Other income, net line item within the Consolidated Statements of Income. See the Notes to this reconciliation for additional details.</w:t>
      </w:r>
    </w:p>
    <w:p>
      <w:pPr>
        <w:spacing w:after="0" w:line="192" w:lineRule="exact"/>
        <w:rPr>
          <w:rFonts w:ascii="Arial" w:cs="Arial" w:eastAsia="Arial" w:hAnsi="Arial"/>
          <w:sz w:val="17"/>
          <w:szCs w:val="17"/>
          <w:color w:val="auto"/>
        </w:rPr>
      </w:pPr>
    </w:p>
    <w:p>
      <w:pPr>
        <w:ind w:left="280" w:hanging="280"/>
        <w:spacing w:after="0" w:line="255" w:lineRule="auto"/>
        <w:tabs>
          <w:tab w:leader="none" w:pos="280" w:val="left"/>
        </w:tabs>
        <w:numPr>
          <w:ilvl w:val="0"/>
          <w:numId w:val="10"/>
        </w:numPr>
        <w:rPr>
          <w:rFonts w:ascii="Arial" w:cs="Arial" w:eastAsia="Arial" w:hAnsi="Arial"/>
          <w:sz w:val="17"/>
          <w:szCs w:val="17"/>
          <w:color w:val="auto"/>
        </w:rPr>
      </w:pPr>
      <w:r>
        <w:rPr>
          <w:rFonts w:ascii="Arial" w:cs="Arial" w:eastAsia="Arial" w:hAnsi="Arial"/>
          <w:sz w:val="17"/>
          <w:szCs w:val="17"/>
          <w:color w:val="auto"/>
        </w:rPr>
        <w:t>During the third quarter of 2023, we recorded a foreign currency gain on certain intercompany loans of $0.4 million. During the third quarter of 2022, we recorded a foreign currency gain on certain intercompany loans of $0.5 million. See the Notes to this reconciliation for additional detail.</w:t>
      </w:r>
    </w:p>
    <w:p>
      <w:pPr>
        <w:spacing w:after="0" w:line="216" w:lineRule="exact"/>
        <w:rPr>
          <w:rFonts w:ascii="Arial" w:cs="Arial" w:eastAsia="Arial" w:hAnsi="Arial"/>
          <w:sz w:val="17"/>
          <w:szCs w:val="17"/>
          <w:color w:val="auto"/>
        </w:rPr>
      </w:pPr>
    </w:p>
    <w:p>
      <w:pPr>
        <w:ind w:left="280" w:right="500" w:hanging="280"/>
        <w:spacing w:after="0" w:line="293" w:lineRule="auto"/>
        <w:tabs>
          <w:tab w:leader="none" w:pos="2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During the third quarter of 2023, we recorded $24.4 million ($19.9 million, net of tax) for acquisition-related costs other than acquisition amortization. During the third quarter of 2022, we recorded $19.1 million ($14.4 million, net of tax) for acquisition-related costs other than acquisition amortization. These costs primarily related to integration costs resulting from recent acquisition activity and were recorded in operating income. See the Notes to this reconciliation for additional detail.</w:t>
      </w:r>
    </w:p>
    <w:p>
      <w:pPr>
        <w:spacing w:after="0" w:line="192" w:lineRule="exact"/>
        <w:rPr>
          <w:rFonts w:ascii="Arial" w:cs="Arial" w:eastAsia="Arial" w:hAnsi="Arial"/>
          <w:sz w:val="15"/>
          <w:szCs w:val="15"/>
          <w:color w:val="auto"/>
        </w:rPr>
      </w:pPr>
    </w:p>
    <w:p>
      <w:pPr>
        <w:ind w:left="280" w:right="60" w:hanging="280"/>
        <w:spacing w:after="0" w:line="247" w:lineRule="auto"/>
        <w:tabs>
          <w:tab w:leader="none" w:pos="280" w:val="left"/>
        </w:tabs>
        <w:numPr>
          <w:ilvl w:val="0"/>
          <w:numId w:val="10"/>
        </w:numPr>
        <w:rPr>
          <w:rFonts w:ascii="Arial" w:cs="Arial" w:eastAsia="Arial" w:hAnsi="Arial"/>
          <w:sz w:val="17"/>
          <w:szCs w:val="17"/>
          <w:color w:val="auto"/>
        </w:rPr>
      </w:pPr>
      <w:r>
        <w:rPr>
          <w:rFonts w:ascii="Arial" w:cs="Arial" w:eastAsia="Arial" w:hAnsi="Arial"/>
          <w:sz w:val="17"/>
          <w:szCs w:val="17"/>
          <w:color w:val="auto"/>
        </w:rPr>
        <w:t>Argentina experienced multiple periods of increasing inflation rates, devaluation of the peso, and increasing borrowing rates. As such, Argentina was deemed a highly inflationary economy by accounting policymakers in 2018. During the third quarter of 2023 and 2022, we recorded a foreign currency loss of $0.4 million and a foreign currency gain of $0.2 million, respectively, related to the impact of remeasuring the peso denominated monetary assets and liabilities as a result of Argentina being a highly inflationary economy. See the Notes to this reconciliation for additional detail.</w:t>
      </w:r>
    </w:p>
    <w:p>
      <w:pPr>
        <w:spacing w:after="0" w:line="224" w:lineRule="exact"/>
        <w:rPr>
          <w:rFonts w:ascii="Arial" w:cs="Arial" w:eastAsia="Arial" w:hAnsi="Arial"/>
          <w:sz w:val="17"/>
          <w:szCs w:val="17"/>
          <w:color w:val="auto"/>
        </w:rPr>
      </w:pPr>
    </w:p>
    <w:p>
      <w:pPr>
        <w:ind w:left="280" w:right="260" w:hanging="280"/>
        <w:spacing w:after="0" w:line="255" w:lineRule="auto"/>
        <w:tabs>
          <w:tab w:leader="none" w:pos="280" w:val="left"/>
        </w:tabs>
        <w:numPr>
          <w:ilvl w:val="0"/>
          <w:numId w:val="10"/>
        </w:numPr>
        <w:rPr>
          <w:rFonts w:ascii="Arial" w:cs="Arial" w:eastAsia="Arial" w:hAnsi="Arial"/>
          <w:sz w:val="17"/>
          <w:szCs w:val="17"/>
          <w:color w:val="auto"/>
        </w:rPr>
      </w:pPr>
      <w:r>
        <w:rPr>
          <w:rFonts w:ascii="Arial" w:cs="Arial" w:eastAsia="Arial" w:hAnsi="Arial"/>
          <w:sz w:val="17"/>
          <w:szCs w:val="17"/>
          <w:color w:val="auto"/>
        </w:rPr>
        <w:t>During the third quarter of 2023, we recorded an adjustment of $2.3 million ($1.7 million, net of tax) to previous restructuring charges as we refined our estimate for the realignment of resources and other costs recorded in Q2 2023. See the Notes to this reconciliation for additional detail.</w:t>
      </w:r>
    </w:p>
    <w:p>
      <w:pPr>
        <w:spacing w:after="0" w:line="216" w:lineRule="exact"/>
        <w:rPr>
          <w:rFonts w:ascii="Arial" w:cs="Arial" w:eastAsia="Arial" w:hAnsi="Arial"/>
          <w:sz w:val="17"/>
          <w:szCs w:val="17"/>
          <w:color w:val="auto"/>
        </w:rPr>
      </w:pPr>
    </w:p>
    <w:p>
      <w:pPr>
        <w:ind w:left="280" w:right="80" w:hanging="280"/>
        <w:spacing w:after="0" w:line="305" w:lineRule="auto"/>
        <w:tabs>
          <w:tab w:leader="none" w:pos="280" w:val="left"/>
        </w:tabs>
        <w:numPr>
          <w:ilvl w:val="0"/>
          <w:numId w:val="10"/>
        </w:numPr>
        <w:rPr>
          <w:rFonts w:ascii="Arial" w:cs="Arial" w:eastAsia="Arial" w:hAnsi="Arial"/>
          <w:sz w:val="15"/>
          <w:szCs w:val="15"/>
          <w:color w:val="auto"/>
        </w:rPr>
      </w:pPr>
      <w:r>
        <w:rPr>
          <w:rFonts w:ascii="Arial" w:cs="Arial" w:eastAsia="Arial" w:hAnsi="Arial"/>
          <w:sz w:val="15"/>
          <w:szCs w:val="15"/>
          <w:color w:val="auto"/>
        </w:rPr>
        <w:t>During the third quarter of 2022, we recorded a gain on the settlement of Canada pension plan of $2.2 million ($3.1 million, net of tax). We received a tax deduction for the settlement payments made resulting in a tax benefit. The impact is recorded to the Other income, net line item within the Consolidated Statements of Income. See the Notes to this reconciliation for additional details.</w:t>
      </w:r>
    </w:p>
    <w:p>
      <w:pPr>
        <w:sectPr>
          <w:pgSz w:w="12240" w:h="15840" w:orient="portrait"/>
          <w:cols w:equalWidth="0" w:num="1">
            <w:col w:w="9800"/>
          </w:cols>
          <w:pgMar w:left="1260" w:top="1073" w:right="1180" w:bottom="867" w:gutter="0" w:footer="0" w:header="0"/>
        </w:sectPr>
      </w:pPr>
    </w:p>
    <w:bookmarkStart w:id="12" w:name="page13"/>
    <w:bookmarkEnd w:id="12"/>
    <w:p>
      <w:pPr>
        <w:spacing w:after="0" w:line="255" w:lineRule="auto"/>
        <w:tabs>
          <w:tab w:leader="none" w:pos="506" w:val="left"/>
        </w:tabs>
        <w:numPr>
          <w:ilvl w:val="0"/>
          <w:numId w:val="11"/>
        </w:numPr>
        <w:rPr>
          <w:rFonts w:ascii="Arial" w:cs="Arial" w:eastAsia="Arial" w:hAnsi="Arial"/>
          <w:sz w:val="24"/>
          <w:szCs w:val="24"/>
          <w:b w:val="1"/>
          <w:bCs w:val="1"/>
          <w:color w:val="auto"/>
        </w:rPr>
      </w:pPr>
      <w:r>
        <w:rPr>
          <w:rFonts w:ascii="Arial" w:cs="Arial" w:eastAsia="Arial" w:hAnsi="Arial"/>
          <w:sz w:val="24"/>
          <w:szCs w:val="24"/>
          <w:b w:val="1"/>
          <w:bCs w:val="1"/>
          <w:color w:val="auto"/>
        </w:rPr>
        <w:t>Reconciliation of operating income by segment to Adjusted EBITDA, excluding depreciation and amortization expense, other income, net, noncontrolling interest, accrual for legal and regulatory matters related to the 2017 cybersecurity incident, fair value adjustment and gain on sale of equity investments, foreign currency impact of certain intercompany loans, acquisition-related costs other than acquisition amortization, Argentina highly inflationary foreign currency adjustment, realignment of resources and other costs, gain on settlement of Canada pension and presentation of adjusted EBITDA margin for each of the segments: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60" w:type="dxa"/>
        <w:tblCellMar>
          <w:top w:w="0" w:type="dxa"/>
          <w:left w:w="0" w:type="dxa"/>
          <w:bottom w:w="0" w:type="dxa"/>
          <w:right w:w="0" w:type="dxa"/>
        </w:tblCellMar>
      </w:tblPr>
      <w:tr>
        <w:trPr>
          <w:trHeight w:val="225"/>
        </w:trPr>
        <w:tc>
          <w:tcPr>
            <w:tcW w:w="2360" w:type="dxa"/>
            <w:vAlign w:val="bottom"/>
          </w:tcPr>
          <w:p>
            <w:pPr>
              <w:spacing w:after="0"/>
              <w:rPr>
                <w:sz w:val="20"/>
                <w:szCs w:val="20"/>
                <w:color w:val="auto"/>
              </w:rPr>
            </w:pPr>
            <w:r>
              <w:rPr>
                <w:rFonts w:ascii="Arial" w:cs="Arial" w:eastAsia="Arial" w:hAnsi="Arial"/>
                <w:sz w:val="17"/>
                <w:szCs w:val="17"/>
                <w:i w:val="1"/>
                <w:iCs w:val="1"/>
                <w:color w:val="auto"/>
              </w:rPr>
              <w:t>(In millions)</w:t>
            </w:r>
          </w:p>
        </w:tc>
        <w:tc>
          <w:tcPr>
            <w:tcW w:w="13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160" w:type="dxa"/>
            <w:vAlign w:val="bottom"/>
            <w:gridSpan w:val="5"/>
          </w:tcPr>
          <w:p>
            <w:pPr>
              <w:ind w:left="280"/>
              <w:spacing w:after="0"/>
              <w:rPr>
                <w:sz w:val="20"/>
                <w:szCs w:val="20"/>
                <w:color w:val="auto"/>
              </w:rPr>
            </w:pPr>
            <w:r>
              <w:rPr>
                <w:rFonts w:ascii="Arial" w:cs="Arial" w:eastAsia="Arial" w:hAnsi="Arial"/>
                <w:sz w:val="17"/>
                <w:szCs w:val="17"/>
                <w:b w:val="1"/>
                <w:bCs w:val="1"/>
                <w:color w:val="auto"/>
              </w:rPr>
              <w:t>Three Months Ended September 30, 2023</w:t>
            </w:r>
          </w:p>
        </w:tc>
        <w:tc>
          <w:tcPr>
            <w:tcW w:w="360" w:type="dxa"/>
            <w:vAlign w:val="bottom"/>
          </w:tcPr>
          <w:p>
            <w:pPr>
              <w:spacing w:after="0"/>
              <w:rPr>
                <w:sz w:val="19"/>
                <w:szCs w:val="19"/>
                <w:color w:val="auto"/>
              </w:rPr>
            </w:pPr>
          </w:p>
        </w:tc>
        <w:tc>
          <w:tcPr>
            <w:tcW w:w="940" w:type="dxa"/>
            <w:vAlign w:val="bottom"/>
          </w:tcPr>
          <w:p>
            <w:pPr>
              <w:spacing w:after="0"/>
              <w:rPr>
                <w:sz w:val="19"/>
                <w:szCs w:val="19"/>
                <w:color w:val="auto"/>
              </w:rPr>
            </w:pPr>
          </w:p>
        </w:tc>
      </w:tr>
      <w:tr>
        <w:trPr>
          <w:trHeight w:val="195"/>
        </w:trPr>
        <w:tc>
          <w:tcPr>
            <w:tcW w:w="236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100" w:type="dxa"/>
            <w:vAlign w:val="bottom"/>
          </w:tcPr>
          <w:p>
            <w:pPr>
              <w:jc w:val="center"/>
              <w:ind w:right="218"/>
              <w:spacing w:after="0"/>
              <w:rPr>
                <w:sz w:val="20"/>
                <w:szCs w:val="20"/>
                <w:color w:val="auto"/>
              </w:rPr>
            </w:pPr>
            <w:r>
              <w:rPr>
                <w:rFonts w:ascii="Arial" w:cs="Arial" w:eastAsia="Arial" w:hAnsi="Arial"/>
                <w:sz w:val="17"/>
                <w:szCs w:val="17"/>
                <w:b w:val="1"/>
                <w:bCs w:val="1"/>
                <w:color w:val="auto"/>
                <w:w w:val="96"/>
              </w:rPr>
              <w:t>U.S.</w:t>
            </w: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ind w:left="160"/>
              <w:spacing w:after="0"/>
              <w:rPr>
                <w:sz w:val="20"/>
                <w:szCs w:val="20"/>
                <w:color w:val="auto"/>
              </w:rPr>
            </w:pPr>
            <w:r>
              <w:rPr>
                <w:rFonts w:ascii="Arial" w:cs="Arial" w:eastAsia="Arial" w:hAnsi="Arial"/>
                <w:sz w:val="17"/>
                <w:szCs w:val="17"/>
                <w:b w:val="1"/>
                <w:bCs w:val="1"/>
                <w:color w:val="auto"/>
              </w:rPr>
              <w:t>General</w:t>
            </w: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195"/>
        </w:trPr>
        <w:tc>
          <w:tcPr>
            <w:tcW w:w="2360" w:type="dxa"/>
            <w:vAlign w:val="bottom"/>
          </w:tcPr>
          <w:p>
            <w:pPr>
              <w:spacing w:after="0"/>
              <w:rPr>
                <w:sz w:val="16"/>
                <w:szCs w:val="16"/>
                <w:color w:val="auto"/>
              </w:rPr>
            </w:pPr>
          </w:p>
        </w:tc>
        <w:tc>
          <w:tcPr>
            <w:tcW w:w="1320" w:type="dxa"/>
            <w:vAlign w:val="bottom"/>
          </w:tcPr>
          <w:p>
            <w:pPr>
              <w:jc w:val="center"/>
              <w:ind w:right="38"/>
              <w:spacing w:after="0"/>
              <w:rPr>
                <w:sz w:val="20"/>
                <w:szCs w:val="20"/>
                <w:color w:val="auto"/>
              </w:rPr>
            </w:pPr>
            <w:r>
              <w:rPr>
                <w:rFonts w:ascii="Arial" w:cs="Arial" w:eastAsia="Arial" w:hAnsi="Arial"/>
                <w:sz w:val="17"/>
                <w:szCs w:val="17"/>
                <w:b w:val="1"/>
                <w:bCs w:val="1"/>
                <w:color w:val="auto"/>
                <w:w w:val="95"/>
              </w:rPr>
              <w:t>Workforce</w:t>
            </w:r>
          </w:p>
        </w:tc>
        <w:tc>
          <w:tcPr>
            <w:tcW w:w="1360" w:type="dxa"/>
            <w:vAlign w:val="bottom"/>
            <w:gridSpan w:val="2"/>
          </w:tcPr>
          <w:p>
            <w:pPr>
              <w:jc w:val="center"/>
              <w:spacing w:after="0"/>
              <w:rPr>
                <w:sz w:val="20"/>
                <w:szCs w:val="20"/>
                <w:color w:val="auto"/>
              </w:rPr>
            </w:pPr>
            <w:r>
              <w:rPr>
                <w:rFonts w:ascii="Arial" w:cs="Arial" w:eastAsia="Arial" w:hAnsi="Arial"/>
                <w:sz w:val="17"/>
                <w:szCs w:val="17"/>
                <w:b w:val="1"/>
                <w:bCs w:val="1"/>
                <w:color w:val="auto"/>
                <w:w w:val="96"/>
              </w:rPr>
              <w:t>Information</w:t>
            </w: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jc w:val="right"/>
              <w:ind w:right="318"/>
              <w:spacing w:after="0"/>
              <w:rPr>
                <w:sz w:val="20"/>
                <w:szCs w:val="20"/>
                <w:color w:val="auto"/>
              </w:rPr>
            </w:pPr>
            <w:r>
              <w:rPr>
                <w:rFonts w:ascii="Arial" w:cs="Arial" w:eastAsia="Arial" w:hAnsi="Arial"/>
                <w:sz w:val="17"/>
                <w:szCs w:val="17"/>
                <w:b w:val="1"/>
                <w:bCs w:val="1"/>
                <w:color w:val="auto"/>
              </w:rPr>
              <w:t>Corporate</w:t>
            </w: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225"/>
        </w:trPr>
        <w:tc>
          <w:tcPr>
            <w:tcW w:w="2360" w:type="dxa"/>
            <w:vAlign w:val="bottom"/>
          </w:tcPr>
          <w:p>
            <w:pPr>
              <w:spacing w:after="0"/>
              <w:rPr>
                <w:sz w:val="19"/>
                <w:szCs w:val="19"/>
                <w:color w:val="auto"/>
              </w:rPr>
            </w:pPr>
          </w:p>
        </w:tc>
        <w:tc>
          <w:tcPr>
            <w:tcW w:w="1320" w:type="dxa"/>
            <w:vAlign w:val="bottom"/>
          </w:tcPr>
          <w:p>
            <w:pPr>
              <w:jc w:val="center"/>
              <w:spacing w:after="0"/>
              <w:rPr>
                <w:sz w:val="20"/>
                <w:szCs w:val="20"/>
                <w:color w:val="auto"/>
              </w:rPr>
            </w:pPr>
            <w:r>
              <w:rPr>
                <w:rFonts w:ascii="Arial" w:cs="Arial" w:eastAsia="Arial" w:hAnsi="Arial"/>
                <w:sz w:val="17"/>
                <w:szCs w:val="17"/>
                <w:b w:val="1"/>
                <w:bCs w:val="1"/>
                <w:color w:val="auto"/>
                <w:w w:val="98"/>
              </w:rPr>
              <w:t>Solutions</w:t>
            </w:r>
          </w:p>
        </w:tc>
        <w:tc>
          <w:tcPr>
            <w:tcW w:w="260" w:type="dxa"/>
            <w:vAlign w:val="bottom"/>
          </w:tcPr>
          <w:p>
            <w:pPr>
              <w:spacing w:after="0"/>
              <w:rPr>
                <w:sz w:val="19"/>
                <w:szCs w:val="19"/>
                <w:color w:val="auto"/>
              </w:rPr>
            </w:pPr>
          </w:p>
        </w:tc>
        <w:tc>
          <w:tcPr>
            <w:tcW w:w="1100" w:type="dxa"/>
            <w:vAlign w:val="bottom"/>
          </w:tcPr>
          <w:p>
            <w:pPr>
              <w:jc w:val="center"/>
              <w:ind w:right="198"/>
              <w:spacing w:after="0"/>
              <w:rPr>
                <w:sz w:val="20"/>
                <w:szCs w:val="20"/>
                <w:color w:val="auto"/>
              </w:rPr>
            </w:pPr>
            <w:r>
              <w:rPr>
                <w:rFonts w:ascii="Arial" w:cs="Arial" w:eastAsia="Arial" w:hAnsi="Arial"/>
                <w:sz w:val="17"/>
                <w:szCs w:val="17"/>
                <w:b w:val="1"/>
                <w:bCs w:val="1"/>
                <w:color w:val="auto"/>
                <w:w w:val="95"/>
              </w:rPr>
              <w:t>Solutions</w:t>
            </w:r>
          </w:p>
        </w:tc>
        <w:tc>
          <w:tcPr>
            <w:tcW w:w="1480" w:type="dxa"/>
            <w:vAlign w:val="bottom"/>
            <w:gridSpan w:val="2"/>
          </w:tcPr>
          <w:p>
            <w:pPr>
              <w:jc w:val="right"/>
              <w:ind w:right="198"/>
              <w:spacing w:after="0"/>
              <w:rPr>
                <w:sz w:val="20"/>
                <w:szCs w:val="20"/>
                <w:color w:val="auto"/>
              </w:rPr>
            </w:pPr>
            <w:r>
              <w:rPr>
                <w:rFonts w:ascii="Arial" w:cs="Arial" w:eastAsia="Arial" w:hAnsi="Arial"/>
                <w:sz w:val="17"/>
                <w:szCs w:val="17"/>
                <w:b w:val="1"/>
                <w:bCs w:val="1"/>
                <w:color w:val="auto"/>
              </w:rPr>
              <w:t>International</w:t>
            </w:r>
          </w:p>
        </w:tc>
        <w:tc>
          <w:tcPr>
            <w:tcW w:w="340" w:type="dxa"/>
            <w:vAlign w:val="bottom"/>
          </w:tcPr>
          <w:p>
            <w:pPr>
              <w:spacing w:after="0"/>
              <w:rPr>
                <w:sz w:val="19"/>
                <w:szCs w:val="19"/>
                <w:color w:val="auto"/>
              </w:rPr>
            </w:pPr>
          </w:p>
        </w:tc>
        <w:tc>
          <w:tcPr>
            <w:tcW w:w="1240" w:type="dxa"/>
            <w:vAlign w:val="bottom"/>
          </w:tcPr>
          <w:p>
            <w:pPr>
              <w:ind w:left="140"/>
              <w:spacing w:after="0"/>
              <w:rPr>
                <w:sz w:val="20"/>
                <w:szCs w:val="20"/>
                <w:color w:val="auto"/>
              </w:rPr>
            </w:pPr>
            <w:r>
              <w:rPr>
                <w:rFonts w:ascii="Arial" w:cs="Arial" w:eastAsia="Arial" w:hAnsi="Arial"/>
                <w:sz w:val="17"/>
                <w:szCs w:val="17"/>
                <w:b w:val="1"/>
                <w:bCs w:val="1"/>
                <w:color w:val="auto"/>
              </w:rPr>
              <w:t>Expense</w:t>
            </w:r>
          </w:p>
        </w:tc>
        <w:tc>
          <w:tcPr>
            <w:tcW w:w="360" w:type="dxa"/>
            <w:vAlign w:val="bottom"/>
          </w:tcPr>
          <w:p>
            <w:pPr>
              <w:spacing w:after="0"/>
              <w:rPr>
                <w:sz w:val="19"/>
                <w:szCs w:val="19"/>
                <w:color w:val="auto"/>
              </w:rPr>
            </w:pPr>
          </w:p>
        </w:tc>
        <w:tc>
          <w:tcPr>
            <w:tcW w:w="940" w:type="dxa"/>
            <w:vAlign w:val="bottom"/>
          </w:tcPr>
          <w:p>
            <w:pPr>
              <w:jc w:val="right"/>
              <w:ind w:right="318"/>
              <w:spacing w:after="0"/>
              <w:rPr>
                <w:sz w:val="20"/>
                <w:szCs w:val="20"/>
                <w:color w:val="auto"/>
              </w:rPr>
            </w:pPr>
            <w:r>
              <w:rPr>
                <w:rFonts w:ascii="Arial" w:cs="Arial" w:eastAsia="Arial" w:hAnsi="Arial"/>
                <w:sz w:val="17"/>
                <w:szCs w:val="17"/>
                <w:b w:val="1"/>
                <w:bCs w:val="1"/>
                <w:color w:val="auto"/>
              </w:rPr>
              <w:t>Total</w:t>
            </w:r>
          </w:p>
        </w:tc>
      </w:tr>
      <w:tr>
        <w:trPr>
          <w:trHeight w:val="195"/>
        </w:trPr>
        <w:tc>
          <w:tcPr>
            <w:tcW w:w="2360" w:type="dxa"/>
            <w:vAlign w:val="bottom"/>
          </w:tcPr>
          <w:p>
            <w:pPr>
              <w:spacing w:after="0"/>
              <w:rPr>
                <w:sz w:val="16"/>
                <w:szCs w:val="16"/>
                <w:color w:val="auto"/>
              </w:rPr>
            </w:pPr>
          </w:p>
        </w:tc>
        <w:tc>
          <w:tcPr>
            <w:tcW w:w="1320" w:type="dxa"/>
            <w:vAlign w:val="bottom"/>
          </w:tcPr>
          <w:p>
            <w:pPr>
              <w:jc w:val="right"/>
              <w:ind w:right="638"/>
              <w:spacing w:after="0"/>
              <w:rPr>
                <w:sz w:val="20"/>
                <w:szCs w:val="20"/>
                <w:color w:val="auto"/>
              </w:rPr>
            </w:pPr>
            <w:r>
              <w:rPr>
                <w:rFonts w:ascii="Arial" w:cs="Arial" w:eastAsia="Arial" w:hAnsi="Arial"/>
                <w:sz w:val="17"/>
                <w:szCs w:val="17"/>
                <w:b w:val="1"/>
                <w:bCs w:val="1"/>
                <w:color w:val="auto"/>
              </w:rPr>
              <w:t>$</w:t>
            </w:r>
          </w:p>
        </w:tc>
        <w:tc>
          <w:tcPr>
            <w:tcW w:w="26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Revenue</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577.2</w:t>
            </w:r>
          </w:p>
        </w:tc>
        <w:tc>
          <w:tcPr>
            <w:tcW w:w="260" w:type="dxa"/>
            <w:vAlign w:val="bottom"/>
          </w:tcPr>
          <w:p>
            <w:pPr>
              <w:jc w:val="right"/>
              <w:spacing w:after="0"/>
              <w:rPr>
                <w:sz w:val="20"/>
                <w:szCs w:val="20"/>
                <w:color w:val="auto"/>
              </w:rPr>
            </w:pPr>
            <w:r>
              <w:rPr>
                <w:rFonts w:ascii="Arial" w:cs="Arial" w:eastAsia="Arial" w:hAnsi="Arial"/>
                <w:sz w:val="17"/>
                <w:szCs w:val="17"/>
                <w:b w:val="1"/>
                <w:bCs w:val="1"/>
                <w:color w:val="auto"/>
              </w:rPr>
              <w:t>$</w:t>
            </w:r>
          </w:p>
        </w:tc>
        <w:tc>
          <w:tcPr>
            <w:tcW w:w="1100" w:type="dxa"/>
            <w:vAlign w:val="bottom"/>
          </w:tcPr>
          <w:p>
            <w:pPr>
              <w:jc w:val="right"/>
              <w:ind w:right="138"/>
              <w:spacing w:after="0"/>
              <w:rPr>
                <w:sz w:val="20"/>
                <w:szCs w:val="20"/>
                <w:color w:val="auto"/>
              </w:rPr>
            </w:pPr>
            <w:r>
              <w:rPr>
                <w:rFonts w:ascii="Arial" w:cs="Arial" w:eastAsia="Arial" w:hAnsi="Arial"/>
                <w:sz w:val="17"/>
                <w:szCs w:val="17"/>
                <w:b w:val="1"/>
                <w:bCs w:val="1"/>
                <w:color w:val="auto"/>
              </w:rPr>
              <w:t>426.0</w:t>
            </w:r>
          </w:p>
        </w:tc>
        <w:tc>
          <w:tcPr>
            <w:tcW w:w="420" w:type="dxa"/>
            <w:vAlign w:val="bottom"/>
          </w:tcPr>
          <w:p>
            <w:pPr>
              <w:jc w:val="right"/>
              <w:ind w:right="78"/>
              <w:spacing w:after="0"/>
              <w:rPr>
                <w:sz w:val="20"/>
                <w:szCs w:val="20"/>
                <w:color w:val="auto"/>
              </w:rPr>
            </w:pPr>
            <w:r>
              <w:rPr>
                <w:rFonts w:ascii="Arial" w:cs="Arial" w:eastAsia="Arial" w:hAnsi="Arial"/>
                <w:sz w:val="17"/>
                <w:szCs w:val="17"/>
                <w:b w:val="1"/>
                <w:bCs w:val="1"/>
                <w:color w:val="auto"/>
              </w:rPr>
              <w:t>$</w:t>
            </w:r>
          </w:p>
        </w:tc>
        <w:tc>
          <w:tcPr>
            <w:tcW w:w="1060" w:type="dxa"/>
            <w:vAlign w:val="bottom"/>
          </w:tcPr>
          <w:p>
            <w:pPr>
              <w:jc w:val="right"/>
              <w:ind w:right="218"/>
              <w:spacing w:after="0"/>
              <w:rPr>
                <w:sz w:val="20"/>
                <w:szCs w:val="20"/>
                <w:color w:val="auto"/>
              </w:rPr>
            </w:pPr>
            <w:r>
              <w:rPr>
                <w:rFonts w:ascii="Arial" w:cs="Arial" w:eastAsia="Arial" w:hAnsi="Arial"/>
                <w:sz w:val="17"/>
                <w:szCs w:val="17"/>
                <w:b w:val="1"/>
                <w:bCs w:val="1"/>
                <w:color w:val="auto"/>
              </w:rPr>
              <w:t>315.9</w:t>
            </w:r>
          </w:p>
        </w:tc>
        <w:tc>
          <w:tcPr>
            <w:tcW w:w="340" w:type="dxa"/>
            <w:vAlign w:val="bottom"/>
          </w:tcPr>
          <w:p>
            <w:pPr>
              <w:spacing w:after="0"/>
              <w:rPr>
                <w:sz w:val="19"/>
                <w:szCs w:val="19"/>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b w:val="1"/>
                <w:bCs w:val="1"/>
                <w:color w:val="auto"/>
              </w:rPr>
              <w:t>—</w:t>
            </w:r>
          </w:p>
        </w:tc>
        <w:tc>
          <w:tcPr>
            <w:tcW w:w="360" w:type="dxa"/>
            <w:vAlign w:val="bottom"/>
          </w:tcPr>
          <w:p>
            <w:pPr>
              <w:jc w:val="right"/>
              <w:ind w:right="78"/>
              <w:spacing w:after="0"/>
              <w:rPr>
                <w:sz w:val="20"/>
                <w:szCs w:val="20"/>
                <w:color w:val="auto"/>
              </w:rPr>
            </w:pPr>
            <w:r>
              <w:rPr>
                <w:rFonts w:ascii="Arial" w:cs="Arial" w:eastAsia="Arial" w:hAnsi="Arial"/>
                <w:sz w:val="17"/>
                <w:szCs w:val="17"/>
                <w:b w:val="1"/>
                <w:bCs w:val="1"/>
                <w:color w:val="auto"/>
              </w:rPr>
              <w:t>$</w:t>
            </w:r>
          </w:p>
        </w:tc>
        <w:tc>
          <w:tcPr>
            <w:tcW w:w="940" w:type="dxa"/>
            <w:vAlign w:val="bottom"/>
          </w:tcPr>
          <w:p>
            <w:pPr>
              <w:jc w:val="right"/>
              <w:ind w:right="38"/>
              <w:spacing w:after="0"/>
              <w:rPr>
                <w:sz w:val="20"/>
                <w:szCs w:val="20"/>
                <w:color w:val="auto"/>
              </w:rPr>
            </w:pPr>
            <w:r>
              <w:rPr>
                <w:rFonts w:ascii="Arial" w:cs="Arial" w:eastAsia="Arial" w:hAnsi="Arial"/>
                <w:sz w:val="17"/>
                <w:szCs w:val="17"/>
                <w:b w:val="1"/>
                <w:bCs w:val="1"/>
                <w:color w:val="auto"/>
              </w:rPr>
              <w:t>1,319.1</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Operating income</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241.2</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b w:val="1"/>
                <w:bCs w:val="1"/>
                <w:color w:val="auto"/>
              </w:rPr>
              <w:t>89.7</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b w:val="1"/>
                <w:bCs w:val="1"/>
                <w:color w:val="auto"/>
              </w:rPr>
              <w:t>40.2</w:t>
            </w:r>
          </w:p>
        </w:tc>
        <w:tc>
          <w:tcPr>
            <w:tcW w:w="340" w:type="dxa"/>
            <w:vAlign w:val="bottom"/>
          </w:tcPr>
          <w:p>
            <w:pPr>
              <w:spacing w:after="0"/>
              <w:rPr>
                <w:sz w:val="19"/>
                <w:szCs w:val="19"/>
                <w:color w:val="auto"/>
              </w:rPr>
            </w:pPr>
          </w:p>
        </w:tc>
        <w:tc>
          <w:tcPr>
            <w:tcW w:w="1240" w:type="dxa"/>
            <w:vAlign w:val="bottom"/>
          </w:tcPr>
          <w:p>
            <w:pPr>
              <w:jc w:val="right"/>
              <w:ind w:right="98"/>
              <w:spacing w:after="0"/>
              <w:rPr>
                <w:sz w:val="20"/>
                <w:szCs w:val="20"/>
                <w:color w:val="auto"/>
              </w:rPr>
            </w:pPr>
            <w:r>
              <w:rPr>
                <w:rFonts w:ascii="Arial" w:cs="Arial" w:eastAsia="Arial" w:hAnsi="Arial"/>
                <w:sz w:val="17"/>
                <w:szCs w:val="17"/>
                <w:b w:val="1"/>
                <w:bCs w:val="1"/>
                <w:color w:val="auto"/>
              </w:rPr>
              <w:t>(124.7)</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b w:val="1"/>
                <w:bCs w:val="1"/>
                <w:color w:val="auto"/>
              </w:rPr>
              <w:t>246.4</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Depreciation and amortization</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44.2</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b w:val="1"/>
                <w:bCs w:val="1"/>
                <w:color w:val="auto"/>
              </w:rPr>
              <w:t>51.1</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b w:val="1"/>
                <w:bCs w:val="1"/>
                <w:color w:val="auto"/>
              </w:rPr>
              <w:t>39.7</w:t>
            </w:r>
          </w:p>
        </w:tc>
        <w:tc>
          <w:tcPr>
            <w:tcW w:w="340" w:type="dxa"/>
            <w:vAlign w:val="bottom"/>
          </w:tcPr>
          <w:p>
            <w:pPr>
              <w:spacing w:after="0"/>
              <w:rPr>
                <w:sz w:val="19"/>
                <w:szCs w:val="19"/>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b w:val="1"/>
                <w:bCs w:val="1"/>
                <w:color w:val="auto"/>
              </w:rPr>
              <w:t>19.4</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b w:val="1"/>
                <w:bCs w:val="1"/>
                <w:color w:val="auto"/>
              </w:rPr>
              <w:t>154.4</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Other income, net*</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w:t>
            </w:r>
          </w:p>
        </w:tc>
        <w:tc>
          <w:tcPr>
            <w:tcW w:w="260" w:type="dxa"/>
            <w:vAlign w:val="bottom"/>
          </w:tcPr>
          <w:p>
            <w:pPr>
              <w:spacing w:after="0"/>
              <w:rPr>
                <w:sz w:val="19"/>
                <w:szCs w:val="19"/>
                <w:color w:val="auto"/>
              </w:rPr>
            </w:pPr>
          </w:p>
        </w:tc>
        <w:tc>
          <w:tcPr>
            <w:tcW w:w="1100" w:type="dxa"/>
            <w:vAlign w:val="bottom"/>
          </w:tcPr>
          <w:p>
            <w:pPr>
              <w:jc w:val="right"/>
              <w:ind w:right="98"/>
              <w:spacing w:after="0"/>
              <w:rPr>
                <w:sz w:val="20"/>
                <w:szCs w:val="20"/>
                <w:color w:val="auto"/>
              </w:rPr>
            </w:pPr>
            <w:r>
              <w:rPr>
                <w:rFonts w:ascii="Arial" w:cs="Arial" w:eastAsia="Arial" w:hAnsi="Arial"/>
                <w:sz w:val="17"/>
                <w:szCs w:val="17"/>
                <w:b w:val="1"/>
                <w:bCs w:val="1"/>
                <w:color w:val="auto"/>
              </w:rPr>
              <w:t>(0.2)</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b w:val="1"/>
                <w:bCs w:val="1"/>
                <w:color w:val="auto"/>
              </w:rPr>
              <w:t>1.9</w:t>
            </w:r>
          </w:p>
        </w:tc>
        <w:tc>
          <w:tcPr>
            <w:tcW w:w="340" w:type="dxa"/>
            <w:vAlign w:val="bottom"/>
          </w:tcPr>
          <w:p>
            <w:pPr>
              <w:spacing w:after="0"/>
              <w:rPr>
                <w:sz w:val="19"/>
                <w:szCs w:val="19"/>
                <w:color w:val="auto"/>
              </w:rPr>
            </w:pPr>
          </w:p>
        </w:tc>
        <w:tc>
          <w:tcPr>
            <w:tcW w:w="1240" w:type="dxa"/>
            <w:vAlign w:val="bottom"/>
          </w:tcPr>
          <w:p>
            <w:pPr>
              <w:jc w:val="right"/>
              <w:ind w:right="98"/>
              <w:spacing w:after="0"/>
              <w:rPr>
                <w:sz w:val="20"/>
                <w:szCs w:val="20"/>
                <w:color w:val="auto"/>
              </w:rPr>
            </w:pPr>
            <w:r>
              <w:rPr>
                <w:rFonts w:ascii="Arial" w:cs="Arial" w:eastAsia="Arial" w:hAnsi="Arial"/>
                <w:sz w:val="17"/>
                <w:szCs w:val="17"/>
                <w:b w:val="1"/>
                <w:bCs w:val="1"/>
                <w:color w:val="auto"/>
              </w:rPr>
              <w:t>(0.8)</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b w:val="1"/>
                <w:bCs w:val="1"/>
                <w:color w:val="auto"/>
              </w:rPr>
              <w:t>0.9</w:t>
            </w:r>
          </w:p>
        </w:tc>
      </w:tr>
      <w:tr>
        <w:trPr>
          <w:trHeight w:val="231"/>
        </w:trPr>
        <w:tc>
          <w:tcPr>
            <w:tcW w:w="2360" w:type="dxa"/>
            <w:vAlign w:val="bottom"/>
          </w:tcPr>
          <w:p>
            <w:pPr>
              <w:spacing w:after="0"/>
              <w:rPr>
                <w:sz w:val="20"/>
                <w:szCs w:val="20"/>
                <w:color w:val="auto"/>
              </w:rPr>
            </w:pPr>
            <w:r>
              <w:rPr>
                <w:rFonts w:ascii="Arial" w:cs="Arial" w:eastAsia="Arial" w:hAnsi="Arial"/>
                <w:sz w:val="17"/>
                <w:szCs w:val="17"/>
                <w:color w:val="auto"/>
              </w:rPr>
              <w:t>Noncontrolling interest</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w:t>
            </w:r>
          </w:p>
        </w:tc>
        <w:tc>
          <w:tcPr>
            <w:tcW w:w="260" w:type="dxa"/>
            <w:vAlign w:val="bottom"/>
          </w:tcPr>
          <w:p>
            <w:pPr>
              <w:spacing w:after="0"/>
              <w:rPr>
                <w:sz w:val="20"/>
                <w:szCs w:val="20"/>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b w:val="1"/>
                <w:bCs w:val="1"/>
                <w:color w:val="auto"/>
              </w:rPr>
              <w:t>—</w:t>
            </w:r>
          </w:p>
        </w:tc>
        <w:tc>
          <w:tcPr>
            <w:tcW w:w="420" w:type="dxa"/>
            <w:vAlign w:val="bottom"/>
          </w:tcPr>
          <w:p>
            <w:pPr>
              <w:spacing w:after="0"/>
              <w:rPr>
                <w:sz w:val="20"/>
                <w:szCs w:val="20"/>
                <w:color w:val="auto"/>
              </w:rPr>
            </w:pPr>
          </w:p>
        </w:tc>
        <w:tc>
          <w:tcPr>
            <w:tcW w:w="1060" w:type="dxa"/>
            <w:vAlign w:val="bottom"/>
          </w:tcPr>
          <w:p>
            <w:pPr>
              <w:jc w:val="right"/>
              <w:ind w:right="178"/>
              <w:spacing w:after="0"/>
              <w:rPr>
                <w:sz w:val="20"/>
                <w:szCs w:val="20"/>
                <w:color w:val="auto"/>
              </w:rPr>
            </w:pPr>
            <w:r>
              <w:rPr>
                <w:rFonts w:ascii="Arial" w:cs="Arial" w:eastAsia="Arial" w:hAnsi="Arial"/>
                <w:sz w:val="17"/>
                <w:szCs w:val="17"/>
                <w:b w:val="1"/>
                <w:bCs w:val="1"/>
                <w:color w:val="auto"/>
              </w:rPr>
              <w:t>(2.1)</w:t>
            </w:r>
          </w:p>
        </w:tc>
        <w:tc>
          <w:tcPr>
            <w:tcW w:w="340" w:type="dxa"/>
            <w:vAlign w:val="bottom"/>
          </w:tcPr>
          <w:p>
            <w:pPr>
              <w:spacing w:after="0"/>
              <w:rPr>
                <w:sz w:val="20"/>
                <w:szCs w:val="20"/>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b w:val="1"/>
                <w:bCs w:val="1"/>
                <w:color w:val="auto"/>
              </w:rPr>
              <w:t>—</w:t>
            </w:r>
          </w:p>
        </w:tc>
        <w:tc>
          <w:tcPr>
            <w:tcW w:w="360" w:type="dxa"/>
            <w:vAlign w:val="bottom"/>
          </w:tcPr>
          <w:p>
            <w:pPr>
              <w:spacing w:after="0"/>
              <w:rPr>
                <w:sz w:val="20"/>
                <w:szCs w:val="20"/>
                <w:color w:val="auto"/>
              </w:rPr>
            </w:pPr>
          </w:p>
        </w:tc>
        <w:tc>
          <w:tcPr>
            <w:tcW w:w="940" w:type="dxa"/>
            <w:vAlign w:val="bottom"/>
          </w:tcPr>
          <w:p>
            <w:pPr>
              <w:jc w:val="right"/>
              <w:spacing w:after="0"/>
              <w:rPr>
                <w:sz w:val="20"/>
                <w:szCs w:val="20"/>
                <w:color w:val="auto"/>
              </w:rPr>
            </w:pPr>
            <w:r>
              <w:rPr>
                <w:rFonts w:ascii="Arial" w:cs="Arial" w:eastAsia="Arial" w:hAnsi="Arial"/>
                <w:sz w:val="17"/>
                <w:szCs w:val="17"/>
                <w:b w:val="1"/>
                <w:bCs w:val="1"/>
                <w:color w:val="auto"/>
              </w:rPr>
              <w:t>(2.1)</w:t>
            </w:r>
          </w:p>
        </w:tc>
      </w:tr>
      <w:tr>
        <w:trPr>
          <w:trHeight w:val="264"/>
        </w:trPr>
        <w:tc>
          <w:tcPr>
            <w:tcW w:w="2360" w:type="dxa"/>
            <w:vAlign w:val="bottom"/>
          </w:tcPr>
          <w:p>
            <w:pPr>
              <w:spacing w:after="0" w:line="263" w:lineRule="exact"/>
              <w:rPr>
                <w:sz w:val="20"/>
                <w:szCs w:val="20"/>
                <w:color w:val="auto"/>
              </w:rPr>
            </w:pPr>
            <w:r>
              <w:rPr>
                <w:rFonts w:ascii="Arial" w:cs="Arial" w:eastAsia="Arial" w:hAnsi="Arial"/>
                <w:sz w:val="17"/>
                <w:szCs w:val="17"/>
                <w:color w:val="auto"/>
              </w:rPr>
              <w:t>Adjustments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8.3</w:t>
            </w:r>
          </w:p>
        </w:tc>
        <w:tc>
          <w:tcPr>
            <w:tcW w:w="260" w:type="dxa"/>
            <w:vAlign w:val="bottom"/>
          </w:tcPr>
          <w:p>
            <w:pPr>
              <w:spacing w:after="0"/>
              <w:rPr>
                <w:sz w:val="22"/>
                <w:szCs w:val="22"/>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b w:val="1"/>
                <w:bCs w:val="1"/>
                <w:color w:val="auto"/>
              </w:rPr>
              <w:t>5.2</w:t>
            </w:r>
          </w:p>
        </w:tc>
        <w:tc>
          <w:tcPr>
            <w:tcW w:w="420" w:type="dxa"/>
            <w:vAlign w:val="bottom"/>
          </w:tcPr>
          <w:p>
            <w:pPr>
              <w:spacing w:after="0"/>
              <w:rPr>
                <w:sz w:val="22"/>
                <w:szCs w:val="22"/>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b w:val="1"/>
                <w:bCs w:val="1"/>
                <w:color w:val="auto"/>
              </w:rPr>
              <w:t>3.2</w:t>
            </w:r>
          </w:p>
        </w:tc>
        <w:tc>
          <w:tcPr>
            <w:tcW w:w="340" w:type="dxa"/>
            <w:vAlign w:val="bottom"/>
          </w:tcPr>
          <w:p>
            <w:pPr>
              <w:spacing w:after="0"/>
              <w:rPr>
                <w:sz w:val="22"/>
                <w:szCs w:val="22"/>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b w:val="1"/>
                <w:bCs w:val="1"/>
                <w:color w:val="auto"/>
              </w:rPr>
              <w:t>19.8</w:t>
            </w:r>
          </w:p>
        </w:tc>
        <w:tc>
          <w:tcPr>
            <w:tcW w:w="360" w:type="dxa"/>
            <w:vAlign w:val="bottom"/>
          </w:tcPr>
          <w:p>
            <w:pPr>
              <w:spacing w:after="0"/>
              <w:rPr>
                <w:sz w:val="22"/>
                <w:szCs w:val="22"/>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b w:val="1"/>
                <w:bCs w:val="1"/>
                <w:color w:val="auto"/>
              </w:rPr>
              <w:t>36.5</w:t>
            </w:r>
          </w:p>
        </w:tc>
      </w:tr>
      <w:tr>
        <w:trPr>
          <w:trHeight w:val="195"/>
        </w:trPr>
        <w:tc>
          <w:tcPr>
            <w:tcW w:w="2360" w:type="dxa"/>
            <w:vAlign w:val="bottom"/>
          </w:tcPr>
          <w:p>
            <w:pPr>
              <w:spacing w:after="0"/>
              <w:rPr>
                <w:sz w:val="16"/>
                <w:szCs w:val="16"/>
                <w:color w:val="auto"/>
              </w:rPr>
            </w:pPr>
          </w:p>
        </w:tc>
        <w:tc>
          <w:tcPr>
            <w:tcW w:w="1320" w:type="dxa"/>
            <w:vAlign w:val="bottom"/>
          </w:tcPr>
          <w:p>
            <w:pPr>
              <w:jc w:val="right"/>
              <w:ind w:right="638"/>
              <w:spacing w:after="0"/>
              <w:rPr>
                <w:sz w:val="20"/>
                <w:szCs w:val="20"/>
                <w:color w:val="auto"/>
              </w:rPr>
            </w:pPr>
            <w:r>
              <w:rPr>
                <w:rFonts w:ascii="Arial" w:cs="Arial" w:eastAsia="Arial" w:hAnsi="Arial"/>
                <w:sz w:val="17"/>
                <w:szCs w:val="17"/>
                <w:b w:val="1"/>
                <w:bCs w:val="1"/>
                <w:color w:val="auto"/>
              </w:rPr>
              <w:t>$</w:t>
            </w:r>
          </w:p>
        </w:tc>
        <w:tc>
          <w:tcPr>
            <w:tcW w:w="26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Adjusted EBITDA</w:t>
            </w:r>
          </w:p>
        </w:tc>
        <w:tc>
          <w:tcPr>
            <w:tcW w:w="1320" w:type="dxa"/>
            <w:vAlign w:val="bottom"/>
          </w:tcPr>
          <w:p>
            <w:pPr>
              <w:jc w:val="right"/>
              <w:ind w:right="178"/>
              <w:spacing w:after="0"/>
              <w:rPr>
                <w:sz w:val="20"/>
                <w:szCs w:val="20"/>
                <w:color w:val="auto"/>
              </w:rPr>
            </w:pPr>
            <w:r>
              <w:rPr>
                <w:rFonts w:ascii="Arial" w:cs="Arial" w:eastAsia="Arial" w:hAnsi="Arial"/>
                <w:sz w:val="17"/>
                <w:szCs w:val="17"/>
                <w:b w:val="1"/>
                <w:bCs w:val="1"/>
                <w:color w:val="auto"/>
              </w:rPr>
              <w:t>293.7</w:t>
            </w:r>
          </w:p>
        </w:tc>
        <w:tc>
          <w:tcPr>
            <w:tcW w:w="260" w:type="dxa"/>
            <w:vAlign w:val="bottom"/>
          </w:tcPr>
          <w:p>
            <w:pPr>
              <w:jc w:val="right"/>
              <w:spacing w:after="0"/>
              <w:rPr>
                <w:sz w:val="20"/>
                <w:szCs w:val="20"/>
                <w:color w:val="auto"/>
              </w:rPr>
            </w:pPr>
            <w:r>
              <w:rPr>
                <w:rFonts w:ascii="Arial" w:cs="Arial" w:eastAsia="Arial" w:hAnsi="Arial"/>
                <w:sz w:val="17"/>
                <w:szCs w:val="17"/>
                <w:b w:val="1"/>
                <w:bCs w:val="1"/>
                <w:color w:val="auto"/>
              </w:rPr>
              <w:t>$</w:t>
            </w:r>
          </w:p>
        </w:tc>
        <w:tc>
          <w:tcPr>
            <w:tcW w:w="1100" w:type="dxa"/>
            <w:vAlign w:val="bottom"/>
          </w:tcPr>
          <w:p>
            <w:pPr>
              <w:jc w:val="right"/>
              <w:ind w:right="138"/>
              <w:spacing w:after="0"/>
              <w:rPr>
                <w:sz w:val="20"/>
                <w:szCs w:val="20"/>
                <w:color w:val="auto"/>
              </w:rPr>
            </w:pPr>
            <w:r>
              <w:rPr>
                <w:rFonts w:ascii="Arial" w:cs="Arial" w:eastAsia="Arial" w:hAnsi="Arial"/>
                <w:sz w:val="17"/>
                <w:szCs w:val="17"/>
                <w:b w:val="1"/>
                <w:bCs w:val="1"/>
                <w:color w:val="auto"/>
              </w:rPr>
              <w:t>145.8</w:t>
            </w:r>
          </w:p>
        </w:tc>
        <w:tc>
          <w:tcPr>
            <w:tcW w:w="420" w:type="dxa"/>
            <w:vAlign w:val="bottom"/>
          </w:tcPr>
          <w:p>
            <w:pPr>
              <w:jc w:val="right"/>
              <w:ind w:right="78"/>
              <w:spacing w:after="0"/>
              <w:rPr>
                <w:sz w:val="20"/>
                <w:szCs w:val="20"/>
                <w:color w:val="auto"/>
              </w:rPr>
            </w:pPr>
            <w:r>
              <w:rPr>
                <w:rFonts w:ascii="Arial" w:cs="Arial" w:eastAsia="Arial" w:hAnsi="Arial"/>
                <w:sz w:val="17"/>
                <w:szCs w:val="17"/>
                <w:b w:val="1"/>
                <w:bCs w:val="1"/>
                <w:color w:val="auto"/>
              </w:rPr>
              <w:t>$</w:t>
            </w:r>
          </w:p>
        </w:tc>
        <w:tc>
          <w:tcPr>
            <w:tcW w:w="1060" w:type="dxa"/>
            <w:vAlign w:val="bottom"/>
          </w:tcPr>
          <w:p>
            <w:pPr>
              <w:jc w:val="right"/>
              <w:ind w:right="218"/>
              <w:spacing w:after="0"/>
              <w:rPr>
                <w:sz w:val="20"/>
                <w:szCs w:val="20"/>
                <w:color w:val="auto"/>
              </w:rPr>
            </w:pPr>
            <w:r>
              <w:rPr>
                <w:rFonts w:ascii="Arial" w:cs="Arial" w:eastAsia="Arial" w:hAnsi="Arial"/>
                <w:sz w:val="17"/>
                <w:szCs w:val="17"/>
                <w:b w:val="1"/>
                <w:bCs w:val="1"/>
                <w:color w:val="auto"/>
              </w:rPr>
              <w:t>82.9</w:t>
            </w:r>
          </w:p>
        </w:tc>
        <w:tc>
          <w:tcPr>
            <w:tcW w:w="340" w:type="dxa"/>
            <w:vAlign w:val="bottom"/>
          </w:tcPr>
          <w:p>
            <w:pPr>
              <w:jc w:val="right"/>
              <w:spacing w:after="0"/>
              <w:rPr>
                <w:sz w:val="20"/>
                <w:szCs w:val="20"/>
                <w:color w:val="auto"/>
              </w:rPr>
            </w:pPr>
            <w:r>
              <w:rPr>
                <w:rFonts w:ascii="Arial" w:cs="Arial" w:eastAsia="Arial" w:hAnsi="Arial"/>
                <w:sz w:val="17"/>
                <w:szCs w:val="17"/>
                <w:b w:val="1"/>
                <w:bCs w:val="1"/>
                <w:color w:val="auto"/>
              </w:rPr>
              <w:t>$</w:t>
            </w:r>
          </w:p>
        </w:tc>
        <w:tc>
          <w:tcPr>
            <w:tcW w:w="1240" w:type="dxa"/>
            <w:vAlign w:val="bottom"/>
          </w:tcPr>
          <w:p>
            <w:pPr>
              <w:jc w:val="right"/>
              <w:ind w:right="98"/>
              <w:spacing w:after="0"/>
              <w:rPr>
                <w:sz w:val="20"/>
                <w:szCs w:val="20"/>
                <w:color w:val="auto"/>
              </w:rPr>
            </w:pPr>
            <w:r>
              <w:rPr>
                <w:rFonts w:ascii="Arial" w:cs="Arial" w:eastAsia="Arial" w:hAnsi="Arial"/>
                <w:sz w:val="17"/>
                <w:szCs w:val="17"/>
                <w:b w:val="1"/>
                <w:bCs w:val="1"/>
                <w:color w:val="auto"/>
              </w:rPr>
              <w:t>(86.3)</w:t>
            </w:r>
          </w:p>
        </w:tc>
        <w:tc>
          <w:tcPr>
            <w:tcW w:w="360" w:type="dxa"/>
            <w:vAlign w:val="bottom"/>
          </w:tcPr>
          <w:p>
            <w:pPr>
              <w:jc w:val="right"/>
              <w:ind w:right="38"/>
              <w:spacing w:after="0"/>
              <w:rPr>
                <w:sz w:val="20"/>
                <w:szCs w:val="20"/>
                <w:color w:val="auto"/>
              </w:rPr>
            </w:pPr>
            <w:r>
              <w:rPr>
                <w:rFonts w:ascii="Arial" w:cs="Arial" w:eastAsia="Arial" w:hAnsi="Arial"/>
                <w:sz w:val="17"/>
                <w:szCs w:val="17"/>
                <w:b w:val="1"/>
                <w:bCs w:val="1"/>
                <w:color w:val="auto"/>
              </w:rPr>
              <w:t>$</w:t>
            </w:r>
          </w:p>
        </w:tc>
        <w:tc>
          <w:tcPr>
            <w:tcW w:w="940" w:type="dxa"/>
            <w:vAlign w:val="bottom"/>
          </w:tcPr>
          <w:p>
            <w:pPr>
              <w:jc w:val="right"/>
              <w:ind w:right="38"/>
              <w:spacing w:after="0"/>
              <w:rPr>
                <w:sz w:val="20"/>
                <w:szCs w:val="20"/>
                <w:color w:val="auto"/>
              </w:rPr>
            </w:pPr>
            <w:r>
              <w:rPr>
                <w:rFonts w:ascii="Arial" w:cs="Arial" w:eastAsia="Arial" w:hAnsi="Arial"/>
                <w:sz w:val="17"/>
                <w:szCs w:val="17"/>
                <w:b w:val="1"/>
                <w:bCs w:val="1"/>
                <w:color w:val="auto"/>
              </w:rPr>
              <w:t>436.1</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Operating margin</w:t>
            </w:r>
          </w:p>
        </w:tc>
        <w:tc>
          <w:tcPr>
            <w:tcW w:w="1320" w:type="dxa"/>
            <w:vAlign w:val="bottom"/>
          </w:tcPr>
          <w:p>
            <w:pPr>
              <w:jc w:val="right"/>
              <w:ind w:right="58"/>
              <w:spacing w:after="0"/>
              <w:rPr>
                <w:sz w:val="20"/>
                <w:szCs w:val="20"/>
                <w:color w:val="auto"/>
              </w:rPr>
            </w:pPr>
            <w:r>
              <w:rPr>
                <w:rFonts w:ascii="Arial" w:cs="Arial" w:eastAsia="Arial" w:hAnsi="Arial"/>
                <w:sz w:val="17"/>
                <w:szCs w:val="17"/>
                <w:b w:val="1"/>
                <w:bCs w:val="1"/>
                <w:color w:val="auto"/>
              </w:rPr>
              <w:t>41.8 %</w:t>
            </w:r>
          </w:p>
        </w:tc>
        <w:tc>
          <w:tcPr>
            <w:tcW w:w="260" w:type="dxa"/>
            <w:vAlign w:val="bottom"/>
          </w:tcPr>
          <w:p>
            <w:pPr>
              <w:spacing w:after="0"/>
              <w:rPr>
                <w:sz w:val="19"/>
                <w:szCs w:val="19"/>
                <w:color w:val="auto"/>
              </w:rPr>
            </w:pPr>
          </w:p>
        </w:tc>
        <w:tc>
          <w:tcPr>
            <w:tcW w:w="1100" w:type="dxa"/>
            <w:vAlign w:val="bottom"/>
          </w:tcPr>
          <w:p>
            <w:pPr>
              <w:jc w:val="right"/>
              <w:ind w:right="18"/>
              <w:spacing w:after="0"/>
              <w:rPr>
                <w:sz w:val="20"/>
                <w:szCs w:val="20"/>
                <w:color w:val="auto"/>
              </w:rPr>
            </w:pPr>
            <w:r>
              <w:rPr>
                <w:rFonts w:ascii="Arial" w:cs="Arial" w:eastAsia="Arial" w:hAnsi="Arial"/>
                <w:sz w:val="17"/>
                <w:szCs w:val="17"/>
                <w:b w:val="1"/>
                <w:bCs w:val="1"/>
                <w:color w:val="auto"/>
              </w:rPr>
              <w:t>21.1 %</w:t>
            </w:r>
          </w:p>
        </w:tc>
        <w:tc>
          <w:tcPr>
            <w:tcW w:w="420" w:type="dxa"/>
            <w:vAlign w:val="bottom"/>
          </w:tcPr>
          <w:p>
            <w:pPr>
              <w:spacing w:after="0"/>
              <w:rPr>
                <w:sz w:val="19"/>
                <w:szCs w:val="19"/>
                <w:color w:val="auto"/>
              </w:rPr>
            </w:pPr>
          </w:p>
        </w:tc>
        <w:tc>
          <w:tcPr>
            <w:tcW w:w="1060" w:type="dxa"/>
            <w:vAlign w:val="bottom"/>
          </w:tcPr>
          <w:p>
            <w:pPr>
              <w:jc w:val="right"/>
              <w:ind w:right="98"/>
              <w:spacing w:after="0"/>
              <w:rPr>
                <w:sz w:val="20"/>
                <w:szCs w:val="20"/>
                <w:color w:val="auto"/>
              </w:rPr>
            </w:pPr>
            <w:r>
              <w:rPr>
                <w:rFonts w:ascii="Arial" w:cs="Arial" w:eastAsia="Arial" w:hAnsi="Arial"/>
                <w:sz w:val="17"/>
                <w:szCs w:val="17"/>
                <w:b w:val="1"/>
                <w:bCs w:val="1"/>
                <w:color w:val="auto"/>
              </w:rPr>
              <w:t>12.7 %</w:t>
            </w:r>
          </w:p>
        </w:tc>
        <w:tc>
          <w:tcPr>
            <w:tcW w:w="340" w:type="dxa"/>
            <w:vAlign w:val="bottom"/>
          </w:tcPr>
          <w:p>
            <w:pPr>
              <w:spacing w:after="0"/>
              <w:rPr>
                <w:sz w:val="19"/>
                <w:szCs w:val="19"/>
                <w:color w:val="auto"/>
              </w:rPr>
            </w:pPr>
          </w:p>
        </w:tc>
        <w:tc>
          <w:tcPr>
            <w:tcW w:w="1240" w:type="dxa"/>
            <w:vAlign w:val="bottom"/>
          </w:tcPr>
          <w:p>
            <w:pPr>
              <w:jc w:val="right"/>
              <w:ind w:right="38"/>
              <w:spacing w:after="0"/>
              <w:rPr>
                <w:sz w:val="20"/>
                <w:szCs w:val="20"/>
                <w:color w:val="auto"/>
              </w:rPr>
            </w:pPr>
            <w:r>
              <w:rPr>
                <w:rFonts w:ascii="Arial" w:cs="Arial" w:eastAsia="Arial" w:hAnsi="Arial"/>
                <w:sz w:val="17"/>
                <w:szCs w:val="17"/>
                <w:b w:val="1"/>
                <w:bCs w:val="1"/>
                <w:color w:val="auto"/>
              </w:rPr>
              <w:t>nm</w:t>
            </w:r>
          </w:p>
        </w:tc>
        <w:tc>
          <w:tcPr>
            <w:tcW w:w="36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Arial" w:cs="Arial" w:eastAsia="Arial" w:hAnsi="Arial"/>
                <w:sz w:val="17"/>
                <w:szCs w:val="17"/>
                <w:b w:val="1"/>
                <w:bCs w:val="1"/>
                <w:color w:val="auto"/>
              </w:rPr>
              <w:t>18.7 %</w:t>
            </w:r>
          </w:p>
        </w:tc>
      </w:tr>
      <w:tr>
        <w:trPr>
          <w:trHeight w:val="231"/>
        </w:trPr>
        <w:tc>
          <w:tcPr>
            <w:tcW w:w="2360" w:type="dxa"/>
            <w:vAlign w:val="bottom"/>
          </w:tcPr>
          <w:p>
            <w:pPr>
              <w:spacing w:after="0"/>
              <w:rPr>
                <w:sz w:val="20"/>
                <w:szCs w:val="20"/>
                <w:color w:val="auto"/>
              </w:rPr>
            </w:pPr>
            <w:r>
              <w:rPr>
                <w:rFonts w:ascii="Arial" w:cs="Arial" w:eastAsia="Arial" w:hAnsi="Arial"/>
                <w:sz w:val="17"/>
                <w:szCs w:val="17"/>
                <w:color w:val="auto"/>
              </w:rPr>
              <w:t>Adjusted EBITDA margin</w:t>
            </w:r>
          </w:p>
        </w:tc>
        <w:tc>
          <w:tcPr>
            <w:tcW w:w="1320" w:type="dxa"/>
            <w:vAlign w:val="bottom"/>
          </w:tcPr>
          <w:p>
            <w:pPr>
              <w:jc w:val="right"/>
              <w:ind w:right="58"/>
              <w:spacing w:after="0"/>
              <w:rPr>
                <w:sz w:val="20"/>
                <w:szCs w:val="20"/>
                <w:color w:val="auto"/>
              </w:rPr>
            </w:pPr>
            <w:r>
              <w:rPr>
                <w:rFonts w:ascii="Arial" w:cs="Arial" w:eastAsia="Arial" w:hAnsi="Arial"/>
                <w:sz w:val="17"/>
                <w:szCs w:val="17"/>
                <w:b w:val="1"/>
                <w:bCs w:val="1"/>
                <w:color w:val="auto"/>
              </w:rPr>
              <w:t>50.9 %</w:t>
            </w:r>
          </w:p>
        </w:tc>
        <w:tc>
          <w:tcPr>
            <w:tcW w:w="260" w:type="dxa"/>
            <w:vAlign w:val="bottom"/>
          </w:tcPr>
          <w:p>
            <w:pPr>
              <w:spacing w:after="0"/>
              <w:rPr>
                <w:sz w:val="20"/>
                <w:szCs w:val="20"/>
                <w:color w:val="auto"/>
              </w:rPr>
            </w:pPr>
          </w:p>
        </w:tc>
        <w:tc>
          <w:tcPr>
            <w:tcW w:w="1100" w:type="dxa"/>
            <w:vAlign w:val="bottom"/>
          </w:tcPr>
          <w:p>
            <w:pPr>
              <w:jc w:val="right"/>
              <w:ind w:right="18"/>
              <w:spacing w:after="0"/>
              <w:rPr>
                <w:sz w:val="20"/>
                <w:szCs w:val="20"/>
                <w:color w:val="auto"/>
              </w:rPr>
            </w:pPr>
            <w:r>
              <w:rPr>
                <w:rFonts w:ascii="Arial" w:cs="Arial" w:eastAsia="Arial" w:hAnsi="Arial"/>
                <w:sz w:val="17"/>
                <w:szCs w:val="17"/>
                <w:b w:val="1"/>
                <w:bCs w:val="1"/>
                <w:color w:val="auto"/>
              </w:rPr>
              <w:t>34.2 %</w:t>
            </w:r>
          </w:p>
        </w:tc>
        <w:tc>
          <w:tcPr>
            <w:tcW w:w="420" w:type="dxa"/>
            <w:vAlign w:val="bottom"/>
          </w:tcPr>
          <w:p>
            <w:pPr>
              <w:spacing w:after="0"/>
              <w:rPr>
                <w:sz w:val="20"/>
                <w:szCs w:val="20"/>
                <w:color w:val="auto"/>
              </w:rPr>
            </w:pPr>
          </w:p>
        </w:tc>
        <w:tc>
          <w:tcPr>
            <w:tcW w:w="1060" w:type="dxa"/>
            <w:vAlign w:val="bottom"/>
          </w:tcPr>
          <w:p>
            <w:pPr>
              <w:jc w:val="right"/>
              <w:ind w:right="98"/>
              <w:spacing w:after="0"/>
              <w:rPr>
                <w:sz w:val="20"/>
                <w:szCs w:val="20"/>
                <w:color w:val="auto"/>
              </w:rPr>
            </w:pPr>
            <w:r>
              <w:rPr>
                <w:rFonts w:ascii="Arial" w:cs="Arial" w:eastAsia="Arial" w:hAnsi="Arial"/>
                <w:sz w:val="17"/>
                <w:szCs w:val="17"/>
                <w:b w:val="1"/>
                <w:bCs w:val="1"/>
                <w:color w:val="auto"/>
              </w:rPr>
              <w:t>26.2 %</w:t>
            </w:r>
          </w:p>
        </w:tc>
        <w:tc>
          <w:tcPr>
            <w:tcW w:w="340" w:type="dxa"/>
            <w:vAlign w:val="bottom"/>
          </w:tcPr>
          <w:p>
            <w:pPr>
              <w:spacing w:after="0"/>
              <w:rPr>
                <w:sz w:val="20"/>
                <w:szCs w:val="20"/>
                <w:color w:val="auto"/>
              </w:rPr>
            </w:pPr>
          </w:p>
        </w:tc>
        <w:tc>
          <w:tcPr>
            <w:tcW w:w="1240" w:type="dxa"/>
            <w:vAlign w:val="bottom"/>
          </w:tcPr>
          <w:p>
            <w:pPr>
              <w:jc w:val="right"/>
              <w:ind w:right="38"/>
              <w:spacing w:after="0"/>
              <w:rPr>
                <w:sz w:val="20"/>
                <w:szCs w:val="20"/>
                <w:color w:val="auto"/>
              </w:rPr>
            </w:pPr>
            <w:r>
              <w:rPr>
                <w:rFonts w:ascii="Arial" w:cs="Arial" w:eastAsia="Arial" w:hAnsi="Arial"/>
                <w:sz w:val="17"/>
                <w:szCs w:val="17"/>
                <w:b w:val="1"/>
                <w:bCs w:val="1"/>
                <w:color w:val="auto"/>
              </w:rPr>
              <w:t>nm</w:t>
            </w:r>
          </w:p>
        </w:tc>
        <w:tc>
          <w:tcPr>
            <w:tcW w:w="360" w:type="dxa"/>
            <w:vAlign w:val="bottom"/>
          </w:tcPr>
          <w:p>
            <w:pPr>
              <w:spacing w:after="0"/>
              <w:rPr>
                <w:sz w:val="20"/>
                <w:szCs w:val="20"/>
                <w:color w:val="auto"/>
              </w:rPr>
            </w:pPr>
          </w:p>
        </w:tc>
        <w:tc>
          <w:tcPr>
            <w:tcW w:w="940" w:type="dxa"/>
            <w:vAlign w:val="bottom"/>
          </w:tcPr>
          <w:p>
            <w:pPr>
              <w:jc w:val="right"/>
              <w:spacing w:after="0"/>
              <w:rPr>
                <w:sz w:val="20"/>
                <w:szCs w:val="20"/>
                <w:color w:val="auto"/>
              </w:rPr>
            </w:pPr>
            <w:r>
              <w:rPr>
                <w:rFonts w:ascii="Arial" w:cs="Arial" w:eastAsia="Arial" w:hAnsi="Arial"/>
                <w:sz w:val="17"/>
                <w:szCs w:val="17"/>
                <w:b w:val="1"/>
                <w:bCs w:val="1"/>
                <w:color w:val="auto"/>
              </w:rPr>
              <w:t>33.1 %</w:t>
            </w:r>
          </w:p>
        </w:tc>
      </w:tr>
      <w:tr>
        <w:trPr>
          <w:trHeight w:val="416"/>
        </w:trPr>
        <w:tc>
          <w:tcPr>
            <w:tcW w:w="2360" w:type="dxa"/>
            <w:vAlign w:val="bottom"/>
          </w:tcPr>
          <w:p>
            <w:pPr>
              <w:spacing w:after="0"/>
              <w:rPr>
                <w:sz w:val="20"/>
                <w:szCs w:val="20"/>
                <w:color w:val="auto"/>
              </w:rPr>
            </w:pPr>
            <w:r>
              <w:rPr>
                <w:rFonts w:ascii="Arial" w:cs="Arial" w:eastAsia="Arial" w:hAnsi="Arial"/>
                <w:sz w:val="17"/>
                <w:szCs w:val="17"/>
                <w:color w:val="auto"/>
              </w:rPr>
              <w:t>nm - not meaningful</w:t>
            </w:r>
          </w:p>
        </w:tc>
        <w:tc>
          <w:tcPr>
            <w:tcW w:w="1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21"/>
        </w:trPr>
        <w:tc>
          <w:tcPr>
            <w:tcW w:w="8100" w:type="dxa"/>
            <w:vAlign w:val="bottom"/>
            <w:gridSpan w:val="8"/>
          </w:tcPr>
          <w:p>
            <w:pPr>
              <w:spacing w:after="0"/>
              <w:rPr>
                <w:sz w:val="20"/>
                <w:szCs w:val="20"/>
                <w:color w:val="auto"/>
              </w:rPr>
            </w:pPr>
            <w:r>
              <w:rPr>
                <w:rFonts w:ascii="Arial" w:cs="Arial" w:eastAsia="Arial" w:hAnsi="Arial"/>
                <w:sz w:val="17"/>
                <w:szCs w:val="17"/>
                <w:color w:val="auto"/>
              </w:rPr>
              <w:t>*Excludes interest income of $5.7 million in International and $0.5 million in General Corporate Expense.</w:t>
            </w:r>
          </w:p>
        </w:tc>
        <w:tc>
          <w:tcPr>
            <w:tcW w:w="360" w:type="dxa"/>
            <w:vAlign w:val="bottom"/>
          </w:tcPr>
          <w:p>
            <w:pPr>
              <w:spacing w:after="0"/>
              <w:rPr>
                <w:sz w:val="19"/>
                <w:szCs w:val="19"/>
                <w:color w:val="auto"/>
              </w:rPr>
            </w:pPr>
          </w:p>
        </w:tc>
        <w:tc>
          <w:tcPr>
            <w:tcW w:w="940" w:type="dxa"/>
            <w:vAlign w:val="bottom"/>
          </w:tcPr>
          <w:p>
            <w:pPr>
              <w:spacing w:after="0"/>
              <w:rPr>
                <w:sz w:val="19"/>
                <w:szCs w:val="19"/>
                <w:color w:val="auto"/>
              </w:rPr>
            </w:pPr>
          </w:p>
        </w:tc>
      </w:tr>
      <w:tr>
        <w:trPr>
          <w:trHeight w:val="452"/>
        </w:trPr>
        <w:tc>
          <w:tcPr>
            <w:tcW w:w="2360" w:type="dxa"/>
            <w:vAlign w:val="bottom"/>
          </w:tcPr>
          <w:p>
            <w:pPr>
              <w:spacing w:after="0"/>
              <w:rPr>
                <w:sz w:val="20"/>
                <w:szCs w:val="20"/>
                <w:color w:val="auto"/>
              </w:rPr>
            </w:pPr>
            <w:r>
              <w:rPr>
                <w:rFonts w:ascii="Arial" w:cs="Arial" w:eastAsia="Arial" w:hAnsi="Arial"/>
                <w:sz w:val="17"/>
                <w:szCs w:val="17"/>
                <w:i w:val="1"/>
                <w:iCs w:val="1"/>
                <w:color w:val="auto"/>
              </w:rPr>
              <w:t>(In millions)</w:t>
            </w:r>
          </w:p>
        </w:tc>
        <w:tc>
          <w:tcPr>
            <w:tcW w:w="13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160" w:type="dxa"/>
            <w:vAlign w:val="bottom"/>
            <w:gridSpan w:val="5"/>
          </w:tcPr>
          <w:p>
            <w:pPr>
              <w:jc w:val="right"/>
              <w:ind w:right="518"/>
              <w:spacing w:after="0"/>
              <w:rPr>
                <w:sz w:val="20"/>
                <w:szCs w:val="20"/>
                <w:color w:val="auto"/>
              </w:rPr>
            </w:pPr>
            <w:r>
              <w:rPr>
                <w:rFonts w:ascii="Arial" w:cs="Arial" w:eastAsia="Arial" w:hAnsi="Arial"/>
                <w:sz w:val="17"/>
                <w:szCs w:val="17"/>
                <w:b w:val="1"/>
                <w:bCs w:val="1"/>
                <w:color w:val="auto"/>
              </w:rPr>
              <w:t>Three Months Ended September 30, 2022</w:t>
            </w:r>
          </w:p>
        </w:tc>
        <w:tc>
          <w:tcPr>
            <w:tcW w:w="36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195"/>
        </w:trPr>
        <w:tc>
          <w:tcPr>
            <w:tcW w:w="236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100" w:type="dxa"/>
            <w:vAlign w:val="bottom"/>
          </w:tcPr>
          <w:p>
            <w:pPr>
              <w:jc w:val="center"/>
              <w:ind w:right="218"/>
              <w:spacing w:after="0"/>
              <w:rPr>
                <w:sz w:val="20"/>
                <w:szCs w:val="20"/>
                <w:color w:val="auto"/>
              </w:rPr>
            </w:pPr>
            <w:r>
              <w:rPr>
                <w:rFonts w:ascii="Arial" w:cs="Arial" w:eastAsia="Arial" w:hAnsi="Arial"/>
                <w:sz w:val="17"/>
                <w:szCs w:val="17"/>
                <w:b w:val="1"/>
                <w:bCs w:val="1"/>
                <w:color w:val="auto"/>
                <w:w w:val="96"/>
              </w:rPr>
              <w:t>U.S.</w:t>
            </w: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ind w:left="160"/>
              <w:spacing w:after="0"/>
              <w:rPr>
                <w:sz w:val="20"/>
                <w:szCs w:val="20"/>
                <w:color w:val="auto"/>
              </w:rPr>
            </w:pPr>
            <w:r>
              <w:rPr>
                <w:rFonts w:ascii="Arial" w:cs="Arial" w:eastAsia="Arial" w:hAnsi="Arial"/>
                <w:sz w:val="17"/>
                <w:szCs w:val="17"/>
                <w:b w:val="1"/>
                <w:bCs w:val="1"/>
                <w:color w:val="auto"/>
              </w:rPr>
              <w:t>General</w:t>
            </w: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195"/>
        </w:trPr>
        <w:tc>
          <w:tcPr>
            <w:tcW w:w="2360" w:type="dxa"/>
            <w:vAlign w:val="bottom"/>
          </w:tcPr>
          <w:p>
            <w:pPr>
              <w:spacing w:after="0"/>
              <w:rPr>
                <w:sz w:val="16"/>
                <w:szCs w:val="16"/>
                <w:color w:val="auto"/>
              </w:rPr>
            </w:pPr>
          </w:p>
        </w:tc>
        <w:tc>
          <w:tcPr>
            <w:tcW w:w="1320" w:type="dxa"/>
            <w:vAlign w:val="bottom"/>
          </w:tcPr>
          <w:p>
            <w:pPr>
              <w:jc w:val="center"/>
              <w:ind w:right="38"/>
              <w:spacing w:after="0"/>
              <w:rPr>
                <w:sz w:val="20"/>
                <w:szCs w:val="20"/>
                <w:color w:val="auto"/>
              </w:rPr>
            </w:pPr>
            <w:r>
              <w:rPr>
                <w:rFonts w:ascii="Arial" w:cs="Arial" w:eastAsia="Arial" w:hAnsi="Arial"/>
                <w:sz w:val="17"/>
                <w:szCs w:val="17"/>
                <w:b w:val="1"/>
                <w:bCs w:val="1"/>
                <w:color w:val="auto"/>
                <w:w w:val="95"/>
              </w:rPr>
              <w:t>Workforce</w:t>
            </w:r>
          </w:p>
        </w:tc>
        <w:tc>
          <w:tcPr>
            <w:tcW w:w="1360" w:type="dxa"/>
            <w:vAlign w:val="bottom"/>
            <w:gridSpan w:val="2"/>
          </w:tcPr>
          <w:p>
            <w:pPr>
              <w:jc w:val="center"/>
              <w:spacing w:after="0"/>
              <w:rPr>
                <w:sz w:val="20"/>
                <w:szCs w:val="20"/>
                <w:color w:val="auto"/>
              </w:rPr>
            </w:pPr>
            <w:r>
              <w:rPr>
                <w:rFonts w:ascii="Arial" w:cs="Arial" w:eastAsia="Arial" w:hAnsi="Arial"/>
                <w:sz w:val="17"/>
                <w:szCs w:val="17"/>
                <w:b w:val="1"/>
                <w:bCs w:val="1"/>
                <w:color w:val="auto"/>
                <w:w w:val="96"/>
              </w:rPr>
              <w:t>Information</w:t>
            </w: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jc w:val="right"/>
              <w:ind w:right="318"/>
              <w:spacing w:after="0"/>
              <w:rPr>
                <w:sz w:val="20"/>
                <w:szCs w:val="20"/>
                <w:color w:val="auto"/>
              </w:rPr>
            </w:pPr>
            <w:r>
              <w:rPr>
                <w:rFonts w:ascii="Arial" w:cs="Arial" w:eastAsia="Arial" w:hAnsi="Arial"/>
                <w:sz w:val="17"/>
                <w:szCs w:val="17"/>
                <w:b w:val="1"/>
                <w:bCs w:val="1"/>
                <w:color w:val="auto"/>
              </w:rPr>
              <w:t>Corporate</w:t>
            </w: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227"/>
        </w:trPr>
        <w:tc>
          <w:tcPr>
            <w:tcW w:w="2360" w:type="dxa"/>
            <w:vAlign w:val="bottom"/>
          </w:tcPr>
          <w:p>
            <w:pPr>
              <w:spacing w:after="0"/>
              <w:rPr>
                <w:sz w:val="19"/>
                <w:szCs w:val="19"/>
                <w:color w:val="auto"/>
              </w:rPr>
            </w:pPr>
          </w:p>
        </w:tc>
        <w:tc>
          <w:tcPr>
            <w:tcW w:w="1320" w:type="dxa"/>
            <w:vAlign w:val="bottom"/>
          </w:tcPr>
          <w:p>
            <w:pPr>
              <w:jc w:val="center"/>
              <w:spacing w:after="0"/>
              <w:rPr>
                <w:sz w:val="20"/>
                <w:szCs w:val="20"/>
                <w:color w:val="auto"/>
              </w:rPr>
            </w:pPr>
            <w:r>
              <w:rPr>
                <w:rFonts w:ascii="Arial" w:cs="Arial" w:eastAsia="Arial" w:hAnsi="Arial"/>
                <w:sz w:val="17"/>
                <w:szCs w:val="17"/>
                <w:b w:val="1"/>
                <w:bCs w:val="1"/>
                <w:color w:val="auto"/>
                <w:w w:val="98"/>
              </w:rPr>
              <w:t>Solutions</w:t>
            </w:r>
          </w:p>
        </w:tc>
        <w:tc>
          <w:tcPr>
            <w:tcW w:w="260" w:type="dxa"/>
            <w:vAlign w:val="bottom"/>
          </w:tcPr>
          <w:p>
            <w:pPr>
              <w:spacing w:after="0"/>
              <w:rPr>
                <w:sz w:val="19"/>
                <w:szCs w:val="19"/>
                <w:color w:val="auto"/>
              </w:rPr>
            </w:pPr>
          </w:p>
        </w:tc>
        <w:tc>
          <w:tcPr>
            <w:tcW w:w="1100" w:type="dxa"/>
            <w:vAlign w:val="bottom"/>
          </w:tcPr>
          <w:p>
            <w:pPr>
              <w:jc w:val="center"/>
              <w:ind w:right="198"/>
              <w:spacing w:after="0"/>
              <w:rPr>
                <w:sz w:val="20"/>
                <w:szCs w:val="20"/>
                <w:color w:val="auto"/>
              </w:rPr>
            </w:pPr>
            <w:r>
              <w:rPr>
                <w:rFonts w:ascii="Arial" w:cs="Arial" w:eastAsia="Arial" w:hAnsi="Arial"/>
                <w:sz w:val="17"/>
                <w:szCs w:val="17"/>
                <w:b w:val="1"/>
                <w:bCs w:val="1"/>
                <w:color w:val="auto"/>
                <w:w w:val="95"/>
              </w:rPr>
              <w:t>Solutions</w:t>
            </w:r>
          </w:p>
        </w:tc>
        <w:tc>
          <w:tcPr>
            <w:tcW w:w="1480" w:type="dxa"/>
            <w:vAlign w:val="bottom"/>
            <w:gridSpan w:val="2"/>
          </w:tcPr>
          <w:p>
            <w:pPr>
              <w:jc w:val="right"/>
              <w:ind w:right="198"/>
              <w:spacing w:after="0"/>
              <w:rPr>
                <w:sz w:val="20"/>
                <w:szCs w:val="20"/>
                <w:color w:val="auto"/>
              </w:rPr>
            </w:pPr>
            <w:r>
              <w:rPr>
                <w:rFonts w:ascii="Arial" w:cs="Arial" w:eastAsia="Arial" w:hAnsi="Arial"/>
                <w:sz w:val="17"/>
                <w:szCs w:val="17"/>
                <w:b w:val="1"/>
                <w:bCs w:val="1"/>
                <w:color w:val="auto"/>
              </w:rPr>
              <w:t>International</w:t>
            </w:r>
          </w:p>
        </w:tc>
        <w:tc>
          <w:tcPr>
            <w:tcW w:w="340" w:type="dxa"/>
            <w:vAlign w:val="bottom"/>
          </w:tcPr>
          <w:p>
            <w:pPr>
              <w:spacing w:after="0"/>
              <w:rPr>
                <w:sz w:val="19"/>
                <w:szCs w:val="19"/>
                <w:color w:val="auto"/>
              </w:rPr>
            </w:pPr>
          </w:p>
        </w:tc>
        <w:tc>
          <w:tcPr>
            <w:tcW w:w="1240" w:type="dxa"/>
            <w:vAlign w:val="bottom"/>
          </w:tcPr>
          <w:p>
            <w:pPr>
              <w:ind w:left="140"/>
              <w:spacing w:after="0"/>
              <w:rPr>
                <w:sz w:val="20"/>
                <w:szCs w:val="20"/>
                <w:color w:val="auto"/>
              </w:rPr>
            </w:pPr>
            <w:r>
              <w:rPr>
                <w:rFonts w:ascii="Arial" w:cs="Arial" w:eastAsia="Arial" w:hAnsi="Arial"/>
                <w:sz w:val="17"/>
                <w:szCs w:val="17"/>
                <w:b w:val="1"/>
                <w:bCs w:val="1"/>
                <w:color w:val="auto"/>
              </w:rPr>
              <w:t>Expense</w:t>
            </w:r>
          </w:p>
        </w:tc>
        <w:tc>
          <w:tcPr>
            <w:tcW w:w="360" w:type="dxa"/>
            <w:vAlign w:val="bottom"/>
          </w:tcPr>
          <w:p>
            <w:pPr>
              <w:spacing w:after="0"/>
              <w:rPr>
                <w:sz w:val="19"/>
                <w:szCs w:val="19"/>
                <w:color w:val="auto"/>
              </w:rPr>
            </w:pPr>
          </w:p>
        </w:tc>
        <w:tc>
          <w:tcPr>
            <w:tcW w:w="940" w:type="dxa"/>
            <w:vAlign w:val="bottom"/>
          </w:tcPr>
          <w:p>
            <w:pPr>
              <w:jc w:val="right"/>
              <w:ind w:right="318"/>
              <w:spacing w:after="0"/>
              <w:rPr>
                <w:sz w:val="20"/>
                <w:szCs w:val="20"/>
                <w:color w:val="auto"/>
              </w:rPr>
            </w:pPr>
            <w:r>
              <w:rPr>
                <w:rFonts w:ascii="Arial" w:cs="Arial" w:eastAsia="Arial" w:hAnsi="Arial"/>
                <w:sz w:val="17"/>
                <w:szCs w:val="17"/>
                <w:b w:val="1"/>
                <w:bCs w:val="1"/>
                <w:color w:val="auto"/>
              </w:rPr>
              <w:t>Total</w:t>
            </w:r>
          </w:p>
        </w:tc>
      </w:tr>
      <w:tr>
        <w:trPr>
          <w:trHeight w:val="195"/>
        </w:trPr>
        <w:tc>
          <w:tcPr>
            <w:tcW w:w="2360" w:type="dxa"/>
            <w:vAlign w:val="bottom"/>
          </w:tcPr>
          <w:p>
            <w:pPr>
              <w:spacing w:after="0"/>
              <w:rPr>
                <w:sz w:val="16"/>
                <w:szCs w:val="16"/>
                <w:color w:val="auto"/>
              </w:rPr>
            </w:pPr>
          </w:p>
        </w:tc>
        <w:tc>
          <w:tcPr>
            <w:tcW w:w="1320" w:type="dxa"/>
            <w:vAlign w:val="bottom"/>
          </w:tcPr>
          <w:p>
            <w:pPr>
              <w:jc w:val="right"/>
              <w:ind w:right="638"/>
              <w:spacing w:after="0"/>
              <w:rPr>
                <w:sz w:val="20"/>
                <w:szCs w:val="20"/>
                <w:color w:val="auto"/>
              </w:rPr>
            </w:pPr>
            <w:r>
              <w:rPr>
                <w:rFonts w:ascii="Arial" w:cs="Arial" w:eastAsia="Arial" w:hAnsi="Arial"/>
                <w:sz w:val="17"/>
                <w:szCs w:val="17"/>
                <w:color w:val="auto"/>
              </w:rPr>
              <w:t>$</w:t>
            </w:r>
          </w:p>
        </w:tc>
        <w:tc>
          <w:tcPr>
            <w:tcW w:w="260" w:type="dxa"/>
            <w:vAlign w:val="bottom"/>
          </w:tcPr>
          <w:p>
            <w:pPr>
              <w:spacing w:after="0"/>
              <w:rPr>
                <w:sz w:val="16"/>
                <w:szCs w:val="16"/>
                <w:color w:val="auto"/>
              </w:rPr>
            </w:pPr>
          </w:p>
        </w:tc>
        <w:tc>
          <w:tcPr>
            <w:tcW w:w="1100" w:type="dxa"/>
            <w:vAlign w:val="bottom"/>
          </w:tcPr>
          <w:p>
            <w:pPr>
              <w:ind w:left="280"/>
              <w:spacing w:after="0"/>
              <w:rPr>
                <w:sz w:val="20"/>
                <w:szCs w:val="20"/>
                <w:color w:val="auto"/>
              </w:rPr>
            </w:pPr>
            <w:r>
              <w:rPr>
                <w:rFonts w:ascii="Arial" w:cs="Arial" w:eastAsia="Arial" w:hAnsi="Arial"/>
                <w:sz w:val="17"/>
                <w:szCs w:val="17"/>
                <w:color w:val="auto"/>
              </w:rPr>
              <w:t>$</w:t>
            </w:r>
          </w:p>
        </w:tc>
        <w:tc>
          <w:tcPr>
            <w:tcW w:w="420" w:type="dxa"/>
            <w:vAlign w:val="bottom"/>
          </w:tcPr>
          <w:p>
            <w:pPr>
              <w:spacing w:after="0"/>
              <w:rPr>
                <w:sz w:val="16"/>
                <w:szCs w:val="16"/>
                <w:color w:val="auto"/>
              </w:rPr>
            </w:pPr>
          </w:p>
        </w:tc>
        <w:tc>
          <w:tcPr>
            <w:tcW w:w="1060" w:type="dxa"/>
            <w:vAlign w:val="bottom"/>
          </w:tcPr>
          <w:p>
            <w:pPr>
              <w:jc w:val="right"/>
              <w:ind w:right="738"/>
              <w:spacing w:after="0"/>
              <w:rPr>
                <w:sz w:val="20"/>
                <w:szCs w:val="20"/>
                <w:color w:val="auto"/>
              </w:rPr>
            </w:pPr>
            <w:r>
              <w:rPr>
                <w:rFonts w:ascii="Arial" w:cs="Arial" w:eastAsia="Arial" w:hAnsi="Arial"/>
                <w:sz w:val="17"/>
                <w:szCs w:val="17"/>
                <w:color w:val="auto"/>
              </w:rPr>
              <w:t>$</w:t>
            </w:r>
          </w:p>
        </w:tc>
        <w:tc>
          <w:tcPr>
            <w:tcW w:w="34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221"/>
        </w:trPr>
        <w:tc>
          <w:tcPr>
            <w:tcW w:w="2360" w:type="dxa"/>
            <w:vAlign w:val="bottom"/>
          </w:tcPr>
          <w:p>
            <w:pPr>
              <w:spacing w:after="0"/>
              <w:rPr>
                <w:sz w:val="20"/>
                <w:szCs w:val="20"/>
                <w:color w:val="auto"/>
              </w:rPr>
            </w:pPr>
            <w:r>
              <w:rPr>
                <w:rFonts w:ascii="Arial" w:cs="Arial" w:eastAsia="Arial" w:hAnsi="Arial"/>
                <w:sz w:val="17"/>
                <w:szCs w:val="17"/>
                <w:color w:val="auto"/>
              </w:rPr>
              <w:t>Revenue</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558.9</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397.4</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color w:val="auto"/>
              </w:rPr>
              <w:t>288.0</w:t>
            </w:r>
          </w:p>
        </w:tc>
        <w:tc>
          <w:tcPr>
            <w:tcW w:w="340" w:type="dxa"/>
            <w:vAlign w:val="bottom"/>
          </w:tcPr>
          <w:p>
            <w:pPr>
              <w:spacing w:after="0"/>
              <w:rPr>
                <w:sz w:val="19"/>
                <w:szCs w:val="19"/>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color w:val="auto"/>
              </w:rPr>
              <w:t>—</w:t>
            </w:r>
          </w:p>
        </w:tc>
        <w:tc>
          <w:tcPr>
            <w:tcW w:w="360" w:type="dxa"/>
            <w:vAlign w:val="bottom"/>
          </w:tcPr>
          <w:p>
            <w:pPr>
              <w:jc w:val="right"/>
              <w:ind w:right="78"/>
              <w:spacing w:after="0"/>
              <w:rPr>
                <w:sz w:val="20"/>
                <w:szCs w:val="20"/>
                <w:color w:val="auto"/>
              </w:rPr>
            </w:pPr>
            <w:r>
              <w:rPr>
                <w:rFonts w:ascii="Arial" w:cs="Arial" w:eastAsia="Arial" w:hAnsi="Arial"/>
                <w:sz w:val="17"/>
                <w:szCs w:val="17"/>
                <w:color w:val="auto"/>
              </w:rPr>
              <w:t>$</w:t>
            </w:r>
          </w:p>
        </w:tc>
        <w:tc>
          <w:tcPr>
            <w:tcW w:w="940" w:type="dxa"/>
            <w:vAlign w:val="bottom"/>
          </w:tcPr>
          <w:p>
            <w:pPr>
              <w:jc w:val="right"/>
              <w:ind w:right="38"/>
              <w:spacing w:after="0"/>
              <w:rPr>
                <w:sz w:val="20"/>
                <w:szCs w:val="20"/>
                <w:color w:val="auto"/>
              </w:rPr>
            </w:pPr>
            <w:r>
              <w:rPr>
                <w:rFonts w:ascii="Arial" w:cs="Arial" w:eastAsia="Arial" w:hAnsi="Arial"/>
                <w:sz w:val="17"/>
                <w:szCs w:val="17"/>
                <w:color w:val="auto"/>
              </w:rPr>
              <w:t>1,244.3</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Operating income</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231.0</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82.0</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color w:val="auto"/>
              </w:rPr>
              <w:t>42.5</w:t>
            </w:r>
          </w:p>
        </w:tc>
        <w:tc>
          <w:tcPr>
            <w:tcW w:w="340" w:type="dxa"/>
            <w:vAlign w:val="bottom"/>
          </w:tcPr>
          <w:p>
            <w:pPr>
              <w:spacing w:after="0"/>
              <w:rPr>
                <w:sz w:val="19"/>
                <w:szCs w:val="19"/>
                <w:color w:val="auto"/>
              </w:rPr>
            </w:pPr>
          </w:p>
        </w:tc>
        <w:tc>
          <w:tcPr>
            <w:tcW w:w="1240" w:type="dxa"/>
            <w:vAlign w:val="bottom"/>
          </w:tcPr>
          <w:p>
            <w:pPr>
              <w:jc w:val="right"/>
              <w:ind w:right="98"/>
              <w:spacing w:after="0"/>
              <w:rPr>
                <w:sz w:val="20"/>
                <w:szCs w:val="20"/>
                <w:color w:val="auto"/>
              </w:rPr>
            </w:pPr>
            <w:r>
              <w:rPr>
                <w:rFonts w:ascii="Arial" w:cs="Arial" w:eastAsia="Arial" w:hAnsi="Arial"/>
                <w:sz w:val="17"/>
                <w:szCs w:val="17"/>
                <w:color w:val="auto"/>
              </w:rPr>
              <w:t>(112.6)</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color w:val="auto"/>
              </w:rPr>
              <w:t>242.9</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Depreciation and amortization</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40.2</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49.6</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color w:val="auto"/>
              </w:rPr>
              <w:t>32.6</w:t>
            </w:r>
          </w:p>
        </w:tc>
        <w:tc>
          <w:tcPr>
            <w:tcW w:w="340" w:type="dxa"/>
            <w:vAlign w:val="bottom"/>
          </w:tcPr>
          <w:p>
            <w:pPr>
              <w:spacing w:after="0"/>
              <w:rPr>
                <w:sz w:val="19"/>
                <w:szCs w:val="19"/>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color w:val="auto"/>
              </w:rPr>
              <w:t>18.5</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color w:val="auto"/>
              </w:rPr>
              <w:t>140.9</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Other income, net*</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1.0</w:t>
            </w:r>
          </w:p>
        </w:tc>
        <w:tc>
          <w:tcPr>
            <w:tcW w:w="420" w:type="dxa"/>
            <w:vAlign w:val="bottom"/>
          </w:tcPr>
          <w:p>
            <w:pPr>
              <w:spacing w:after="0"/>
              <w:rPr>
                <w:sz w:val="19"/>
                <w:szCs w:val="19"/>
                <w:color w:val="auto"/>
              </w:rPr>
            </w:pPr>
          </w:p>
        </w:tc>
        <w:tc>
          <w:tcPr>
            <w:tcW w:w="1060" w:type="dxa"/>
            <w:vAlign w:val="bottom"/>
          </w:tcPr>
          <w:p>
            <w:pPr>
              <w:jc w:val="right"/>
              <w:ind w:right="218"/>
              <w:spacing w:after="0"/>
              <w:rPr>
                <w:sz w:val="20"/>
                <w:szCs w:val="20"/>
                <w:color w:val="auto"/>
              </w:rPr>
            </w:pPr>
            <w:r>
              <w:rPr>
                <w:rFonts w:ascii="Arial" w:cs="Arial" w:eastAsia="Arial" w:hAnsi="Arial"/>
                <w:sz w:val="17"/>
                <w:szCs w:val="17"/>
                <w:color w:val="auto"/>
              </w:rPr>
              <w:t>10.1</w:t>
            </w:r>
          </w:p>
        </w:tc>
        <w:tc>
          <w:tcPr>
            <w:tcW w:w="340" w:type="dxa"/>
            <w:vAlign w:val="bottom"/>
          </w:tcPr>
          <w:p>
            <w:pPr>
              <w:spacing w:after="0"/>
              <w:rPr>
                <w:sz w:val="19"/>
                <w:szCs w:val="19"/>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color w:val="auto"/>
              </w:rPr>
              <w:t>12.3</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color w:val="auto"/>
              </w:rPr>
              <w:t>23.4</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Noncontrolling interest</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w:t>
            </w:r>
          </w:p>
        </w:tc>
        <w:tc>
          <w:tcPr>
            <w:tcW w:w="420" w:type="dxa"/>
            <w:vAlign w:val="bottom"/>
          </w:tcPr>
          <w:p>
            <w:pPr>
              <w:spacing w:after="0"/>
              <w:rPr>
                <w:sz w:val="19"/>
                <w:szCs w:val="19"/>
                <w:color w:val="auto"/>
              </w:rPr>
            </w:pPr>
          </w:p>
        </w:tc>
        <w:tc>
          <w:tcPr>
            <w:tcW w:w="1060" w:type="dxa"/>
            <w:vAlign w:val="bottom"/>
          </w:tcPr>
          <w:p>
            <w:pPr>
              <w:jc w:val="right"/>
              <w:ind w:right="178"/>
              <w:spacing w:after="0"/>
              <w:rPr>
                <w:sz w:val="20"/>
                <w:szCs w:val="20"/>
                <w:color w:val="auto"/>
              </w:rPr>
            </w:pPr>
            <w:r>
              <w:rPr>
                <w:rFonts w:ascii="Arial" w:cs="Arial" w:eastAsia="Arial" w:hAnsi="Arial"/>
                <w:sz w:val="17"/>
                <w:szCs w:val="17"/>
                <w:color w:val="auto"/>
              </w:rPr>
              <w:t>(1.2)</w:t>
            </w:r>
          </w:p>
        </w:tc>
        <w:tc>
          <w:tcPr>
            <w:tcW w:w="340" w:type="dxa"/>
            <w:vAlign w:val="bottom"/>
          </w:tcPr>
          <w:p>
            <w:pPr>
              <w:spacing w:after="0"/>
              <w:rPr>
                <w:sz w:val="19"/>
                <w:szCs w:val="19"/>
                <w:color w:val="auto"/>
              </w:rPr>
            </w:pPr>
          </w:p>
        </w:tc>
        <w:tc>
          <w:tcPr>
            <w:tcW w:w="1240" w:type="dxa"/>
            <w:vAlign w:val="bottom"/>
          </w:tcPr>
          <w:p>
            <w:pPr>
              <w:jc w:val="right"/>
              <w:ind w:right="158"/>
              <w:spacing w:after="0"/>
              <w:rPr>
                <w:sz w:val="20"/>
                <w:szCs w:val="20"/>
                <w:color w:val="auto"/>
              </w:rPr>
            </w:pPr>
            <w:r>
              <w:rPr>
                <w:rFonts w:ascii="Arial" w:cs="Arial" w:eastAsia="Arial" w:hAnsi="Arial"/>
                <w:sz w:val="17"/>
                <w:szCs w:val="17"/>
                <w:color w:val="auto"/>
              </w:rPr>
              <w:t>—</w:t>
            </w:r>
          </w:p>
        </w:tc>
        <w:tc>
          <w:tcPr>
            <w:tcW w:w="36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Arial" w:cs="Arial" w:eastAsia="Arial" w:hAnsi="Arial"/>
                <w:sz w:val="17"/>
                <w:szCs w:val="17"/>
                <w:color w:val="auto"/>
              </w:rPr>
              <w:t>(1.2)</w:t>
            </w:r>
          </w:p>
        </w:tc>
      </w:tr>
      <w:tr>
        <w:trPr>
          <w:trHeight w:val="274"/>
        </w:trPr>
        <w:tc>
          <w:tcPr>
            <w:tcW w:w="2360" w:type="dxa"/>
            <w:vAlign w:val="bottom"/>
          </w:tcPr>
          <w:p>
            <w:pPr>
              <w:spacing w:after="0" w:line="273" w:lineRule="exact"/>
              <w:rPr>
                <w:sz w:val="20"/>
                <w:szCs w:val="20"/>
                <w:color w:val="auto"/>
              </w:rPr>
            </w:pPr>
            <w:r>
              <w:rPr>
                <w:rFonts w:ascii="Arial" w:cs="Arial" w:eastAsia="Arial" w:hAnsi="Arial"/>
                <w:sz w:val="17"/>
                <w:szCs w:val="17"/>
                <w:color w:val="auto"/>
              </w:rPr>
              <w:t>Adjustments</w:t>
            </w:r>
            <w:r>
              <w:rPr>
                <w:rFonts w:ascii="Arial" w:cs="Arial" w:eastAsia="Arial" w:hAnsi="Arial"/>
                <w:sz w:val="27"/>
                <w:szCs w:val="27"/>
                <w:color w:val="auto"/>
              </w:rPr>
              <w:t xml:space="preserve"> </w:t>
            </w:r>
            <w:r>
              <w:rPr>
                <w:rFonts w:ascii="Arial" w:cs="Arial" w:eastAsia="Arial" w:hAnsi="Arial"/>
                <w:sz w:val="27"/>
                <w:szCs w:val="27"/>
                <w:color w:val="auto"/>
                <w:vertAlign w:val="superscript"/>
              </w:rPr>
              <w:t>(1)</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5.3</w:t>
            </w:r>
          </w:p>
        </w:tc>
        <w:tc>
          <w:tcPr>
            <w:tcW w:w="260" w:type="dxa"/>
            <w:vAlign w:val="bottom"/>
          </w:tcPr>
          <w:p>
            <w:pPr>
              <w:spacing w:after="0"/>
              <w:rPr>
                <w:sz w:val="23"/>
                <w:szCs w:val="23"/>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3.0</w:t>
            </w:r>
          </w:p>
        </w:tc>
        <w:tc>
          <w:tcPr>
            <w:tcW w:w="420" w:type="dxa"/>
            <w:vAlign w:val="bottom"/>
          </w:tcPr>
          <w:p>
            <w:pPr>
              <w:spacing w:after="0"/>
              <w:rPr>
                <w:sz w:val="23"/>
                <w:szCs w:val="23"/>
                <w:color w:val="auto"/>
              </w:rPr>
            </w:pPr>
          </w:p>
        </w:tc>
        <w:tc>
          <w:tcPr>
            <w:tcW w:w="1060" w:type="dxa"/>
            <w:vAlign w:val="bottom"/>
          </w:tcPr>
          <w:p>
            <w:pPr>
              <w:jc w:val="right"/>
              <w:ind w:right="178"/>
              <w:spacing w:after="0"/>
              <w:rPr>
                <w:sz w:val="20"/>
                <w:szCs w:val="20"/>
                <w:color w:val="auto"/>
              </w:rPr>
            </w:pPr>
            <w:r>
              <w:rPr>
                <w:rFonts w:ascii="Arial" w:cs="Arial" w:eastAsia="Arial" w:hAnsi="Arial"/>
                <w:sz w:val="17"/>
                <w:szCs w:val="17"/>
                <w:color w:val="auto"/>
              </w:rPr>
              <w:t>(6.7)</w:t>
            </w:r>
          </w:p>
        </w:tc>
        <w:tc>
          <w:tcPr>
            <w:tcW w:w="340" w:type="dxa"/>
            <w:vAlign w:val="bottom"/>
          </w:tcPr>
          <w:p>
            <w:pPr>
              <w:spacing w:after="0"/>
              <w:rPr>
                <w:sz w:val="23"/>
                <w:szCs w:val="23"/>
                <w:color w:val="auto"/>
              </w:rPr>
            </w:pPr>
          </w:p>
        </w:tc>
        <w:tc>
          <w:tcPr>
            <w:tcW w:w="1240" w:type="dxa"/>
            <w:vAlign w:val="bottom"/>
          </w:tcPr>
          <w:p>
            <w:pPr>
              <w:jc w:val="right"/>
              <w:ind w:right="98"/>
              <w:spacing w:after="0"/>
              <w:rPr>
                <w:sz w:val="20"/>
                <w:szCs w:val="20"/>
                <w:color w:val="auto"/>
              </w:rPr>
            </w:pPr>
            <w:r>
              <w:rPr>
                <w:rFonts w:ascii="Arial" w:cs="Arial" w:eastAsia="Arial" w:hAnsi="Arial"/>
                <w:sz w:val="17"/>
                <w:szCs w:val="17"/>
                <w:color w:val="auto"/>
              </w:rPr>
              <w:t>(2.7)</w:t>
            </w:r>
          </w:p>
        </w:tc>
        <w:tc>
          <w:tcPr>
            <w:tcW w:w="360" w:type="dxa"/>
            <w:vAlign w:val="bottom"/>
          </w:tcPr>
          <w:p>
            <w:pPr>
              <w:spacing w:after="0"/>
              <w:rPr>
                <w:sz w:val="23"/>
                <w:szCs w:val="23"/>
                <w:color w:val="auto"/>
              </w:rPr>
            </w:pPr>
          </w:p>
        </w:tc>
        <w:tc>
          <w:tcPr>
            <w:tcW w:w="940" w:type="dxa"/>
            <w:vAlign w:val="bottom"/>
          </w:tcPr>
          <w:p>
            <w:pPr>
              <w:jc w:val="right"/>
              <w:spacing w:after="0"/>
              <w:rPr>
                <w:sz w:val="20"/>
                <w:szCs w:val="20"/>
                <w:color w:val="auto"/>
              </w:rPr>
            </w:pPr>
            <w:r>
              <w:rPr>
                <w:rFonts w:ascii="Arial" w:cs="Arial" w:eastAsia="Arial" w:hAnsi="Arial"/>
                <w:sz w:val="17"/>
                <w:szCs w:val="17"/>
                <w:color w:val="auto"/>
              </w:rPr>
              <w:t>(1.1)</w:t>
            </w:r>
          </w:p>
        </w:tc>
      </w:tr>
      <w:tr>
        <w:trPr>
          <w:trHeight w:val="195"/>
        </w:trPr>
        <w:tc>
          <w:tcPr>
            <w:tcW w:w="2360" w:type="dxa"/>
            <w:vAlign w:val="bottom"/>
          </w:tcPr>
          <w:p>
            <w:pPr>
              <w:spacing w:after="0"/>
              <w:rPr>
                <w:sz w:val="16"/>
                <w:szCs w:val="16"/>
                <w:color w:val="auto"/>
              </w:rPr>
            </w:pPr>
          </w:p>
        </w:tc>
        <w:tc>
          <w:tcPr>
            <w:tcW w:w="1320" w:type="dxa"/>
            <w:vAlign w:val="bottom"/>
          </w:tcPr>
          <w:p>
            <w:pPr>
              <w:jc w:val="right"/>
              <w:ind w:right="638"/>
              <w:spacing w:after="0"/>
              <w:rPr>
                <w:sz w:val="20"/>
                <w:szCs w:val="20"/>
                <w:color w:val="auto"/>
              </w:rPr>
            </w:pPr>
            <w:r>
              <w:rPr>
                <w:rFonts w:ascii="Arial" w:cs="Arial" w:eastAsia="Arial" w:hAnsi="Arial"/>
                <w:sz w:val="17"/>
                <w:szCs w:val="17"/>
                <w:color w:val="auto"/>
              </w:rPr>
              <w:t>$</w:t>
            </w:r>
          </w:p>
        </w:tc>
        <w:tc>
          <w:tcPr>
            <w:tcW w:w="260" w:type="dxa"/>
            <w:vAlign w:val="bottom"/>
          </w:tcPr>
          <w:p>
            <w:pPr>
              <w:spacing w:after="0"/>
              <w:rPr>
                <w:sz w:val="16"/>
                <w:szCs w:val="16"/>
                <w:color w:val="auto"/>
              </w:rPr>
            </w:pPr>
          </w:p>
        </w:tc>
        <w:tc>
          <w:tcPr>
            <w:tcW w:w="1100" w:type="dxa"/>
            <w:vAlign w:val="bottom"/>
          </w:tcPr>
          <w:p>
            <w:pPr>
              <w:ind w:left="280"/>
              <w:spacing w:after="0"/>
              <w:rPr>
                <w:sz w:val="20"/>
                <w:szCs w:val="20"/>
                <w:color w:val="auto"/>
              </w:rPr>
            </w:pPr>
            <w:r>
              <w:rPr>
                <w:rFonts w:ascii="Arial" w:cs="Arial" w:eastAsia="Arial" w:hAnsi="Arial"/>
                <w:sz w:val="17"/>
                <w:szCs w:val="17"/>
                <w:color w:val="auto"/>
              </w:rPr>
              <w:t>$</w:t>
            </w:r>
          </w:p>
        </w:tc>
        <w:tc>
          <w:tcPr>
            <w:tcW w:w="42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940" w:type="dxa"/>
            <w:vAlign w:val="bottom"/>
          </w:tcPr>
          <w:p>
            <w:pPr>
              <w:jc w:val="right"/>
              <w:ind w:right="558"/>
              <w:spacing w:after="0"/>
              <w:rPr>
                <w:sz w:val="20"/>
                <w:szCs w:val="20"/>
                <w:color w:val="auto"/>
              </w:rPr>
            </w:pPr>
            <w:r>
              <w:rPr>
                <w:rFonts w:ascii="Arial" w:cs="Arial" w:eastAsia="Arial" w:hAnsi="Arial"/>
                <w:sz w:val="17"/>
                <w:szCs w:val="17"/>
                <w:color w:val="auto"/>
              </w:rPr>
              <w:t>$</w:t>
            </w:r>
          </w:p>
        </w:tc>
      </w:tr>
      <w:tr>
        <w:trPr>
          <w:trHeight w:val="221"/>
        </w:trPr>
        <w:tc>
          <w:tcPr>
            <w:tcW w:w="2360" w:type="dxa"/>
            <w:vAlign w:val="bottom"/>
          </w:tcPr>
          <w:p>
            <w:pPr>
              <w:spacing w:after="0"/>
              <w:rPr>
                <w:sz w:val="20"/>
                <w:szCs w:val="20"/>
                <w:color w:val="auto"/>
              </w:rPr>
            </w:pPr>
            <w:r>
              <w:rPr>
                <w:rFonts w:ascii="Arial" w:cs="Arial" w:eastAsia="Arial" w:hAnsi="Arial"/>
                <w:sz w:val="17"/>
                <w:szCs w:val="17"/>
                <w:color w:val="auto"/>
              </w:rPr>
              <w:t>Adjusted EBITDA</w:t>
            </w:r>
          </w:p>
        </w:tc>
        <w:tc>
          <w:tcPr>
            <w:tcW w:w="1320" w:type="dxa"/>
            <w:vAlign w:val="bottom"/>
          </w:tcPr>
          <w:p>
            <w:pPr>
              <w:jc w:val="right"/>
              <w:ind w:right="178"/>
              <w:spacing w:after="0"/>
              <w:rPr>
                <w:sz w:val="20"/>
                <w:szCs w:val="20"/>
                <w:color w:val="auto"/>
              </w:rPr>
            </w:pPr>
            <w:r>
              <w:rPr>
                <w:rFonts w:ascii="Arial" w:cs="Arial" w:eastAsia="Arial" w:hAnsi="Arial"/>
                <w:sz w:val="17"/>
                <w:szCs w:val="17"/>
                <w:color w:val="auto"/>
              </w:rPr>
              <w:t>276.5</w:t>
            </w:r>
          </w:p>
        </w:tc>
        <w:tc>
          <w:tcPr>
            <w:tcW w:w="260" w:type="dxa"/>
            <w:vAlign w:val="bottom"/>
          </w:tcPr>
          <w:p>
            <w:pPr>
              <w:spacing w:after="0"/>
              <w:rPr>
                <w:sz w:val="19"/>
                <w:szCs w:val="19"/>
                <w:color w:val="auto"/>
              </w:rPr>
            </w:pPr>
          </w:p>
        </w:tc>
        <w:tc>
          <w:tcPr>
            <w:tcW w:w="1100" w:type="dxa"/>
            <w:vAlign w:val="bottom"/>
          </w:tcPr>
          <w:p>
            <w:pPr>
              <w:jc w:val="right"/>
              <w:ind w:right="138"/>
              <w:spacing w:after="0"/>
              <w:rPr>
                <w:sz w:val="20"/>
                <w:szCs w:val="20"/>
                <w:color w:val="auto"/>
              </w:rPr>
            </w:pPr>
            <w:r>
              <w:rPr>
                <w:rFonts w:ascii="Arial" w:cs="Arial" w:eastAsia="Arial" w:hAnsi="Arial"/>
                <w:sz w:val="17"/>
                <w:szCs w:val="17"/>
                <w:color w:val="auto"/>
              </w:rPr>
              <w:t>135.6</w:t>
            </w:r>
          </w:p>
        </w:tc>
        <w:tc>
          <w:tcPr>
            <w:tcW w:w="420" w:type="dxa"/>
            <w:vAlign w:val="bottom"/>
          </w:tcPr>
          <w:p>
            <w:pPr>
              <w:jc w:val="right"/>
              <w:ind w:right="118"/>
              <w:spacing w:after="0"/>
              <w:rPr>
                <w:sz w:val="20"/>
                <w:szCs w:val="20"/>
                <w:color w:val="auto"/>
              </w:rPr>
            </w:pPr>
            <w:r>
              <w:rPr>
                <w:rFonts w:ascii="Arial" w:cs="Arial" w:eastAsia="Arial" w:hAnsi="Arial"/>
                <w:sz w:val="17"/>
                <w:szCs w:val="17"/>
                <w:color w:val="auto"/>
              </w:rPr>
              <w:t>$</w:t>
            </w:r>
          </w:p>
        </w:tc>
        <w:tc>
          <w:tcPr>
            <w:tcW w:w="1060" w:type="dxa"/>
            <w:vAlign w:val="bottom"/>
          </w:tcPr>
          <w:p>
            <w:pPr>
              <w:jc w:val="right"/>
              <w:ind w:right="218"/>
              <w:spacing w:after="0"/>
              <w:rPr>
                <w:sz w:val="20"/>
                <w:szCs w:val="20"/>
                <w:color w:val="auto"/>
              </w:rPr>
            </w:pPr>
            <w:r>
              <w:rPr>
                <w:rFonts w:ascii="Arial" w:cs="Arial" w:eastAsia="Arial" w:hAnsi="Arial"/>
                <w:sz w:val="17"/>
                <w:szCs w:val="17"/>
                <w:color w:val="auto"/>
              </w:rPr>
              <w:t>77.3</w:t>
            </w:r>
          </w:p>
        </w:tc>
        <w:tc>
          <w:tcPr>
            <w:tcW w:w="340" w:type="dxa"/>
            <w:vAlign w:val="bottom"/>
          </w:tcPr>
          <w:p>
            <w:pPr>
              <w:jc w:val="right"/>
              <w:spacing w:after="0"/>
              <w:rPr>
                <w:sz w:val="20"/>
                <w:szCs w:val="20"/>
                <w:color w:val="auto"/>
              </w:rPr>
            </w:pPr>
            <w:r>
              <w:rPr>
                <w:rFonts w:ascii="Arial" w:cs="Arial" w:eastAsia="Arial" w:hAnsi="Arial"/>
                <w:sz w:val="17"/>
                <w:szCs w:val="17"/>
                <w:color w:val="auto"/>
              </w:rPr>
              <w:t>$</w:t>
            </w:r>
          </w:p>
        </w:tc>
        <w:tc>
          <w:tcPr>
            <w:tcW w:w="1240" w:type="dxa"/>
            <w:vAlign w:val="bottom"/>
          </w:tcPr>
          <w:p>
            <w:pPr>
              <w:jc w:val="right"/>
              <w:ind w:right="98"/>
              <w:spacing w:after="0"/>
              <w:rPr>
                <w:sz w:val="20"/>
                <w:szCs w:val="20"/>
                <w:color w:val="auto"/>
              </w:rPr>
            </w:pPr>
            <w:r>
              <w:rPr>
                <w:rFonts w:ascii="Arial" w:cs="Arial" w:eastAsia="Arial" w:hAnsi="Arial"/>
                <w:sz w:val="17"/>
                <w:szCs w:val="17"/>
                <w:color w:val="auto"/>
              </w:rPr>
              <w:t>(84.5)</w:t>
            </w:r>
          </w:p>
        </w:tc>
        <w:tc>
          <w:tcPr>
            <w:tcW w:w="360" w:type="dxa"/>
            <w:vAlign w:val="bottom"/>
          </w:tcPr>
          <w:p>
            <w:pPr>
              <w:spacing w:after="0"/>
              <w:rPr>
                <w:sz w:val="19"/>
                <w:szCs w:val="19"/>
                <w:color w:val="auto"/>
              </w:rPr>
            </w:pPr>
          </w:p>
        </w:tc>
        <w:tc>
          <w:tcPr>
            <w:tcW w:w="940" w:type="dxa"/>
            <w:vAlign w:val="bottom"/>
          </w:tcPr>
          <w:p>
            <w:pPr>
              <w:jc w:val="right"/>
              <w:ind w:right="38"/>
              <w:spacing w:after="0"/>
              <w:rPr>
                <w:sz w:val="20"/>
                <w:szCs w:val="20"/>
                <w:color w:val="auto"/>
              </w:rPr>
            </w:pPr>
            <w:r>
              <w:rPr>
                <w:rFonts w:ascii="Arial" w:cs="Arial" w:eastAsia="Arial" w:hAnsi="Arial"/>
                <w:sz w:val="17"/>
                <w:szCs w:val="17"/>
                <w:color w:val="auto"/>
              </w:rPr>
              <w:t>404.9</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Operating margin</w:t>
            </w:r>
          </w:p>
        </w:tc>
        <w:tc>
          <w:tcPr>
            <w:tcW w:w="1320" w:type="dxa"/>
            <w:vAlign w:val="bottom"/>
          </w:tcPr>
          <w:p>
            <w:pPr>
              <w:jc w:val="right"/>
              <w:ind w:right="58"/>
              <w:spacing w:after="0"/>
              <w:rPr>
                <w:sz w:val="20"/>
                <w:szCs w:val="20"/>
                <w:color w:val="auto"/>
              </w:rPr>
            </w:pPr>
            <w:r>
              <w:rPr>
                <w:rFonts w:ascii="Arial" w:cs="Arial" w:eastAsia="Arial" w:hAnsi="Arial"/>
                <w:sz w:val="17"/>
                <w:szCs w:val="17"/>
                <w:color w:val="auto"/>
              </w:rPr>
              <w:t>41.3 %</w:t>
            </w:r>
          </w:p>
        </w:tc>
        <w:tc>
          <w:tcPr>
            <w:tcW w:w="260" w:type="dxa"/>
            <w:vAlign w:val="bottom"/>
          </w:tcPr>
          <w:p>
            <w:pPr>
              <w:spacing w:after="0"/>
              <w:rPr>
                <w:sz w:val="19"/>
                <w:szCs w:val="19"/>
                <w:color w:val="auto"/>
              </w:rPr>
            </w:pPr>
          </w:p>
        </w:tc>
        <w:tc>
          <w:tcPr>
            <w:tcW w:w="1100" w:type="dxa"/>
            <w:vAlign w:val="bottom"/>
          </w:tcPr>
          <w:p>
            <w:pPr>
              <w:jc w:val="right"/>
              <w:ind w:right="18"/>
              <w:spacing w:after="0"/>
              <w:rPr>
                <w:sz w:val="20"/>
                <w:szCs w:val="20"/>
                <w:color w:val="auto"/>
              </w:rPr>
            </w:pPr>
            <w:r>
              <w:rPr>
                <w:rFonts w:ascii="Arial" w:cs="Arial" w:eastAsia="Arial" w:hAnsi="Arial"/>
                <w:sz w:val="17"/>
                <w:szCs w:val="17"/>
                <w:color w:val="auto"/>
              </w:rPr>
              <w:t>20.6 %</w:t>
            </w:r>
          </w:p>
        </w:tc>
        <w:tc>
          <w:tcPr>
            <w:tcW w:w="420" w:type="dxa"/>
            <w:vAlign w:val="bottom"/>
          </w:tcPr>
          <w:p>
            <w:pPr>
              <w:spacing w:after="0"/>
              <w:rPr>
                <w:sz w:val="19"/>
                <w:szCs w:val="19"/>
                <w:color w:val="auto"/>
              </w:rPr>
            </w:pPr>
          </w:p>
        </w:tc>
        <w:tc>
          <w:tcPr>
            <w:tcW w:w="1060" w:type="dxa"/>
            <w:vAlign w:val="bottom"/>
          </w:tcPr>
          <w:p>
            <w:pPr>
              <w:jc w:val="right"/>
              <w:ind w:right="98"/>
              <w:spacing w:after="0"/>
              <w:rPr>
                <w:sz w:val="20"/>
                <w:szCs w:val="20"/>
                <w:color w:val="auto"/>
              </w:rPr>
            </w:pPr>
            <w:r>
              <w:rPr>
                <w:rFonts w:ascii="Arial" w:cs="Arial" w:eastAsia="Arial" w:hAnsi="Arial"/>
                <w:sz w:val="17"/>
                <w:szCs w:val="17"/>
                <w:color w:val="auto"/>
              </w:rPr>
              <w:t>14.8 %</w:t>
            </w:r>
          </w:p>
        </w:tc>
        <w:tc>
          <w:tcPr>
            <w:tcW w:w="340" w:type="dxa"/>
            <w:vAlign w:val="bottom"/>
          </w:tcPr>
          <w:p>
            <w:pPr>
              <w:spacing w:after="0"/>
              <w:rPr>
                <w:sz w:val="19"/>
                <w:szCs w:val="19"/>
                <w:color w:val="auto"/>
              </w:rPr>
            </w:pPr>
          </w:p>
        </w:tc>
        <w:tc>
          <w:tcPr>
            <w:tcW w:w="1240" w:type="dxa"/>
            <w:vAlign w:val="bottom"/>
          </w:tcPr>
          <w:p>
            <w:pPr>
              <w:jc w:val="right"/>
              <w:ind w:right="38"/>
              <w:spacing w:after="0"/>
              <w:rPr>
                <w:sz w:val="20"/>
                <w:szCs w:val="20"/>
                <w:color w:val="auto"/>
              </w:rPr>
            </w:pPr>
            <w:r>
              <w:rPr>
                <w:rFonts w:ascii="Arial" w:cs="Arial" w:eastAsia="Arial" w:hAnsi="Arial"/>
                <w:sz w:val="17"/>
                <w:szCs w:val="17"/>
                <w:color w:val="auto"/>
              </w:rPr>
              <w:t>nm</w:t>
            </w:r>
          </w:p>
        </w:tc>
        <w:tc>
          <w:tcPr>
            <w:tcW w:w="36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Arial" w:cs="Arial" w:eastAsia="Arial" w:hAnsi="Arial"/>
                <w:sz w:val="17"/>
                <w:szCs w:val="17"/>
                <w:color w:val="auto"/>
              </w:rPr>
              <w:t>19.5 %</w:t>
            </w:r>
          </w:p>
        </w:tc>
      </w:tr>
      <w:tr>
        <w:trPr>
          <w:trHeight w:val="225"/>
        </w:trPr>
        <w:tc>
          <w:tcPr>
            <w:tcW w:w="2360" w:type="dxa"/>
            <w:vAlign w:val="bottom"/>
          </w:tcPr>
          <w:p>
            <w:pPr>
              <w:spacing w:after="0"/>
              <w:rPr>
                <w:sz w:val="20"/>
                <w:szCs w:val="20"/>
                <w:color w:val="auto"/>
              </w:rPr>
            </w:pPr>
            <w:r>
              <w:rPr>
                <w:rFonts w:ascii="Arial" w:cs="Arial" w:eastAsia="Arial" w:hAnsi="Arial"/>
                <w:sz w:val="17"/>
                <w:szCs w:val="17"/>
                <w:color w:val="auto"/>
              </w:rPr>
              <w:t>Adjusted EBITDA margin</w:t>
            </w:r>
          </w:p>
        </w:tc>
        <w:tc>
          <w:tcPr>
            <w:tcW w:w="1320" w:type="dxa"/>
            <w:vAlign w:val="bottom"/>
          </w:tcPr>
          <w:p>
            <w:pPr>
              <w:jc w:val="right"/>
              <w:ind w:right="58"/>
              <w:spacing w:after="0"/>
              <w:rPr>
                <w:sz w:val="20"/>
                <w:szCs w:val="20"/>
                <w:color w:val="auto"/>
              </w:rPr>
            </w:pPr>
            <w:r>
              <w:rPr>
                <w:rFonts w:ascii="Arial" w:cs="Arial" w:eastAsia="Arial" w:hAnsi="Arial"/>
                <w:sz w:val="17"/>
                <w:szCs w:val="17"/>
                <w:color w:val="auto"/>
              </w:rPr>
              <w:t>49.5 %</w:t>
            </w:r>
          </w:p>
        </w:tc>
        <w:tc>
          <w:tcPr>
            <w:tcW w:w="260" w:type="dxa"/>
            <w:vAlign w:val="bottom"/>
          </w:tcPr>
          <w:p>
            <w:pPr>
              <w:spacing w:after="0"/>
              <w:rPr>
                <w:sz w:val="19"/>
                <w:szCs w:val="19"/>
                <w:color w:val="auto"/>
              </w:rPr>
            </w:pPr>
          </w:p>
        </w:tc>
        <w:tc>
          <w:tcPr>
            <w:tcW w:w="1100" w:type="dxa"/>
            <w:vAlign w:val="bottom"/>
          </w:tcPr>
          <w:p>
            <w:pPr>
              <w:jc w:val="right"/>
              <w:ind w:right="18"/>
              <w:spacing w:after="0"/>
              <w:rPr>
                <w:sz w:val="20"/>
                <w:szCs w:val="20"/>
                <w:color w:val="auto"/>
              </w:rPr>
            </w:pPr>
            <w:r>
              <w:rPr>
                <w:rFonts w:ascii="Arial" w:cs="Arial" w:eastAsia="Arial" w:hAnsi="Arial"/>
                <w:sz w:val="17"/>
                <w:szCs w:val="17"/>
                <w:color w:val="auto"/>
              </w:rPr>
              <w:t>34.1 %</w:t>
            </w:r>
          </w:p>
        </w:tc>
        <w:tc>
          <w:tcPr>
            <w:tcW w:w="420" w:type="dxa"/>
            <w:vAlign w:val="bottom"/>
          </w:tcPr>
          <w:p>
            <w:pPr>
              <w:spacing w:after="0"/>
              <w:rPr>
                <w:sz w:val="19"/>
                <w:szCs w:val="19"/>
                <w:color w:val="auto"/>
              </w:rPr>
            </w:pPr>
          </w:p>
        </w:tc>
        <w:tc>
          <w:tcPr>
            <w:tcW w:w="1060" w:type="dxa"/>
            <w:vAlign w:val="bottom"/>
          </w:tcPr>
          <w:p>
            <w:pPr>
              <w:jc w:val="right"/>
              <w:ind w:right="98"/>
              <w:spacing w:after="0"/>
              <w:rPr>
                <w:sz w:val="20"/>
                <w:szCs w:val="20"/>
                <w:color w:val="auto"/>
              </w:rPr>
            </w:pPr>
            <w:r>
              <w:rPr>
                <w:rFonts w:ascii="Arial" w:cs="Arial" w:eastAsia="Arial" w:hAnsi="Arial"/>
                <w:sz w:val="17"/>
                <w:szCs w:val="17"/>
                <w:color w:val="auto"/>
              </w:rPr>
              <w:t>26.8 %</w:t>
            </w:r>
          </w:p>
        </w:tc>
        <w:tc>
          <w:tcPr>
            <w:tcW w:w="340" w:type="dxa"/>
            <w:vAlign w:val="bottom"/>
          </w:tcPr>
          <w:p>
            <w:pPr>
              <w:spacing w:after="0"/>
              <w:rPr>
                <w:sz w:val="19"/>
                <w:szCs w:val="19"/>
                <w:color w:val="auto"/>
              </w:rPr>
            </w:pPr>
          </w:p>
        </w:tc>
        <w:tc>
          <w:tcPr>
            <w:tcW w:w="1240" w:type="dxa"/>
            <w:vAlign w:val="bottom"/>
          </w:tcPr>
          <w:p>
            <w:pPr>
              <w:jc w:val="right"/>
              <w:ind w:right="38"/>
              <w:spacing w:after="0"/>
              <w:rPr>
                <w:sz w:val="20"/>
                <w:szCs w:val="20"/>
                <w:color w:val="auto"/>
              </w:rPr>
            </w:pPr>
            <w:r>
              <w:rPr>
                <w:rFonts w:ascii="Arial" w:cs="Arial" w:eastAsia="Arial" w:hAnsi="Arial"/>
                <w:sz w:val="17"/>
                <w:szCs w:val="17"/>
                <w:color w:val="auto"/>
              </w:rPr>
              <w:t>nm</w:t>
            </w:r>
          </w:p>
        </w:tc>
        <w:tc>
          <w:tcPr>
            <w:tcW w:w="36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Arial" w:cs="Arial" w:eastAsia="Arial" w:hAnsi="Arial"/>
                <w:sz w:val="17"/>
                <w:szCs w:val="17"/>
                <w:color w:val="auto"/>
              </w:rPr>
              <w:t>32.5 %</w:t>
            </w:r>
          </w:p>
        </w:tc>
      </w:tr>
    </w:tbl>
    <w:p>
      <w:pPr>
        <w:spacing w:after="0" w:line="229" w:lineRule="exact"/>
        <w:rPr>
          <w:sz w:val="20"/>
          <w:szCs w:val="20"/>
          <w:color w:val="auto"/>
        </w:rPr>
      </w:pPr>
    </w:p>
    <w:p>
      <w:pPr>
        <w:ind w:left="60"/>
        <w:spacing w:after="0"/>
        <w:rPr>
          <w:sz w:val="20"/>
          <w:szCs w:val="20"/>
          <w:color w:val="auto"/>
        </w:rPr>
      </w:pPr>
      <w:r>
        <w:rPr>
          <w:rFonts w:ascii="Arial" w:cs="Arial" w:eastAsia="Arial" w:hAnsi="Arial"/>
          <w:sz w:val="17"/>
          <w:szCs w:val="17"/>
          <w:color w:val="auto"/>
        </w:rPr>
        <w:t>nm - not meaningful</w:t>
      </w:r>
    </w:p>
    <w:p>
      <w:pPr>
        <w:spacing w:after="0" w:line="20" w:lineRule="exact"/>
        <w:rPr>
          <w:sz w:val="20"/>
          <w:szCs w:val="20"/>
          <w:color w:val="auto"/>
        </w:rPr>
      </w:pPr>
    </w:p>
    <w:p>
      <w:pPr>
        <w:ind w:left="60"/>
        <w:spacing w:after="0"/>
        <w:rPr>
          <w:sz w:val="20"/>
          <w:szCs w:val="20"/>
          <w:color w:val="auto"/>
        </w:rPr>
      </w:pPr>
      <w:r>
        <w:rPr>
          <w:rFonts w:ascii="Arial" w:cs="Arial" w:eastAsia="Arial" w:hAnsi="Arial"/>
          <w:sz w:val="17"/>
          <w:szCs w:val="17"/>
          <w:color w:val="auto"/>
        </w:rPr>
        <w:t>*Excludes interest income of $0.5 million in International.</w:t>
      </w:r>
    </w:p>
    <w:p>
      <w:pPr>
        <w:spacing w:after="0" w:line="205" w:lineRule="exact"/>
        <w:rPr>
          <w:sz w:val="20"/>
          <w:szCs w:val="20"/>
          <w:color w:val="auto"/>
        </w:rPr>
      </w:pPr>
    </w:p>
    <w:p>
      <w:pPr>
        <w:ind w:left="340" w:right="20" w:hanging="280"/>
        <w:spacing w:after="0" w:line="245" w:lineRule="auto"/>
        <w:tabs>
          <w:tab w:leader="none" w:pos="340" w:val="left"/>
        </w:tabs>
        <w:numPr>
          <w:ilvl w:val="0"/>
          <w:numId w:val="12"/>
        </w:numPr>
        <w:rPr>
          <w:rFonts w:ascii="Arial" w:cs="Arial" w:eastAsia="Arial" w:hAnsi="Arial"/>
          <w:sz w:val="17"/>
          <w:szCs w:val="17"/>
          <w:color w:val="auto"/>
        </w:rPr>
      </w:pPr>
      <w:r>
        <w:rPr>
          <w:rFonts w:ascii="Arial" w:cs="Arial" w:eastAsia="Arial" w:hAnsi="Arial"/>
          <w:sz w:val="17"/>
          <w:szCs w:val="17"/>
          <w:color w:val="auto"/>
        </w:rPr>
        <w:t>During the third quarter of 2023, we recorded pre-tax expenses of $14.2 million for an accrual for legal and regulatory matters related to the 2017 cybersecurity incident, a $0.2 million loss on the fair value adjustment of equity investments, a $0.4 million foreign currency gain on certain intercompany loans, $24.4 million for acquisition-related costs other than acquisition amortization, a foreign currency loss of $0.4 million related to the impact of remeasuring the peso denominated monetary assets and liabilities as a result of Argentina being a highly inflationary economy and $2.3 million of an adjustment to previous restructuring charges as we refined our estimate for the realignment of resources and other costs recorded in Q2 2023.</w:t>
      </w:r>
    </w:p>
    <w:p>
      <w:pPr>
        <w:spacing w:after="0" w:line="227" w:lineRule="exact"/>
        <w:rPr>
          <w:rFonts w:ascii="Arial" w:cs="Arial" w:eastAsia="Arial" w:hAnsi="Arial"/>
          <w:sz w:val="17"/>
          <w:szCs w:val="17"/>
          <w:color w:val="auto"/>
        </w:rPr>
      </w:pPr>
    </w:p>
    <w:p>
      <w:pPr>
        <w:ind w:left="340" w:right="120"/>
        <w:spacing w:after="0" w:line="245" w:lineRule="auto"/>
        <w:rPr>
          <w:rFonts w:ascii="Arial" w:cs="Arial" w:eastAsia="Arial" w:hAnsi="Arial"/>
          <w:sz w:val="17"/>
          <w:szCs w:val="17"/>
          <w:color w:val="auto"/>
        </w:rPr>
      </w:pPr>
      <w:r>
        <w:rPr>
          <w:rFonts w:ascii="Arial" w:cs="Arial" w:eastAsia="Arial" w:hAnsi="Arial"/>
          <w:sz w:val="17"/>
          <w:szCs w:val="17"/>
          <w:color w:val="auto"/>
        </w:rPr>
        <w:t>During the third quarter of 2022, we recorded pre-tax expenses of $0.2 million for accrual for legal and regulatory matters related to the 2017 cybersecurity incident, a $17.5 million unrealized gain on the fair value adjustment and gain on sale of equity investments, a $0.5 million foreign currency gain on certain intercompany loans, $19.1 million in acquisition-related costs other than acquisition amortization, a $0.2 million foreign currency gain related to the impact of remeasuring the peso denominated monetary assets and liabilities as a result of Argentina being a highly inflationary economy and a gain of $2.2 million on the settlement of Canada pension plan.</w:t>
      </w:r>
    </w:p>
    <w:p>
      <w:pPr>
        <w:sectPr>
          <w:pgSz w:w="12240" w:h="15840" w:orient="portrait"/>
          <w:cols w:equalWidth="0" w:num="1">
            <w:col w:w="9800"/>
          </w:cols>
          <w:pgMar w:left="1200" w:top="1053" w:right="1240" w:bottom="223" w:gutter="0" w:footer="0" w:header="0"/>
        </w:sectPr>
      </w:pPr>
    </w:p>
    <w:bookmarkStart w:id="13" w:name="page14"/>
    <w:bookmarkEnd w:id="13"/>
    <w:p>
      <w:pPr>
        <w:spacing w:after="0" w:line="143" w:lineRule="exact"/>
        <w:rPr>
          <w:sz w:val="20"/>
          <w:szCs w:val="20"/>
          <w:color w:val="auto"/>
        </w:rPr>
      </w:pPr>
    </w:p>
    <w:p>
      <w:pPr>
        <w:ind w:right="220"/>
        <w:spacing w:after="0" w:line="301" w:lineRule="auto"/>
        <w:rPr>
          <w:sz w:val="20"/>
          <w:szCs w:val="20"/>
          <w:color w:val="auto"/>
        </w:rPr>
      </w:pPr>
      <w:r>
        <w:rPr>
          <w:rFonts w:ascii="Arial" w:cs="Arial" w:eastAsia="Arial" w:hAnsi="Arial"/>
          <w:sz w:val="24"/>
          <w:szCs w:val="24"/>
          <w:b w:val="1"/>
          <w:bCs w:val="1"/>
          <w:i w:val="1"/>
          <w:iCs w:val="1"/>
          <w:color w:val="auto"/>
        </w:rPr>
        <w:t>Notes to Reconciliations of Non-GAAP Financial Measures to the Comparable GAAP Financial Measures</w:t>
      </w:r>
    </w:p>
    <w:p>
      <w:pPr>
        <w:spacing w:after="0" w:line="1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Diluted EPS attributable to Equifax is adjusted for the following items:</w:t>
      </w:r>
    </w:p>
    <w:p>
      <w:pPr>
        <w:spacing w:after="0" w:line="249" w:lineRule="exact"/>
        <w:rPr>
          <w:sz w:val="20"/>
          <w:szCs w:val="20"/>
          <w:color w:val="auto"/>
        </w:rPr>
      </w:pPr>
    </w:p>
    <w:p>
      <w:pPr>
        <w:ind w:right="120"/>
        <w:spacing w:after="0" w:line="251" w:lineRule="auto"/>
        <w:rPr>
          <w:sz w:val="20"/>
          <w:szCs w:val="20"/>
          <w:color w:val="auto"/>
        </w:rPr>
      </w:pPr>
      <w:r>
        <w:rPr>
          <w:rFonts w:ascii="Arial" w:cs="Arial" w:eastAsia="Arial" w:hAnsi="Arial"/>
          <w:sz w:val="24"/>
          <w:szCs w:val="24"/>
          <w:b w:val="1"/>
          <w:bCs w:val="1"/>
          <w:color w:val="auto"/>
        </w:rPr>
        <w:t>Acquisition-related amortization expense</w:t>
      </w:r>
      <w:r>
        <w:rPr>
          <w:rFonts w:ascii="Arial" w:cs="Arial" w:eastAsia="Arial" w:hAnsi="Arial"/>
          <w:sz w:val="24"/>
          <w:szCs w:val="24"/>
          <w:color w:val="auto"/>
        </w:rPr>
        <w:t xml:space="preserve"> - During the third quarter of 2023 and 2022, we recorded acquisition -related amortization expense of certain acquired intangibles of $64.4 million ($51.7 million, net of tax) and $59.1 million ($48.1 million, net of tax), respectively. We calculate this financial measure by excluding the impact of acquisition-related amortization expense and including a benefit to reflect the material cash income tax savings resulting from the income tax deductibility of amortization for certain acquired intangibles. These financial measures are not prepared in conformity with GAAP. Management believes excluding the impact of amortization expense is useful because excluding acquisition -related amortization and other items that are not comparable allows investors to evaluate our performance for different periods on a more comparable basis. Certain acquired intangibles result in material cash income tax savings which are not reflected in earnings. Management believes that including a benefit to reflect the cash income tax savings is useful as it allows investors to better value Equifax. Management makes these adjustments to earnings when measuring profitability, evaluating performance trends, setting performance objectives and calculating our return on invested capital.</w:t>
      </w:r>
    </w:p>
    <w:p>
      <w:pPr>
        <w:spacing w:after="0" w:line="186" w:lineRule="exact"/>
        <w:rPr>
          <w:sz w:val="20"/>
          <w:szCs w:val="20"/>
          <w:color w:val="auto"/>
        </w:rPr>
      </w:pPr>
    </w:p>
    <w:p>
      <w:pPr>
        <w:ind w:right="20"/>
        <w:spacing w:after="0" w:line="251" w:lineRule="auto"/>
        <w:rPr>
          <w:sz w:val="20"/>
          <w:szCs w:val="20"/>
          <w:color w:val="auto"/>
        </w:rPr>
      </w:pPr>
      <w:r>
        <w:rPr>
          <w:rFonts w:ascii="Arial" w:cs="Arial" w:eastAsia="Arial" w:hAnsi="Arial"/>
          <w:sz w:val="24"/>
          <w:szCs w:val="24"/>
          <w:b w:val="1"/>
          <w:bCs w:val="1"/>
          <w:color w:val="auto"/>
        </w:rPr>
        <w:t>Accrual for legal and regulatory matters related to the 2017 cybersecurity incident</w:t>
      </w:r>
      <w:r>
        <w:rPr>
          <w:rFonts w:ascii="Arial" w:cs="Arial" w:eastAsia="Arial" w:hAnsi="Arial"/>
          <w:sz w:val="24"/>
          <w:szCs w:val="24"/>
          <w:color w:val="auto"/>
        </w:rPr>
        <w:t>-Accrual for legal and regulatory matters related to the 2017 cybersecurity incident includes legal fees to respond to subsequent litigation and government investigations for both periods presented. During the third quarter of 2023, we recorded an accrual for legal and regulatory matters related to the 2017 cybersecurity incident of $ 14.2 million primarily driven by our accrual for a penalty associated with resolution of the investigation of the incident by the Financial Conduct Authority in the United Kingdom. During the third quarter of 2022, we recorded an accrual for legal and regulatory matters related to the 2017 cybersecurity incident of $0.2 million ($0.1 million, net of tax). Management believes excluding these charges is useful as it allows investors to evaluate our performance for different periods on a more comparable basis. Management makes these adjustments to net income when measuring profitability, evaluating performance trends, setting performance objectives and calculating our return on invested capital. This is consistent with how management reviews and assesses Equifax's historical performance and is useful when planning, forecasting and analyzing future periods.</w:t>
      </w:r>
    </w:p>
    <w:p>
      <w:pPr>
        <w:spacing w:after="0" w:line="186" w:lineRule="exact"/>
        <w:rPr>
          <w:sz w:val="20"/>
          <w:szCs w:val="20"/>
          <w:color w:val="auto"/>
        </w:rPr>
      </w:pPr>
    </w:p>
    <w:p>
      <w:pPr>
        <w:spacing w:after="0" w:line="264" w:lineRule="auto"/>
        <w:rPr>
          <w:sz w:val="20"/>
          <w:szCs w:val="20"/>
          <w:color w:val="auto"/>
        </w:rPr>
      </w:pPr>
      <w:r>
        <w:rPr>
          <w:rFonts w:ascii="Arial" w:cs="Arial" w:eastAsia="Arial" w:hAnsi="Arial"/>
          <w:sz w:val="23"/>
          <w:szCs w:val="23"/>
          <w:b w:val="1"/>
          <w:bCs w:val="1"/>
          <w:color w:val="auto"/>
        </w:rPr>
        <w:t>Fair market value adjustment and gain on sale of equity investments</w:t>
      </w:r>
      <w:r>
        <w:rPr>
          <w:rFonts w:ascii="Arial" w:cs="Arial" w:eastAsia="Arial" w:hAnsi="Arial"/>
          <w:sz w:val="23"/>
          <w:szCs w:val="23"/>
          <w:color w:val="auto"/>
        </w:rPr>
        <w:t>- During the third quarter of 2023, we recorded a $0.2 million ($0.1 million, net of tax) loss related to adjusting our investment in Brazil to fair value at the date of the acquisition. On August 7, 2023, we purchased the remaining interest of our equity investment in Brazil. The investment in Brazil has a readily determinable fair value and the carrying value of the investment was adjusted to fair value as of the close date, resulting in a loss. Prior to the acquisition, the investment in Brazil was adjusted to fair value at the end of each reporting period, with unrealized gains or losses recorded within the Consolidated Statements of Income in Other income, net. During the third quarter of 2022 we recorded a $17.5 million ($ 11.4 million, net of tax) unrealized gain related to adjusting our investment in Brazil to fair value and gain related to the sale of an equity method investment. Management believes excluding these charges from certain</w:t>
      </w:r>
    </w:p>
    <w:p>
      <w:pPr>
        <w:sectPr>
          <w:pgSz w:w="12240" w:h="15840" w:orient="portrait"/>
          <w:cols w:equalWidth="0" w:num="1">
            <w:col w:w="9820"/>
          </w:cols>
          <w:pgMar w:left="1200" w:top="1440" w:right="1220" w:bottom="132" w:gutter="0" w:footer="0" w:header="0"/>
        </w:sectPr>
      </w:pPr>
    </w:p>
    <w:bookmarkStart w:id="14" w:name="page15"/>
    <w:bookmarkEnd w:id="14"/>
    <w:p>
      <w:pPr>
        <w:ind w:right="240"/>
        <w:spacing w:after="0" w:line="258" w:lineRule="auto"/>
        <w:rPr>
          <w:sz w:val="20"/>
          <w:szCs w:val="20"/>
          <w:color w:val="auto"/>
        </w:rPr>
      </w:pPr>
      <w:r>
        <w:rPr>
          <w:rFonts w:ascii="Arial" w:cs="Arial" w:eastAsia="Arial" w:hAnsi="Arial"/>
          <w:sz w:val="24"/>
          <w:szCs w:val="24"/>
          <w:color w:val="auto"/>
        </w:rPr>
        <w:t>financial results provides meaningful supplemental information regarding our financial results for the three months ended September 30, 2023 and 2022, since the non-operating gains or losses are not comparable among the periods. This is consistent with how our management reviews and assesses Equifax's historical performance and is useful when planning, forecasting and analyzing future periods.</w:t>
      </w:r>
    </w:p>
    <w:p>
      <w:pPr>
        <w:spacing w:after="0" w:line="178" w:lineRule="exact"/>
        <w:rPr>
          <w:sz w:val="20"/>
          <w:szCs w:val="20"/>
          <w:color w:val="auto"/>
        </w:rPr>
      </w:pPr>
    </w:p>
    <w:p>
      <w:pPr>
        <w:ind w:right="160"/>
        <w:spacing w:after="0" w:line="255" w:lineRule="auto"/>
        <w:rPr>
          <w:sz w:val="20"/>
          <w:szCs w:val="20"/>
          <w:color w:val="auto"/>
        </w:rPr>
      </w:pPr>
      <w:r>
        <w:rPr>
          <w:rFonts w:ascii="Arial" w:cs="Arial" w:eastAsia="Arial" w:hAnsi="Arial"/>
          <w:sz w:val="24"/>
          <w:szCs w:val="24"/>
          <w:b w:val="1"/>
          <w:bCs w:val="1"/>
          <w:color w:val="auto"/>
        </w:rPr>
        <w:t>Foreign currency impact of certain intercompany loans -</w:t>
      </w:r>
      <w:r>
        <w:rPr>
          <w:rFonts w:ascii="Arial" w:cs="Arial" w:eastAsia="Arial" w:hAnsi="Arial"/>
          <w:sz w:val="24"/>
          <w:szCs w:val="24"/>
          <w:color w:val="auto"/>
        </w:rPr>
        <w:t xml:space="preserve"> During the third quarter of 2023 and 2022, we recorded a gain of $0.4 million and $0.5 million, respectively, related to foreign currency impact of certain intercompany loans. Management believes excluding this charge is useful as it allows investors to evaluate our performance for different periods on a more comparable basis. This is consistent with how management reviews and assesses Equifax's historical performance and is useful when planning, forecasting and analyzing future periods.</w:t>
      </w:r>
    </w:p>
    <w:p>
      <w:pPr>
        <w:spacing w:after="0" w:line="18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Acquisition-related costs other than acquisition amortization -</w:t>
      </w:r>
      <w:r>
        <w:rPr>
          <w:rFonts w:ascii="Arial" w:cs="Arial" w:eastAsia="Arial" w:hAnsi="Arial"/>
          <w:sz w:val="23"/>
          <w:szCs w:val="23"/>
          <w:color w:val="auto"/>
        </w:rPr>
        <w:t xml:space="preserve"> During the third quarter of</w:t>
      </w:r>
    </w:p>
    <w:p>
      <w:pPr>
        <w:spacing w:after="0" w:line="55" w:lineRule="exact"/>
        <w:rPr>
          <w:sz w:val="20"/>
          <w:szCs w:val="20"/>
          <w:color w:val="auto"/>
        </w:rPr>
      </w:pPr>
    </w:p>
    <w:p>
      <w:pPr>
        <w:spacing w:after="0"/>
        <w:rPr>
          <w:sz w:val="20"/>
          <w:szCs w:val="20"/>
          <w:color w:val="auto"/>
        </w:rPr>
      </w:pPr>
      <w:r>
        <w:rPr>
          <w:rFonts w:ascii="Arial" w:cs="Arial" w:eastAsia="Arial" w:hAnsi="Arial"/>
          <w:sz w:val="24"/>
          <w:szCs w:val="24"/>
          <w:color w:val="auto"/>
        </w:rPr>
        <w:t>2023 and 2022, we recorded $24.4 million ($19.9 million, net of tax) and $19.1 million</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($14.4 million, net of tax), respectively, for acquisition-related costs other than acquisition</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amortization. These costs primarily related to integration costs resulting from recent</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acquisitions and were recorded in operating income. Management believes excluding this</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charge from certain financial results provides meaningful supplemental information regarding</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our financial results, since a charge of such an amount is not comparable among the</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periods. This is consistent with how our management reviews and assesses Equifax's</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historical performance and is useful when planning, forecasting, and analyzing future</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color w:val="auto"/>
        </w:rPr>
        <w:t>periods.</w:t>
      </w:r>
    </w:p>
    <w:p>
      <w:pPr>
        <w:spacing w:after="0" w:line="215" w:lineRule="exact"/>
        <w:rPr>
          <w:sz w:val="20"/>
          <w:szCs w:val="20"/>
          <w:color w:val="auto"/>
        </w:rPr>
      </w:pPr>
    </w:p>
    <w:p>
      <w:pPr>
        <w:ind w:right="200"/>
        <w:spacing w:after="0" w:line="251" w:lineRule="auto"/>
        <w:rPr>
          <w:sz w:val="20"/>
          <w:szCs w:val="20"/>
          <w:color w:val="auto"/>
        </w:rPr>
      </w:pPr>
      <w:r>
        <w:rPr>
          <w:rFonts w:ascii="Arial" w:cs="Arial" w:eastAsia="Arial" w:hAnsi="Arial"/>
          <w:sz w:val="24"/>
          <w:szCs w:val="24"/>
          <w:b w:val="1"/>
          <w:bCs w:val="1"/>
          <w:color w:val="auto"/>
        </w:rPr>
        <w:t>Income tax effects of stock awards that are recognized upon vesting or settlement</w:t>
      </w:r>
      <w:r>
        <w:rPr>
          <w:rFonts w:ascii="Arial" w:cs="Arial" w:eastAsia="Arial" w:hAnsi="Arial"/>
          <w:sz w:val="24"/>
          <w:szCs w:val="24"/>
          <w:color w:val="auto"/>
        </w:rPr>
        <w:t>-During the third quarter of 2023, we recorded a tax benefit of $0.3 million related to the tax effects of deductions for stock compensation in excess of amounts recorded for compensation costs. During the third quarter of 2022, we recorded a tax benefit of $0.2 million related to the tax effects of deductions for stock compensation in excess of amounts recorded for compensation costs. Management believes excluding this tax effect from financial results provides meaningful supplemental information regarding our financial results for the three months ended September 30, 2023 and 2022 because these amounts are non-operating and relate to income tax benefits or deficiencies for stock awards recognized when tax amounts differ from recognized stock compensation cost. This is consistent with how management reviews and assesses Equifax's historical performance and is useful when planning, forecasting and analyzing future periods.</w:t>
      </w:r>
    </w:p>
    <w:p>
      <w:pPr>
        <w:spacing w:after="0" w:line="196" w:lineRule="exact"/>
        <w:rPr>
          <w:sz w:val="20"/>
          <w:szCs w:val="20"/>
          <w:color w:val="auto"/>
        </w:rPr>
      </w:pPr>
    </w:p>
    <w:p>
      <w:pPr>
        <w:spacing w:after="0" w:line="252" w:lineRule="auto"/>
        <w:rPr>
          <w:sz w:val="20"/>
          <w:szCs w:val="20"/>
          <w:color w:val="auto"/>
        </w:rPr>
      </w:pPr>
      <w:r>
        <w:rPr>
          <w:rFonts w:ascii="Arial" w:cs="Arial" w:eastAsia="Arial" w:hAnsi="Arial"/>
          <w:sz w:val="24"/>
          <w:szCs w:val="24"/>
          <w:b w:val="1"/>
          <w:bCs w:val="1"/>
          <w:color w:val="auto"/>
        </w:rPr>
        <w:t>Argentina highly inflationary foreign currency adjustment</w:t>
      </w:r>
      <w:r>
        <w:rPr>
          <w:rFonts w:ascii="Arial" w:cs="Arial" w:eastAsia="Arial" w:hAnsi="Arial"/>
          <w:sz w:val="24"/>
          <w:szCs w:val="24"/>
          <w:color w:val="auto"/>
        </w:rPr>
        <w:t xml:space="preserve"> - Argentina experienced multiple periods of increasing inflation rates, devaluation of the peso, and increasing borrowing rates. As such, Argentina was deemed a highly inflationary economy by accounting policymakers. We recorded a foreign currency loss of $0.4 million and a foreign currency gain of $0.2 million during the third quarter of 2023 and 2022, respectively, as a result of remeasuring the peso denominated monetary assets and liabilities due to Argentina being highly inflationary. Management believes excluding this charge is useful as it allows investors to evaluate our performance for different periods on a more comparable basis. This is consistent with how management reviews and assesses Equifax's historical performance and is useful when planning, forecasting and analyzing future periods.</w:t>
      </w:r>
    </w:p>
    <w:p>
      <w:pPr>
        <w:spacing w:after="0" w:line="1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Adjustment related to the realignment of resources and other costs</w:t>
      </w:r>
      <w:r>
        <w:rPr>
          <w:rFonts w:ascii="Arial" w:cs="Arial" w:eastAsia="Arial" w:hAnsi="Arial"/>
          <w:sz w:val="24"/>
          <w:szCs w:val="24"/>
          <w:color w:val="auto"/>
        </w:rPr>
        <w:t xml:space="preserve"> - During the third</w:t>
      </w:r>
    </w:p>
    <w:p>
      <w:pPr>
        <w:sectPr>
          <w:pgSz w:w="12240" w:h="15840" w:orient="portrait"/>
          <w:cols w:equalWidth="0" w:num="1">
            <w:col w:w="9840"/>
          </w:cols>
          <w:pgMar w:left="1200" w:top="1057" w:right="1200" w:bottom="206" w:gutter="0" w:footer="0" w:header="0"/>
        </w:sectPr>
      </w:pPr>
    </w:p>
    <w:bookmarkStart w:id="15" w:name="page16"/>
    <w:bookmarkEnd w:id="15"/>
    <w:p>
      <w:pPr>
        <w:spacing w:after="0" w:line="253" w:lineRule="auto"/>
        <w:rPr>
          <w:sz w:val="20"/>
          <w:szCs w:val="20"/>
          <w:color w:val="auto"/>
        </w:rPr>
      </w:pPr>
      <w:r>
        <w:rPr>
          <w:rFonts w:ascii="Arial" w:cs="Arial" w:eastAsia="Arial" w:hAnsi="Arial"/>
          <w:sz w:val="24"/>
          <w:szCs w:val="24"/>
          <w:color w:val="auto"/>
        </w:rPr>
        <w:t>quarter of 2023, we recorded an adjustment of $2.3 million ($ 1.7 million, net of tax) to previous restructuring charges as we refined our estimate for the realignment of resources and other costs recorded in Q2 2023. Management believes excluding this adjustment from certain financial results provides meaningful supplemental information regarding our financial results for the three months ended September 30, 2023, since the adjustment is not comparable among the periods. This is consistent with how our management reviews and assesses Equifax's historical performance and is useful when planning, forecasting and analyzing future periods.</w:t>
      </w:r>
    </w:p>
    <w:p>
      <w:pPr>
        <w:spacing w:after="0" w:line="189" w:lineRule="exact"/>
        <w:rPr>
          <w:sz w:val="20"/>
          <w:szCs w:val="20"/>
          <w:color w:val="auto"/>
        </w:rPr>
      </w:pPr>
    </w:p>
    <w:p>
      <w:pPr>
        <w:ind w:right="100"/>
        <w:spacing w:after="0" w:line="256" w:lineRule="auto"/>
        <w:rPr>
          <w:sz w:val="20"/>
          <w:szCs w:val="20"/>
          <w:color w:val="auto"/>
        </w:rPr>
      </w:pPr>
      <w:r>
        <w:rPr>
          <w:rFonts w:ascii="Arial" w:cs="Arial" w:eastAsia="Arial" w:hAnsi="Arial"/>
          <w:sz w:val="24"/>
          <w:szCs w:val="24"/>
          <w:b w:val="1"/>
          <w:bCs w:val="1"/>
          <w:color w:val="auto"/>
        </w:rPr>
        <w:t>Gain on settlement of Canada pension plan</w:t>
      </w:r>
      <w:r>
        <w:rPr>
          <w:rFonts w:ascii="Arial" w:cs="Arial" w:eastAsia="Arial" w:hAnsi="Arial"/>
          <w:sz w:val="24"/>
          <w:szCs w:val="24"/>
          <w:color w:val="auto"/>
        </w:rPr>
        <w:t xml:space="preserve"> - During the third quarter of 2022, we recorded an gain on the settlement of our Canada pension plan of $2.2 million ($3.1 million, net of tax). We received a tax deduction for the settlement payments made resulting in a tax benefit. Management believes excluding this charge is useful as it allows investors to evaluate our performance for different periods on a more comparable basis. The impact is recorded to the Other income, net line item within the Consolidated Statements of Income.</w:t>
      </w:r>
    </w:p>
    <w:p>
      <w:pPr>
        <w:spacing w:after="0" w:line="184" w:lineRule="exact"/>
        <w:rPr>
          <w:sz w:val="20"/>
          <w:szCs w:val="20"/>
          <w:color w:val="auto"/>
        </w:rPr>
      </w:pPr>
    </w:p>
    <w:p>
      <w:pPr>
        <w:ind w:right="20"/>
        <w:spacing w:after="0" w:line="252" w:lineRule="auto"/>
        <w:rPr>
          <w:sz w:val="20"/>
          <w:szCs w:val="20"/>
          <w:color w:val="auto"/>
        </w:rPr>
      </w:pPr>
      <w:r>
        <w:rPr>
          <w:rFonts w:ascii="Arial" w:cs="Arial" w:eastAsia="Arial" w:hAnsi="Arial"/>
          <w:sz w:val="24"/>
          <w:szCs w:val="24"/>
          <w:b w:val="1"/>
          <w:bCs w:val="1"/>
          <w:color w:val="auto"/>
        </w:rPr>
        <w:t>Adjustments to deferred tax balances</w:t>
      </w:r>
      <w:r>
        <w:rPr>
          <w:rFonts w:ascii="Arial" w:cs="Arial" w:eastAsia="Arial" w:hAnsi="Arial"/>
          <w:sz w:val="24"/>
          <w:szCs w:val="24"/>
          <w:color w:val="auto"/>
        </w:rPr>
        <w:t xml:space="preserve"> - During the third quarter of 2023, we recorded a tax benefit of $28.2 million related to the write off of a deferred tax liability related to our original investment in Boa Vista Serviços as a result of our purchase of the remaining interest in Boa Vista Serviços in the same quarter. We determined the deferred tax balance should no longer be recorded as a result of our purchase of the remaining interest in Boa Vista Serviços during the third quarter of 2023. Management believes excluding this tax effect from certain financial results provides meaningful supplemental information regarding our financial results for the three months ended September 30, 2023, since this tax benefit is not comparable among the periods. This is consistent with how management reviews and assesses Equifax's historical performance and is useful when planning, forecasting and analyzing future periods.</w:t>
      </w:r>
    </w:p>
    <w:p>
      <w:pPr>
        <w:spacing w:after="0" w:line="187" w:lineRule="exact"/>
        <w:rPr>
          <w:sz w:val="20"/>
          <w:szCs w:val="20"/>
          <w:color w:val="auto"/>
        </w:rPr>
      </w:pPr>
    </w:p>
    <w:p>
      <w:pPr>
        <w:ind w:right="500"/>
        <w:spacing w:after="0" w:line="272" w:lineRule="auto"/>
        <w:rPr>
          <w:sz w:val="20"/>
          <w:szCs w:val="20"/>
          <w:color w:val="auto"/>
        </w:rPr>
      </w:pPr>
      <w:r>
        <w:rPr>
          <w:rFonts w:ascii="Arial" w:cs="Arial" w:eastAsia="Arial" w:hAnsi="Arial"/>
          <w:sz w:val="23"/>
          <w:szCs w:val="23"/>
          <w:b w:val="1"/>
          <w:bCs w:val="1"/>
          <w:color w:val="auto"/>
        </w:rPr>
        <w:t>Adjusted EBITDA and EBITDA margin</w:t>
      </w:r>
      <w:r>
        <w:rPr>
          <w:rFonts w:ascii="Arial" w:cs="Arial" w:eastAsia="Arial" w:hAnsi="Arial"/>
          <w:sz w:val="23"/>
          <w:szCs w:val="23"/>
          <w:color w:val="auto"/>
        </w:rPr>
        <w:t xml:space="preserve"> - Management defines adjusted EBITDA as consolidated net income attributable to Equifax plus net interest expense, income taxes, depreciation and amortization and also excludes certain one-time items. Management believes the use of adjusted EBITDA and adjusted EBITDA margin allows investors to evaluate our performance for different periods on a more comparable basis.</w:t>
      </w:r>
    </w:p>
    <w:p>
      <w:pPr>
        <w:spacing w:after="0" w:line="186" w:lineRule="exact"/>
        <w:rPr>
          <w:sz w:val="20"/>
          <w:szCs w:val="20"/>
          <w:color w:val="auto"/>
        </w:rPr>
      </w:pPr>
    </w:p>
    <w:tbl>
      <w:tblPr>
        <w:tblLayout w:type="fixed"/>
        <w:tblInd w:w="60" w:type="dxa"/>
        <w:tblCellMar>
          <w:top w:w="0" w:type="dxa"/>
          <w:left w:w="0" w:type="dxa"/>
          <w:bottom w:w="0" w:type="dxa"/>
          <w:right w:w="0" w:type="dxa"/>
        </w:tblCellMar>
      </w:tblPr>
      <w:tr>
        <w:trPr>
          <w:trHeight w:val="231"/>
        </w:trPr>
        <w:tc>
          <w:tcPr>
            <w:tcW w:w="1940" w:type="dxa"/>
            <w:vAlign w:val="bottom"/>
          </w:tcPr>
          <w:p>
            <w:pPr>
              <w:spacing w:after="0"/>
              <w:rPr>
                <w:sz w:val="20"/>
                <w:szCs w:val="20"/>
                <w:color w:val="auto"/>
              </w:rPr>
            </w:pPr>
            <w:r>
              <w:rPr>
                <w:rFonts w:ascii="Arial" w:cs="Arial" w:eastAsia="Arial" w:hAnsi="Arial"/>
                <w:sz w:val="17"/>
                <w:szCs w:val="17"/>
                <w:b w:val="1"/>
                <w:bCs w:val="1"/>
                <w:color w:val="auto"/>
              </w:rPr>
              <w:t>Contact:</w:t>
            </w:r>
          </w:p>
        </w:tc>
        <w:tc>
          <w:tcPr>
            <w:tcW w:w="80" w:type="dxa"/>
            <w:vAlign w:val="bottom"/>
          </w:tcPr>
          <w:p>
            <w:pPr>
              <w:spacing w:after="0"/>
              <w:rPr>
                <w:sz w:val="20"/>
                <w:szCs w:val="20"/>
                <w:color w:val="auto"/>
              </w:rPr>
            </w:pPr>
          </w:p>
        </w:tc>
        <w:tc>
          <w:tcPr>
            <w:tcW w:w="2120" w:type="dxa"/>
            <w:vAlign w:val="bottom"/>
          </w:tcPr>
          <w:p>
            <w:pPr>
              <w:spacing w:after="0"/>
              <w:rPr>
                <w:sz w:val="20"/>
                <w:szCs w:val="20"/>
                <w:color w:val="auto"/>
              </w:rPr>
            </w:pPr>
          </w:p>
        </w:tc>
      </w:tr>
      <w:tr>
        <w:trPr>
          <w:trHeight w:val="442"/>
        </w:trPr>
        <w:tc>
          <w:tcPr>
            <w:tcW w:w="1940" w:type="dxa"/>
            <w:vAlign w:val="bottom"/>
          </w:tcPr>
          <w:p>
            <w:pPr>
              <w:spacing w:after="0"/>
              <w:rPr>
                <w:sz w:val="20"/>
                <w:szCs w:val="20"/>
                <w:color w:val="auto"/>
              </w:rPr>
            </w:pPr>
            <w:r>
              <w:rPr>
                <w:rFonts w:ascii="Arial" w:cs="Arial" w:eastAsia="Arial" w:hAnsi="Arial"/>
                <w:sz w:val="17"/>
                <w:szCs w:val="17"/>
                <w:color w:val="auto"/>
              </w:rPr>
              <w:t>Trevor Burns</w:t>
            </w:r>
          </w:p>
        </w:tc>
        <w:tc>
          <w:tcPr>
            <w:tcW w:w="80" w:type="dxa"/>
            <w:vAlign w:val="bottom"/>
          </w:tcPr>
          <w:p>
            <w:pPr>
              <w:spacing w:after="0"/>
              <w:rPr>
                <w:sz w:val="24"/>
                <w:szCs w:val="24"/>
                <w:color w:val="auto"/>
              </w:rPr>
            </w:pPr>
          </w:p>
        </w:tc>
        <w:tc>
          <w:tcPr>
            <w:tcW w:w="2120" w:type="dxa"/>
            <w:vAlign w:val="bottom"/>
          </w:tcPr>
          <w:p>
            <w:pPr>
              <w:spacing w:after="0"/>
              <w:rPr>
                <w:sz w:val="20"/>
                <w:szCs w:val="20"/>
                <w:color w:val="auto"/>
              </w:rPr>
            </w:pPr>
            <w:r>
              <w:rPr>
                <w:rFonts w:ascii="Arial" w:cs="Arial" w:eastAsia="Arial" w:hAnsi="Arial"/>
                <w:sz w:val="17"/>
                <w:szCs w:val="17"/>
                <w:color w:val="auto"/>
              </w:rPr>
              <w:t>Kate Walker</w:t>
            </w:r>
          </w:p>
        </w:tc>
      </w:tr>
      <w:tr>
        <w:trPr>
          <w:trHeight w:val="225"/>
        </w:trPr>
        <w:tc>
          <w:tcPr>
            <w:tcW w:w="1940" w:type="dxa"/>
            <w:vAlign w:val="bottom"/>
          </w:tcPr>
          <w:p>
            <w:pPr>
              <w:spacing w:after="0"/>
              <w:rPr>
                <w:sz w:val="20"/>
                <w:szCs w:val="20"/>
                <w:color w:val="auto"/>
              </w:rPr>
            </w:pPr>
            <w:r>
              <w:rPr>
                <w:rFonts w:ascii="Arial" w:cs="Arial" w:eastAsia="Arial" w:hAnsi="Arial"/>
                <w:sz w:val="17"/>
                <w:szCs w:val="17"/>
                <w:color w:val="auto"/>
              </w:rPr>
              <w:t>Investor Relations</w:t>
            </w:r>
          </w:p>
        </w:tc>
        <w:tc>
          <w:tcPr>
            <w:tcW w:w="80" w:type="dxa"/>
            <w:vAlign w:val="bottom"/>
          </w:tcPr>
          <w:p>
            <w:pPr>
              <w:spacing w:after="0"/>
              <w:rPr>
                <w:sz w:val="19"/>
                <w:szCs w:val="19"/>
                <w:color w:val="auto"/>
              </w:rPr>
            </w:pPr>
          </w:p>
        </w:tc>
        <w:tc>
          <w:tcPr>
            <w:tcW w:w="2120" w:type="dxa"/>
            <w:vAlign w:val="bottom"/>
          </w:tcPr>
          <w:p>
            <w:pPr>
              <w:spacing w:after="0"/>
              <w:rPr>
                <w:sz w:val="20"/>
                <w:szCs w:val="20"/>
                <w:color w:val="auto"/>
              </w:rPr>
            </w:pPr>
            <w:r>
              <w:rPr>
                <w:rFonts w:ascii="Arial" w:cs="Arial" w:eastAsia="Arial" w:hAnsi="Arial"/>
                <w:sz w:val="17"/>
                <w:szCs w:val="17"/>
                <w:color w:val="auto"/>
              </w:rPr>
              <w:t>Media Relations</w:t>
            </w:r>
          </w:p>
        </w:tc>
      </w:tr>
      <w:tr>
        <w:trPr>
          <w:trHeight w:val="188"/>
        </w:trPr>
        <w:tc>
          <w:tcPr>
            <w:tcW w:w="1940" w:type="dxa"/>
            <w:vAlign w:val="bottom"/>
            <w:tcBorders>
              <w:bottom w:val="single" w:sz="8" w:color="auto"/>
            </w:tcBorders>
          </w:tcPr>
          <w:p>
            <w:pPr>
              <w:spacing w:after="0" w:line="188" w:lineRule="exact"/>
              <w:rPr>
                <w:sz w:val="20"/>
                <w:szCs w:val="20"/>
                <w:color w:val="auto"/>
              </w:rPr>
            </w:pPr>
            <w:r>
              <w:rPr>
                <w:rFonts w:ascii="Arial" w:cs="Arial" w:eastAsia="Arial" w:hAnsi="Arial"/>
                <w:sz w:val="17"/>
                <w:szCs w:val="17"/>
                <w:color w:val="auto"/>
                <w:w w:val="96"/>
              </w:rPr>
              <w:t>trevor.burns@equifax.com</w:t>
            </w:r>
          </w:p>
        </w:tc>
        <w:tc>
          <w:tcPr>
            <w:tcW w:w="80" w:type="dxa"/>
            <w:vAlign w:val="bottom"/>
          </w:tcPr>
          <w:p>
            <w:pPr>
              <w:spacing w:after="0"/>
              <w:rPr>
                <w:sz w:val="16"/>
                <w:szCs w:val="16"/>
                <w:color w:val="auto"/>
              </w:rPr>
            </w:pPr>
          </w:p>
        </w:tc>
        <w:tc>
          <w:tcPr>
            <w:tcW w:w="2120" w:type="dxa"/>
            <w:vAlign w:val="bottom"/>
            <w:tcBorders>
              <w:bottom w:val="single" w:sz="8" w:color="auto"/>
            </w:tcBorders>
          </w:tcPr>
          <w:p>
            <w:pPr>
              <w:spacing w:after="0" w:line="188" w:lineRule="exact"/>
              <w:rPr>
                <w:sz w:val="20"/>
                <w:szCs w:val="20"/>
                <w:color w:val="auto"/>
              </w:rPr>
            </w:pPr>
            <w:r>
              <w:rPr>
                <w:rFonts w:ascii="Arial" w:cs="Arial" w:eastAsia="Arial" w:hAnsi="Arial"/>
                <w:sz w:val="17"/>
                <w:szCs w:val="17"/>
                <w:color w:val="auto"/>
                <w:w w:val="95"/>
              </w:rPr>
              <w:t>mediainquiries@equifax.com</w:t>
            </w:r>
          </w:p>
        </w:tc>
      </w:tr>
    </w:tbl>
    <w:p>
      <w:pPr>
        <w:spacing w:after="0" w:line="248" w:lineRule="exact"/>
        <w:rPr>
          <w:sz w:val="20"/>
          <w:szCs w:val="20"/>
          <w:color w:val="auto"/>
        </w:rPr>
      </w:pPr>
    </w:p>
    <w:p>
      <w:pPr>
        <w:ind w:right="180"/>
        <w:spacing w:after="0" w:line="268" w:lineRule="auto"/>
        <w:rPr>
          <w:rFonts w:ascii="Arial" w:cs="Arial" w:eastAsia="Arial" w:hAnsi="Arial"/>
          <w:sz w:val="24"/>
          <w:szCs w:val="24"/>
          <w:u w:val="single" w:color="auto"/>
          <w:color w:val="0000EE"/>
        </w:rPr>
      </w:pPr>
      <w:r>
        <w:rPr>
          <w:sz w:val="1"/>
          <w:szCs w:val="1"/>
          <w:color w:val="auto"/>
        </w:rPr>
        <w:drawing>
          <wp:inline distT="0" distB="0" distL="0" distR="0">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extLst>
                    </a:blip>
                    <a:srcRect/>
                    <a:stretch>
                      <a:fillRect/>
                    </a:stretch>
                  </pic:blipFill>
                  <pic:spPr bwMode="auto">
                    <a:xfrm>
                      <a:off x="0" y="0"/>
                      <a:ext cx="114300" cy="114300"/>
                    </a:xfrm>
                    <a:prstGeom prst="rect">
                      <a:avLst/>
                    </a:prstGeom>
                    <a:noFill/>
                    <a:ln>
                      <a:noFill/>
                    </a:ln>
                  </pic:spPr>
                </pic:pic>
              </a:graphicData>
            </a:graphic>
          </wp:inline>
        </w:drawing>
      </w:r>
      <w:hyperlink r:id="rId44">
        <w:r>
          <w:rPr>
            <w:rFonts w:ascii="Arial" w:cs="Arial" w:eastAsia="Arial" w:hAnsi="Arial"/>
            <w:sz w:val="24"/>
            <w:szCs w:val="24"/>
            <w:color w:val="auto"/>
          </w:rPr>
          <w:t xml:space="preserve"> View original content to download multimedia:</w:t>
        </w:r>
        <w:r>
          <w:rPr>
            <w:rFonts w:ascii="Arial" w:cs="Arial" w:eastAsia="Arial" w:hAnsi="Arial"/>
            <w:sz w:val="24"/>
            <w:szCs w:val="24"/>
            <w:u w:val="single" w:color="auto"/>
            <w:color w:val="0000EE"/>
          </w:rPr>
          <w:t>https://www.prnewswire.com/news-</w:t>
        </w:r>
      </w:hyperlink>
      <w:hyperlink r:id="rId44">
        <w:r>
          <w:rPr>
            <w:rFonts w:ascii="Arial" w:cs="Arial" w:eastAsia="Arial" w:hAnsi="Arial"/>
            <w:sz w:val="24"/>
            <w:szCs w:val="24"/>
            <w:u w:val="single" w:color="auto"/>
            <w:color w:val="0000EE"/>
          </w:rPr>
          <w:t>releases/equifax-third-quarter-results-show-strong-execution-towards-strategic-priorities-in-</w:t>
        </w:r>
      </w:hyperlink>
      <w:hyperlink r:id="rId44">
        <w:r>
          <w:rPr>
            <w:rFonts w:ascii="Arial" w:cs="Arial" w:eastAsia="Arial" w:hAnsi="Arial"/>
            <w:sz w:val="24"/>
            <w:szCs w:val="24"/>
            <w:u w:val="single" w:color="auto"/>
            <w:color w:val="0000EE"/>
          </w:rPr>
          <w:t>challenging-mortgage-market-301961209.html</w:t>
        </w:r>
      </w:hyperlink>
    </w:p>
    <w:p>
      <w:pPr>
        <w:spacing w:after="0" w:line="17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4"/>
          <w:szCs w:val="24"/>
          <w:color w:val="auto"/>
        </w:rPr>
        <w:t>SOURCE Equifax Inc.</w:t>
      </w:r>
    </w:p>
    <w:sectPr>
      <w:pgSz w:w="12240" w:h="15840" w:orient="portrait"/>
      <w:cols w:equalWidth="0" w:num="1">
        <w:col w:w="9820"/>
      </w:cols>
      <w:pgMar w:left="1200" w:top="1057" w:right="12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abstractNum>
  <w:abstractNum w:abstractNumId="1">
    <w:nsid w:val="41B71EFB"/>
    <w:multiLevelType w:val="hybridMultilevel"/>
    <w:lvl w:ilvl="0">
      <w:lvlJc w:val="left"/>
      <w:lvlText w:val="%1."/>
      <w:numFmt w:val="decimal"/>
      <w:start w:val="1"/>
    </w:lvl>
  </w:abstractNum>
  <w:abstractNum w:abstractNumId="2">
    <w:nsid w:val="79E2A9E3"/>
    <w:multiLevelType w:val="hybridMultilevel"/>
    <w:lvl w:ilvl="0">
      <w:lvlJc w:val="left"/>
      <w:lvlText w:val="%1"/>
      <w:numFmt w:val="decimal"/>
      <w:start w:val="1"/>
    </w:lvl>
    <w:lvl w:ilvl="1">
      <w:lvlJc w:val="left"/>
      <w:lvlText w:val="(%2)"/>
      <w:numFmt w:val="decimal"/>
      <w:start w:val="1"/>
    </w:lvl>
  </w:abstractNum>
  <w:abstractNum w:abstractNumId="3">
    <w:nsid w:val="7545E146"/>
    <w:multiLevelType w:val="hybridMultilevel"/>
    <w:lvl w:ilvl="0">
      <w:lvlJc w:val="left"/>
      <w:lvlText w:val="%1."/>
      <w:numFmt w:val="decimal"/>
      <w:start w:val="2"/>
    </w:lvl>
    <w:lvl w:ilvl="1">
      <w:lvlJc w:val="left"/>
      <w:lvlText w:val="%2"/>
      <w:numFmt w:val="decimal"/>
      <w:start w:val="1"/>
    </w:lvl>
  </w:abstractNum>
  <w:abstractNum w:abstractNumId="4">
    <w:nsid w:val="515F007C"/>
    <w:multiLevelType w:val="hybridMultilevel"/>
    <w:lvl w:ilvl="0">
      <w:lvlJc w:val="left"/>
      <w:lvlText w:val="%1."/>
      <w:numFmt w:val="decimal"/>
      <w:start w:val="3"/>
    </w:lvl>
  </w:abstractNum>
  <w:abstractNum w:abstractNumId="5">
    <w:nsid w:val="5BD062C2"/>
    <w:multiLevelType w:val="hybridMultilevel"/>
    <w:lvl w:ilvl="0">
      <w:lvlJc w:val="left"/>
      <w:lvlText w:val="%1."/>
      <w:numFmt w:val="upperLetter"/>
      <w:start w:val="1"/>
    </w:lvl>
  </w:abstractNum>
  <w:abstractNum w:abstractNumId="6">
    <w:nsid w:val="12200854"/>
    <w:multiLevelType w:val="hybridMultilevel"/>
    <w:lvl w:ilvl="0">
      <w:lvlJc w:val="left"/>
      <w:lvlText w:val="(%1)"/>
      <w:numFmt w:val="decimal"/>
      <w:start w:val="1"/>
    </w:lvl>
  </w:abstractNum>
  <w:abstractNum w:abstractNumId="7">
    <w:nsid w:val="4DB127F8"/>
    <w:multiLevelType w:val="hybridMultilevel"/>
    <w:lvl w:ilvl="0">
      <w:lvlJc w:val="left"/>
      <w:lvlText w:val="%1"/>
      <w:numFmt w:val="upperLetter"/>
      <w:start w:val="1"/>
    </w:lvl>
    <w:lvl w:ilvl="1">
      <w:lvlJc w:val="left"/>
      <w:lvlText w:val="(%2)"/>
      <w:numFmt w:val="decimal"/>
      <w:start w:val="6"/>
    </w:lvl>
  </w:abstractNum>
  <w:abstractNum w:abstractNumId="8">
    <w:nsid w:val="216231B"/>
    <w:multiLevelType w:val="hybridMultilevel"/>
    <w:lvl w:ilvl="0">
      <w:lvlJc w:val="left"/>
      <w:lvlText w:val="%1."/>
      <w:numFmt w:val="upperLetter"/>
      <w:start w:val="2"/>
    </w:lvl>
    <w:lvl w:ilvl="1">
      <w:lvlJc w:val="left"/>
      <w:lvlText w:val="%2"/>
      <w:numFmt w:val="decimal"/>
      <w:start w:val="1"/>
    </w:lvl>
  </w:abstractNum>
  <w:abstractNum w:abstractNumId="9">
    <w:nsid w:val="1F16E9E8"/>
    <w:multiLevelType w:val="hybridMultilevel"/>
    <w:lvl w:ilvl="0">
      <w:lvlJc w:val="left"/>
      <w:lvlText w:val="(%1)"/>
      <w:numFmt w:val="decimal"/>
      <w:start w:val="1"/>
    </w:lvl>
  </w:abstractNum>
  <w:abstractNum w:abstractNumId="10">
    <w:nsid w:val="1190CDE7"/>
    <w:multiLevelType w:val="hybridMultilevel"/>
    <w:lvl w:ilvl="0">
      <w:lvlJc w:val="left"/>
      <w:lvlText w:val="%1."/>
      <w:numFmt w:val="upperLetter"/>
      <w:start w:val="3"/>
    </w:lvl>
  </w:abstractNum>
  <w:abstractNum w:abstractNumId="11">
    <w:nsid w:val="66EF438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jpeg"/><Relationship Id="rId13" Type="http://schemas.openxmlformats.org/officeDocument/2006/relationships/hyperlink" Target="https://www.equifax.com/" TargetMode="External"/><Relationship Id="rId38" Type="http://schemas.openxmlformats.org/officeDocument/2006/relationships/hyperlink" Target="http://www.equifax.com" TargetMode="External"/><Relationship Id="rId44" Type="http://schemas.openxmlformats.org/officeDocument/2006/relationships/hyperlink" Target="https://www.prnewswire.com/news-releases/equifax-third-quarter-results-show-strong-execution-towards-strategic-priorities-in-challenging-mortgage-market-301961209.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2023-10-25T23:20:16Z</dcterms:created>
  <dcterms:modified xsi:type="dcterms:W3CDTF">2023-10-25T23:20:16Z</dcterms:modified>
</cp:coreProperties>
</file>