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Scam2Market</w:t>
      </w:r>
    </w:p>
    <w:p>
      <w:pPr>
        <w:pStyle w:val="Subtitle"/>
        <w:jc w:val="center"/>
      </w:pPr>
      <w:r>
        <w:t>An Event-Time Multi-Modal Intelligence Backend For Pump-And-Dump Campaign Detection</w:t>
      </w:r>
    </w:p>
    <w:p>
      <w:pPr>
        <w:jc w:val="center"/>
      </w:pPr>
      <w:r>
        <w:t>Technical Paper | Version 1.0 | 2026-08-12</w:t>
        <w:br/>
        <w:t>Repository: https://github.com/Harish-0412/Scam2Marke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E8EEF5"/>
            <w:tcMar>
              <w:top w:w="80" w:type="dxa"/>
              <w:start w:w="120" w:type="dxa"/>
              <w:bottom w:w="80" w:type="dxa"/>
              <w:end w:w="120" w:type="dxa"/>
            </w:tcMar>
          </w:tcPr>
          <w:p>
            <w:r>
              <w:rPr>
                <w:b/>
              </w:rPr>
              <w:t>Document Purpose</w:t>
            </w:r>
          </w:p>
        </w:tc>
        <w:tc>
          <w:tcPr>
            <w:tcW w:type="dxa" w:w="4680"/>
            <w:shd w:fill="E8EEF5"/>
            <w:tcMar>
              <w:top w:w="80" w:type="dxa"/>
              <w:start w:w="120" w:type="dxa"/>
              <w:bottom w:w="80" w:type="dxa"/>
              <w:end w:w="120" w:type="dxa"/>
            </w:tcMar>
          </w:tcPr>
          <w:p>
            <w:r>
              <w:rPr>
                <w:b/>
              </w:rPr>
              <w:t>System Boundary</w:t>
            </w:r>
          </w:p>
        </w:tc>
      </w:tr>
      <w:tr>
        <w:tc>
          <w:tcPr>
            <w:tcW w:type="dxa" w:w="4680"/>
            <w:tcMar>
              <w:top w:w="80" w:type="dxa"/>
              <w:start w:w="120" w:type="dxa"/>
              <w:bottom w:w="80" w:type="dxa"/>
              <w:end w:w="120" w:type="dxa"/>
            </w:tcMar>
          </w:tcPr>
          <w:p>
            <w:r>
              <w:t>Explain the backend research motivation, novelty, architecture, flows, stack choices, deployment model, and remaining gaps.</w:t>
            </w:r>
          </w:p>
        </w:tc>
        <w:tc>
          <w:tcPr>
            <w:tcW w:type="dxa" w:w="4680"/>
            <w:tcMar>
              <w:top w:w="80" w:type="dxa"/>
              <w:start w:w="120" w:type="dxa"/>
              <w:bottom w:w="80" w:type="dxa"/>
              <w:end w:w="120" w:type="dxa"/>
            </w:tcMar>
          </w:tcPr>
          <w:p>
            <w:r>
              <w:t>Surveillance and intelligence backend only. No trading execution, payment, exchange, marketplace, or financial-advice functionality.</w:t>
            </w:r>
          </w:p>
        </w:tc>
      </w:tr>
    </w:tbl>
    <w:p>
      <w:r>
        <w:br w:type="page"/>
      </w:r>
    </w:p>
    <w:p>
      <w:pPr>
        <w:pStyle w:val="Heading1"/>
      </w:pPr>
      <w:r>
        <w:t>Abstract</w:t>
      </w:r>
    </w:p>
    <w:p>
      <w:pPr>
        <w:spacing w:after="120"/>
      </w:pPr>
      <w:r>
        <w:t>Scam2Market is a backend intelligence system for detecting suspected pump-and-dump and coordinated promotion campaigns by correlating market microstructure signals, social amplification signals, semantic narrative clusters, graph coordination patterns, disclosure verification, and analyst feedback. The project intentionally avoids marketplace, payment, listing, or dispute-management scope. Its central objective is to produce explainable, replayable, evidence-backed surveillance outputs that can be consumed by an analyst dashboard or downstream notification system.</w:t>
      </w:r>
    </w:p>
    <w:p>
      <w:pPr>
        <w:spacing w:after="120"/>
      </w:pPr>
      <w:r>
        <w:t>The novelty of the project lies in combining deterministic event-time replay, multi-modal feature windows, graph/narrative enrichment, temporal claim verification, immutable evidence snapshots, analyst feedback, model governance, and production-shaped deployment controls in one coherent backend architecture. Instead of returning isolated rule-based warnings, the backend maintains campaign state, alert histories, evidence manifests, verification outcomes, and governed model lifecycle metadata.</w:t>
      </w:r>
    </w:p>
    <w:p>
      <w:pPr>
        <w:pStyle w:val="Heading1"/>
      </w:pPr>
      <w:r>
        <w:t>1. Introduction</w:t>
      </w:r>
    </w:p>
    <w:p>
      <w:pPr>
        <w:spacing w:after="120"/>
      </w:pPr>
      <w:r>
        <w:t>Pump-and-dump manipulation is difficult to detect because meaningful signals are distributed across multiple domains. Market activity may show abnormal returns, volume, spread movement, order-book imbalance, and buy/sell pressure. Social media may show sudden mention velocity, concentrated authorship, repeated URLs, repost chains, or coordinated hashtags. Official disclosures and reliable news can distinguish legitimate catalysts from unsupported promotional narratives. Analysts then need durable evidence, not just a risk score.</w:t>
      </w:r>
    </w:p>
    <w:p>
      <w:pPr>
        <w:spacing w:after="120"/>
      </w:pPr>
      <w:r>
        <w:t>Scam2Market addresses this by implementing an event-time surveillance backend that can ingest market and social data, build reproducible features, score risk, stabilize detections into campaigns, alert analysts, preserve immutable evidence, and evaluate behavior through deterministic replay.</w:t>
      </w:r>
    </w:p>
    <w:p>
      <w:pPr>
        <w:pStyle w:val="Heading1"/>
      </w:pPr>
      <w:r>
        <w:t>2. Problem Statement</w:t>
      </w:r>
    </w:p>
    <w:p>
      <w:pPr>
        <w:spacing w:after="120"/>
      </w:pPr>
      <w:r>
        <w:t>The system is designed to answer four operational questions:</w:t>
      </w:r>
    </w:p>
    <w:p>
      <w:pPr>
        <w:pStyle w:val="ListNumber"/>
        <w:spacing w:after="80"/>
        <w:ind w:left="360" w:hanging="144"/>
      </w:pPr>
      <w:r>
        <w:t>Is an asset experiencing abnormal market behavior relative to recent baseline?</w:t>
      </w:r>
    </w:p>
    <w:p>
      <w:pPr>
        <w:pStyle w:val="ListNumber"/>
        <w:spacing w:after="80"/>
        <w:ind w:left="360" w:hanging="144"/>
      </w:pPr>
      <w:r>
        <w:t>Is social attention rising organically or through concentrated/coordinated amplification?</w:t>
      </w:r>
    </w:p>
    <w:p>
      <w:pPr>
        <w:pStyle w:val="ListNumber"/>
        <w:spacing w:after="80"/>
        <w:ind w:left="360" w:hanging="144"/>
      </w:pPr>
      <w:r>
        <w:t>Are the narratives being promoted supported by official disclosures before the alert time?</w:t>
      </w:r>
    </w:p>
    <w:p>
      <w:pPr>
        <w:pStyle w:val="ListNumber"/>
        <w:spacing w:after="80"/>
        <w:ind w:left="360" w:hanging="144"/>
      </w:pPr>
      <w:r>
        <w:t>Can the system explain, replay, audit, and improve the alert decision?</w:t>
      </w:r>
    </w:p>
    <w:p>
      <w:pPr>
        <w:spacing w:after="120"/>
      </w:pPr>
      <w:r>
        <w:t>A production-ready answer requires more than a classifier. It requires source quality tracking, replayability, tenant isolation, evidence lineage, real-time delivery, and governance over model promotion.</w:t>
      </w:r>
    </w:p>
    <w:p>
      <w:pPr>
        <w:pStyle w:val="Heading1"/>
      </w:pPr>
      <w:r>
        <w:t>3. Research Motivation And Novelty</w:t>
      </w:r>
    </w:p>
    <w:p>
      <w:pPr>
        <w:spacing w:after="120"/>
      </w:pPr>
      <w:r>
        <w:t>The project is novel at the implementation level because it treats manipulation detection as an intelligence workflow rather than a one-step prediction problem.</w:t>
      </w:r>
    </w:p>
    <w:p>
      <w:pPr>
        <w:spacing w:after="120"/>
      </w:pPr>
      <w:r>
        <w:t>Key novel aspects:</w:t>
      </w:r>
    </w:p>
    <w:p>
      <w:pPr>
        <w:pStyle w:val="ListBullet"/>
        <w:spacing w:after="80"/>
        <w:ind w:left="360" w:hanging="144"/>
      </w:pPr>
      <w:r>
        <w:t>Event-time-first design: windows, scores, claim retrieval, and replay are based on event time rather than ingestion time.</w:t>
      </w:r>
    </w:p>
    <w:p>
      <w:pPr>
        <w:pStyle w:val="ListBullet"/>
        <w:spacing w:after="80"/>
        <w:ind w:left="360" w:hanging="144"/>
      </w:pPr>
      <w:r>
        <w:t>Multi-modal correlation: market, social, graph, temporal, and verification signals are represented separately before fusion.</w:t>
      </w:r>
    </w:p>
    <w:p>
      <w:pPr>
        <w:pStyle w:val="ListBullet"/>
        <w:spacing w:after="80"/>
        <w:ind w:left="360" w:hanging="144"/>
      </w:pPr>
      <w:r>
        <w:t>Campaign state instead of noisy one-off alerts: repeated scores update a campaign lifecycle from early social seeding through pump/dump/post-event stages.</w:t>
      </w:r>
    </w:p>
    <w:p>
      <w:pPr>
        <w:pStyle w:val="ListBullet"/>
        <w:spacing w:after="80"/>
        <w:ind w:left="360" w:hanging="144"/>
      </w:pPr>
      <w:r>
        <w:t>Temporal claim verification: official-source evidence must exist before the alert time to reduce risk; future documents cannot justify past alerts.</w:t>
      </w:r>
    </w:p>
    <w:p>
      <w:pPr>
        <w:pStyle w:val="ListBullet"/>
        <w:spacing w:after="80"/>
        <w:ind w:left="360" w:hanging="144"/>
      </w:pPr>
      <w:r>
        <w:t>Evidence preservation: high-risk alerts are linked to immutable evidence snapshots with content hashes and access auditing.</w:t>
      </w:r>
    </w:p>
    <w:p>
      <w:pPr>
        <w:pStyle w:val="ListBullet"/>
        <w:spacing w:after="80"/>
        <w:ind w:left="360" w:hanging="144"/>
      </w:pPr>
      <w:r>
        <w:t>Governance loop: labels, calibration, drift reports, false-positive feedback, MLflow metadata, and shadow scoring are designed into the backend.</w:t>
      </w:r>
    </w:p>
    <w:p>
      <w:pPr>
        <w:pStyle w:val="ListBullet"/>
        <w:spacing w:after="80"/>
        <w:ind w:left="360" w:hanging="144"/>
      </w:pPr>
      <w:r>
        <w:t>Production-shaped architecture: CI/CD, Docker, Terraform, Helm, TLS, backups, restore drills, SLOs, and runbooks are included alongside application logic.</w:t>
      </w:r>
    </w:p>
    <w:p>
      <w:pPr>
        <w:pStyle w:val="Heading1"/>
      </w:pPr>
      <w:r>
        <w:t>4. Scope</w:t>
      </w:r>
    </w:p>
    <w:p>
      <w:pPr>
        <w:spacing w:after="120"/>
      </w:pPr>
      <w:r>
        <w:t>In scope:</w:t>
      </w:r>
    </w:p>
    <w:p>
      <w:pPr>
        <w:pStyle w:val="ListBullet"/>
        <w:spacing w:after="80"/>
        <w:ind w:left="360" w:hanging="144"/>
      </w:pPr>
      <w:r>
        <w:t>pump-and-dump intelligence backend;</w:t>
      </w:r>
    </w:p>
    <w:p>
      <w:pPr>
        <w:pStyle w:val="ListBullet"/>
        <w:spacing w:after="80"/>
        <w:ind w:left="360" w:hanging="144"/>
      </w:pPr>
      <w:r>
        <w:t>market/social ingestion and replay;</w:t>
      </w:r>
    </w:p>
    <w:p>
      <w:pPr>
        <w:pStyle w:val="ListBullet"/>
        <w:spacing w:after="80"/>
        <w:ind w:left="360" w:hanging="144"/>
      </w:pPr>
      <w:r>
        <w:t>event-time feature windows;</w:t>
      </w:r>
    </w:p>
    <w:p>
      <w:pPr>
        <w:pStyle w:val="ListBullet"/>
        <w:spacing w:after="80"/>
        <w:ind w:left="360" w:hanging="144"/>
      </w:pPr>
      <w:r>
        <w:t>campaign and alert engine;</w:t>
      </w:r>
    </w:p>
    <w:p>
      <w:pPr>
        <w:pStyle w:val="ListBullet"/>
        <w:spacing w:after="80"/>
        <w:ind w:left="360" w:hanging="144"/>
      </w:pPr>
      <w:r>
        <w:t>narrative and graph intelligence;</w:t>
      </w:r>
    </w:p>
    <w:p>
      <w:pPr>
        <w:pStyle w:val="ListBullet"/>
        <w:spacing w:after="80"/>
        <w:ind w:left="360" w:hanging="144"/>
      </w:pPr>
      <w:r>
        <w:t>disclosure and claim verification;</w:t>
      </w:r>
    </w:p>
    <w:p>
      <w:pPr>
        <w:pStyle w:val="ListBullet"/>
        <w:spacing w:after="80"/>
        <w:ind w:left="360" w:hanging="144"/>
      </w:pPr>
      <w:r>
        <w:t>evidence, investigation, feedback, and evaluation workflows;</w:t>
      </w:r>
    </w:p>
    <w:p>
      <w:pPr>
        <w:pStyle w:val="ListBullet"/>
        <w:spacing w:after="80"/>
        <w:ind w:left="360" w:hanging="144"/>
      </w:pPr>
      <w:r>
        <w:t>authentication, RBAC, tenancy, observability, and deployment assets.</w:t>
      </w:r>
    </w:p>
    <w:p>
      <w:pPr>
        <w:spacing w:after="120"/>
      </w:pPr>
      <w:r>
        <w:t>Out of scope:</w:t>
      </w:r>
    </w:p>
    <w:p>
      <w:pPr>
        <w:pStyle w:val="ListBullet"/>
        <w:spacing w:after="80"/>
        <w:ind w:left="360" w:hanging="144"/>
      </w:pPr>
      <w:r>
        <w:t>trading execution;</w:t>
      </w:r>
    </w:p>
    <w:p>
      <w:pPr>
        <w:pStyle w:val="ListBullet"/>
        <w:spacing w:after="80"/>
        <w:ind w:left="360" w:hanging="144"/>
      </w:pPr>
      <w:r>
        <w:t>financial advice;</w:t>
      </w:r>
    </w:p>
    <w:p>
      <w:pPr>
        <w:pStyle w:val="ListBullet"/>
        <w:spacing w:after="80"/>
        <w:ind w:left="360" w:hanging="144"/>
      </w:pPr>
      <w:r>
        <w:t>marketplace listings;</w:t>
      </w:r>
    </w:p>
    <w:p>
      <w:pPr>
        <w:pStyle w:val="ListBullet"/>
        <w:spacing w:after="80"/>
        <w:ind w:left="360" w:hanging="144"/>
      </w:pPr>
      <w:r>
        <w:t>payments;</w:t>
      </w:r>
    </w:p>
    <w:p>
      <w:pPr>
        <w:pStyle w:val="ListBullet"/>
        <w:spacing w:after="80"/>
        <w:ind w:left="360" w:hanging="144"/>
      </w:pPr>
      <w:r>
        <w:t>buyer/seller disputes;</w:t>
      </w:r>
    </w:p>
    <w:p>
      <w:pPr>
        <w:pStyle w:val="ListBullet"/>
        <w:spacing w:after="80"/>
        <w:ind w:left="360" w:hanging="144"/>
      </w:pPr>
      <w:r>
        <w:t>custody, brokerage, or exchange functionality.</w:t>
      </w:r>
    </w:p>
    <w:p>
      <w:pPr>
        <w:pStyle w:val="Heading1"/>
      </w:pPr>
      <w:r>
        <w:t>5. System Architecture</w:t>
      </w:r>
    </w:p>
    <w:p>
      <w:pPr>
        <w:spacing w:after="120"/>
      </w:pPr>
      <w:r>
        <w:t>The backend follows a modular-monolith codebase with worker entrypoints and event-streamed boundaries. This design keeps development and deployment manageable while retaining clear ownership between ingestion, features, scoring, campaign handling, evidence, governance, and operations.</w:t>
      </w:r>
    </w:p>
    <w:p>
      <w:pPr>
        <w:spacing w:after="120"/>
      </w:pPr>
      <w:r>
        <w:t>Primary runtime components:</w:t>
      </w:r>
    </w:p>
    <w:p>
      <w:pPr>
        <w:pStyle w:val="ListBullet"/>
        <w:spacing w:after="80"/>
        <w:ind w:left="360" w:hanging="144"/>
      </w:pPr>
      <w:r>
        <w:t>FastAPI API service;</w:t>
      </w:r>
    </w:p>
    <w:p>
      <w:pPr>
        <w:pStyle w:val="ListBullet"/>
        <w:spacing w:after="80"/>
        <w:ind w:left="360" w:hanging="144"/>
      </w:pPr>
      <w:r>
        <w:t>market ingestor;</w:t>
      </w:r>
    </w:p>
    <w:p>
      <w:pPr>
        <w:pStyle w:val="ListBullet"/>
        <w:spacing w:after="80"/>
        <w:ind w:left="360" w:hanging="144"/>
      </w:pPr>
      <w:r>
        <w:t>social ingestor;</w:t>
      </w:r>
    </w:p>
    <w:p>
      <w:pPr>
        <w:pStyle w:val="ListBullet"/>
        <w:spacing w:after="80"/>
        <w:ind w:left="360" w:hanging="144"/>
      </w:pPr>
      <w:r>
        <w:t>feature worker;</w:t>
      </w:r>
    </w:p>
    <w:p>
      <w:pPr>
        <w:pStyle w:val="ListBullet"/>
        <w:spacing w:after="80"/>
        <w:ind w:left="360" w:hanging="144"/>
      </w:pPr>
      <w:r>
        <w:t>intelligence worker;</w:t>
      </w:r>
    </w:p>
    <w:p>
      <w:pPr>
        <w:pStyle w:val="ListBullet"/>
        <w:spacing w:after="80"/>
        <w:ind w:left="360" w:hanging="144"/>
      </w:pPr>
      <w:r>
        <w:t>campaign worker;</w:t>
      </w:r>
    </w:p>
    <w:p>
      <w:pPr>
        <w:pStyle w:val="ListBullet"/>
        <w:spacing w:after="80"/>
        <w:ind w:left="360" w:hanging="144"/>
      </w:pPr>
      <w:r>
        <w:t>realtime worker;</w:t>
      </w:r>
    </w:p>
    <w:p>
      <w:pPr>
        <w:pStyle w:val="ListBullet"/>
        <w:spacing w:after="80"/>
        <w:ind w:left="360" w:hanging="144"/>
      </w:pPr>
      <w:r>
        <w:t>narrative/graph worker;</w:t>
      </w:r>
    </w:p>
    <w:p>
      <w:pPr>
        <w:pStyle w:val="ListBullet"/>
        <w:spacing w:after="80"/>
        <w:ind w:left="360" w:hanging="144"/>
      </w:pPr>
      <w:r>
        <w:t>verification worker;</w:t>
      </w:r>
    </w:p>
    <w:p>
      <w:pPr>
        <w:pStyle w:val="ListBullet"/>
        <w:spacing w:after="80"/>
        <w:ind w:left="360" w:hanging="144"/>
      </w:pPr>
      <w:r>
        <w:t>evidence worker;</w:t>
      </w:r>
    </w:p>
    <w:p>
      <w:pPr>
        <w:pStyle w:val="ListBullet"/>
        <w:spacing w:after="80"/>
        <w:ind w:left="360" w:hanging="144"/>
      </w:pPr>
      <w:r>
        <w:t>notification worker;</w:t>
      </w:r>
    </w:p>
    <w:p>
      <w:pPr>
        <w:pStyle w:val="ListBullet"/>
        <w:spacing w:after="80"/>
        <w:ind w:left="360" w:hanging="144"/>
      </w:pPr>
      <w:r>
        <w:t>replay scheduler;</w:t>
      </w:r>
    </w:p>
    <w:p>
      <w:pPr>
        <w:pStyle w:val="ListBullet"/>
        <w:spacing w:after="80"/>
        <w:ind w:left="360" w:hanging="144"/>
      </w:pPr>
      <w:r>
        <w:t>archive worker.</w:t>
      </w:r>
    </w:p>
    <w:p>
      <w:pPr>
        <w:spacing w:after="120"/>
      </w:pPr>
      <w:r>
        <w:t>Primary storage and infrastructure:</w:t>
      </w:r>
    </w:p>
    <w:p>
      <w:pPr>
        <w:pStyle w:val="ListBullet"/>
        <w:spacing w:after="80"/>
        <w:ind w:left="360" w:hanging="144"/>
      </w:pPr>
      <w:r>
        <w:t>TimescaleDB/PostgreSQL for relational and time-series state;</w:t>
      </w:r>
    </w:p>
    <w:p>
      <w:pPr>
        <w:pStyle w:val="ListBullet"/>
        <w:spacing w:after="80"/>
        <w:ind w:left="360" w:hanging="144"/>
      </w:pPr>
      <w:r>
        <w:t>Redis for low-latency state, deduplication, rate limiting, streams, and checkpoints;</w:t>
      </w:r>
    </w:p>
    <w:p>
      <w:pPr>
        <w:pStyle w:val="ListBullet"/>
        <w:spacing w:after="80"/>
        <w:ind w:left="360" w:hanging="144"/>
      </w:pPr>
      <w:r>
        <w:t>Redpanda/Kafka for event topics;</w:t>
      </w:r>
    </w:p>
    <w:p>
      <w:pPr>
        <w:pStyle w:val="ListBullet"/>
        <w:spacing w:after="80"/>
        <w:ind w:left="360" w:hanging="144"/>
      </w:pPr>
      <w:r>
        <w:t>Qdrant for embeddings and retrieval;</w:t>
      </w:r>
    </w:p>
    <w:p>
      <w:pPr>
        <w:pStyle w:val="ListBullet"/>
        <w:spacing w:after="80"/>
        <w:ind w:left="360" w:hanging="144"/>
      </w:pPr>
      <w:r>
        <w:t>Neo4j for graph projection;</w:t>
      </w:r>
    </w:p>
    <w:p>
      <w:pPr>
        <w:pStyle w:val="ListBullet"/>
        <w:spacing w:after="80"/>
        <w:ind w:left="360" w:hanging="144"/>
      </w:pPr>
      <w:r>
        <w:t>MLflow for experiment and model metadata;</w:t>
      </w:r>
    </w:p>
    <w:p>
      <w:pPr>
        <w:pStyle w:val="ListBullet"/>
        <w:spacing w:after="80"/>
        <w:ind w:left="360" w:hanging="144"/>
      </w:pPr>
      <w:r>
        <w:t>object storage or local Parquet archive for immutable raw event storage;</w:t>
      </w:r>
    </w:p>
    <w:p>
      <w:pPr>
        <w:pStyle w:val="ListBullet"/>
        <w:spacing w:after="80"/>
        <w:ind w:left="360" w:hanging="144"/>
      </w:pPr>
      <w:r>
        <w:t>Prometheus, Grafana, and OpenTelemetry for observability.</w:t>
      </w:r>
    </w:p>
    <w:p>
      <w:pPr>
        <w:pStyle w:val="Heading1"/>
      </w:pPr>
      <w:r>
        <w:t>6. Data Model</w:t>
      </w:r>
    </w:p>
    <w:p>
      <w:pPr>
        <w:spacing w:after="120"/>
      </w:pPr>
      <w:r>
        <w:t xml:space="preserve">Core domain objects include </w:t>
      </w:r>
      <w:r>
        <w:rPr>
          <w:rFonts w:ascii="Consolas" w:hAnsi="Consolas" w:eastAsia="Consolas"/>
          <w:color w:val="7A5A00"/>
          <w:sz w:val="19"/>
        </w:rPr>
        <w:t>Asset</w:t>
      </w:r>
      <w:r>
        <w:t xml:space="preserve">, </w:t>
      </w:r>
      <w:r>
        <w:rPr>
          <w:rFonts w:ascii="Consolas" w:hAnsi="Consolas" w:eastAsia="Consolas"/>
          <w:color w:val="7A5A00"/>
          <w:sz w:val="19"/>
        </w:rPr>
        <w:t>MarketTrade</w:t>
      </w:r>
      <w:r>
        <w:t xml:space="preserve">, </w:t>
      </w:r>
      <w:r>
        <w:rPr>
          <w:rFonts w:ascii="Consolas" w:hAnsi="Consolas" w:eastAsia="Consolas"/>
          <w:color w:val="7A5A00"/>
          <w:sz w:val="19"/>
        </w:rPr>
        <w:t>MarketCandle</w:t>
      </w:r>
      <w:r>
        <w:t xml:space="preserve">, </w:t>
      </w:r>
      <w:r>
        <w:rPr>
          <w:rFonts w:ascii="Consolas" w:hAnsi="Consolas" w:eastAsia="Consolas"/>
          <w:color w:val="7A5A00"/>
          <w:sz w:val="19"/>
        </w:rPr>
        <w:t>OrderBookUpdate</w:t>
      </w:r>
      <w:r>
        <w:t xml:space="preserve">, </w:t>
      </w:r>
      <w:r>
        <w:rPr>
          <w:rFonts w:ascii="Consolas" w:hAnsi="Consolas" w:eastAsia="Consolas"/>
          <w:color w:val="7A5A00"/>
          <w:sz w:val="19"/>
        </w:rPr>
        <w:t>SocialPost</w:t>
      </w:r>
      <w:r>
        <w:t xml:space="preserve">, </w:t>
      </w:r>
      <w:r>
        <w:rPr>
          <w:rFonts w:ascii="Consolas" w:hAnsi="Consolas" w:eastAsia="Consolas"/>
          <w:color w:val="7A5A00"/>
          <w:sz w:val="19"/>
        </w:rPr>
        <w:t>AssetMention</w:t>
      </w:r>
      <w:r>
        <w:t xml:space="preserve">, </w:t>
      </w:r>
      <w:r>
        <w:rPr>
          <w:rFonts w:ascii="Consolas" w:hAnsi="Consolas" w:eastAsia="Consolas"/>
          <w:color w:val="7A5A00"/>
          <w:sz w:val="19"/>
        </w:rPr>
        <w:t>Disclosure</w:t>
      </w:r>
      <w:r>
        <w:t xml:space="preserve">, </w:t>
      </w:r>
      <w:r>
        <w:rPr>
          <w:rFonts w:ascii="Consolas" w:hAnsi="Consolas" w:eastAsia="Consolas"/>
          <w:color w:val="7A5A00"/>
          <w:sz w:val="19"/>
        </w:rPr>
        <w:t>FeatureWindow</w:t>
      </w:r>
      <w:r>
        <w:t xml:space="preserve">, </w:t>
      </w:r>
      <w:r>
        <w:rPr>
          <w:rFonts w:ascii="Consolas" w:hAnsi="Consolas" w:eastAsia="Consolas"/>
          <w:color w:val="7A5A00"/>
          <w:sz w:val="19"/>
        </w:rPr>
        <w:t>Narrative</w:t>
      </w:r>
      <w:r>
        <w:t xml:space="preserve">, </w:t>
      </w:r>
      <w:r>
        <w:rPr>
          <w:rFonts w:ascii="Consolas" w:hAnsi="Consolas" w:eastAsia="Consolas"/>
          <w:color w:val="7A5A00"/>
          <w:sz w:val="19"/>
        </w:rPr>
        <w:t>GraphSnapshot</w:t>
      </w:r>
      <w:r>
        <w:t xml:space="preserve">, </w:t>
      </w:r>
      <w:r>
        <w:rPr>
          <w:rFonts w:ascii="Consolas" w:hAnsi="Consolas" w:eastAsia="Consolas"/>
          <w:color w:val="7A5A00"/>
          <w:sz w:val="19"/>
        </w:rPr>
        <w:t>ModelScore</w:t>
      </w:r>
      <w:r>
        <w:t xml:space="preserve">, </w:t>
      </w:r>
      <w:r>
        <w:rPr>
          <w:rFonts w:ascii="Consolas" w:hAnsi="Consolas" w:eastAsia="Consolas"/>
          <w:color w:val="7A5A00"/>
          <w:sz w:val="19"/>
        </w:rPr>
        <w:t>Campaign</w:t>
      </w:r>
      <w:r>
        <w:t xml:space="preserve">, </w:t>
      </w:r>
      <w:r>
        <w:rPr>
          <w:rFonts w:ascii="Consolas" w:hAnsi="Consolas" w:eastAsia="Consolas"/>
          <w:color w:val="7A5A00"/>
          <w:sz w:val="19"/>
        </w:rPr>
        <w:t>Alert</w:t>
      </w:r>
      <w:r>
        <w:t xml:space="preserve">, </w:t>
      </w:r>
      <w:r>
        <w:rPr>
          <w:rFonts w:ascii="Consolas" w:hAnsi="Consolas" w:eastAsia="Consolas"/>
          <w:color w:val="7A5A00"/>
          <w:sz w:val="19"/>
        </w:rPr>
        <w:t>EvidenceSnapshot</w:t>
      </w:r>
      <w:r>
        <w:t xml:space="preserve">, </w:t>
      </w:r>
      <w:r>
        <w:rPr>
          <w:rFonts w:ascii="Consolas" w:hAnsi="Consolas" w:eastAsia="Consolas"/>
          <w:color w:val="7A5A00"/>
          <w:sz w:val="19"/>
        </w:rPr>
        <w:t>Investigation</w:t>
      </w:r>
      <w:r>
        <w:t xml:space="preserve">, and </w:t>
      </w:r>
      <w:r>
        <w:rPr>
          <w:rFonts w:ascii="Consolas" w:hAnsi="Consolas" w:eastAsia="Consolas"/>
          <w:color w:val="7A5A00"/>
          <w:sz w:val="19"/>
        </w:rPr>
        <w:t>ReplaySession</w:t>
      </w:r>
      <w:r>
        <w:t>.</w:t>
      </w:r>
    </w:p>
    <w:p>
      <w:pPr>
        <w:spacing w:after="120"/>
      </w:pPr>
      <w:r>
        <w:t>The canonical event envelope includes event identity, schema version, source metadata, asset partitioning, event time, ingestion time, processing time, replay metadata, trace metadata, and typed payload. This makes replay, lineage, deduplication, and worker recovery auditable.</w:t>
      </w:r>
    </w:p>
    <w:p>
      <w:pPr>
        <w:pStyle w:val="Heading1"/>
      </w:pPr>
      <w:r>
        <w:t>7. Ingestion And Replay Flow</w:t>
      </w:r>
    </w:p>
    <w:p>
      <w:pPr>
        <w:spacing w:after="120"/>
      </w:pPr>
      <w:r>
        <w:t>Market ingestion normalizes trades, candles, and order-book snapshots. Social ingestion normalizes posts, pseudonymizes authors, extracts hashtags/cashtags/URLs/mentions, resolves asset mentions, and stores confidence plus resolver version.</w:t>
      </w:r>
    </w:p>
    <w:p>
      <w:pPr>
        <w:spacing w:after="120"/>
      </w:pPr>
      <w:r>
        <w:t>Replay exists because manipulation detection must be testable. Deterministic replay allows the same scenario to regenerate the same feature windows, scores, campaigns, alerts, and evidence outputs. Replay sessions are tenant/scope-isolated so demo data does not contaminate production views.</w:t>
      </w:r>
    </w:p>
    <w:p>
      <w:pPr>
        <w:pStyle w:val="Heading1"/>
      </w:pPr>
      <w:r>
        <w:t>8. Feature Engineering</w:t>
      </w:r>
    </w:p>
    <w:p>
      <w:pPr>
        <w:spacing w:after="120"/>
      </w:pPr>
      <w:r>
        <w:t>The feature system builds rolling 1-minute and 5-minute windows using event time. Late events can revise provisional windows while finalized windows remain reproducible through lineage and revision records.</w:t>
      </w:r>
    </w:p>
    <w:p>
      <w:pPr>
        <w:spacing w:after="120"/>
      </w:pPr>
      <w:r>
        <w:t>Market feature groups include:</w:t>
      </w:r>
    </w:p>
    <w:p>
      <w:pPr>
        <w:pStyle w:val="ListBullet"/>
        <w:spacing w:after="80"/>
        <w:ind w:left="360" w:hanging="144"/>
      </w:pPr>
      <w:r>
        <w:t>price return;</w:t>
      </w:r>
    </w:p>
    <w:p>
      <w:pPr>
        <w:pStyle w:val="ListBullet"/>
        <w:spacing w:after="80"/>
        <w:ind w:left="360" w:hanging="144"/>
      </w:pPr>
      <w:r>
        <w:t>volume and relative volume;</w:t>
      </w:r>
    </w:p>
    <w:p>
      <w:pPr>
        <w:pStyle w:val="ListBullet"/>
        <w:spacing w:after="80"/>
        <w:ind w:left="360" w:hanging="144"/>
      </w:pPr>
      <w:r>
        <w:t>volatility;</w:t>
      </w:r>
    </w:p>
    <w:p>
      <w:pPr>
        <w:pStyle w:val="ListBullet"/>
        <w:spacing w:after="80"/>
        <w:ind w:left="360" w:hanging="144"/>
      </w:pPr>
      <w:r>
        <w:t>spread;</w:t>
      </w:r>
    </w:p>
    <w:p>
      <w:pPr>
        <w:pStyle w:val="ListBullet"/>
        <w:spacing w:after="80"/>
        <w:ind w:left="360" w:hanging="144"/>
      </w:pPr>
      <w:r>
        <w:t>top-N depth;</w:t>
      </w:r>
    </w:p>
    <w:p>
      <w:pPr>
        <w:pStyle w:val="ListBullet"/>
        <w:spacing w:after="80"/>
        <w:ind w:left="360" w:hanging="144"/>
      </w:pPr>
      <w:r>
        <w:t>order-book imbalance;</w:t>
      </w:r>
    </w:p>
    <w:p>
      <w:pPr>
        <w:pStyle w:val="ListBullet"/>
        <w:spacing w:after="80"/>
        <w:ind w:left="360" w:hanging="144"/>
      </w:pPr>
      <w:r>
        <w:t>trade count;</w:t>
      </w:r>
    </w:p>
    <w:p>
      <w:pPr>
        <w:pStyle w:val="ListBullet"/>
        <w:spacing w:after="80"/>
        <w:ind w:left="360" w:hanging="144"/>
      </w:pPr>
      <w:r>
        <w:t>buy/sell pressure where available;</w:t>
      </w:r>
    </w:p>
    <w:p>
      <w:pPr>
        <w:pStyle w:val="ListBullet"/>
        <w:spacing w:after="80"/>
        <w:ind w:left="360" w:hanging="144"/>
      </w:pPr>
      <w:r>
        <w:t>market freshness and quality state.</w:t>
      </w:r>
    </w:p>
    <w:p>
      <w:pPr>
        <w:spacing w:after="120"/>
      </w:pPr>
      <w:r>
        <w:t>Social feature groups include:</w:t>
      </w:r>
    </w:p>
    <w:p>
      <w:pPr>
        <w:pStyle w:val="ListBullet"/>
        <w:spacing w:after="80"/>
        <w:ind w:left="360" w:hanging="144"/>
      </w:pPr>
      <w:r>
        <w:t>mention count;</w:t>
      </w:r>
    </w:p>
    <w:p>
      <w:pPr>
        <w:pStyle w:val="ListBullet"/>
        <w:spacing w:after="80"/>
        <w:ind w:left="360" w:hanging="144"/>
      </w:pPr>
      <w:r>
        <w:t>unique author count;</w:t>
      </w:r>
    </w:p>
    <w:p>
      <w:pPr>
        <w:pStyle w:val="ListBullet"/>
        <w:spacing w:after="80"/>
        <w:ind w:left="360" w:hanging="144"/>
      </w:pPr>
      <w:r>
        <w:t>author concentration;</w:t>
      </w:r>
    </w:p>
    <w:p>
      <w:pPr>
        <w:pStyle w:val="ListBullet"/>
        <w:spacing w:after="80"/>
        <w:ind w:left="360" w:hanging="144"/>
      </w:pPr>
      <w:r>
        <w:t>repost/reply ratio;</w:t>
      </w:r>
    </w:p>
    <w:p>
      <w:pPr>
        <w:pStyle w:val="ListBullet"/>
        <w:spacing w:after="80"/>
        <w:ind w:left="360" w:hanging="144"/>
      </w:pPr>
      <w:r>
        <w:t>hashtag velocity;</w:t>
      </w:r>
    </w:p>
    <w:p>
      <w:pPr>
        <w:pStyle w:val="ListBullet"/>
        <w:spacing w:after="80"/>
        <w:ind w:left="360" w:hanging="144"/>
      </w:pPr>
      <w:r>
        <w:t>URL concentration;</w:t>
      </w:r>
    </w:p>
    <w:p>
      <w:pPr>
        <w:pStyle w:val="ListBullet"/>
        <w:spacing w:after="80"/>
        <w:ind w:left="360" w:hanging="144"/>
      </w:pPr>
      <w:r>
        <w:t>new-author ratio;</w:t>
      </w:r>
    </w:p>
    <w:p>
      <w:pPr>
        <w:pStyle w:val="ListBullet"/>
        <w:spacing w:after="80"/>
        <w:ind w:left="360" w:hanging="144"/>
      </w:pPr>
      <w:r>
        <w:t>social freshness and quality state.</w:t>
      </w:r>
    </w:p>
    <w:p>
      <w:pPr>
        <w:spacing w:after="120"/>
      </w:pPr>
      <w:r>
        <w:t>Additional feature groups include temporal lead/lag signals, baseline confidence, market regime, liquidity class, optional graph features, and claim-verification evidence.</w:t>
      </w:r>
    </w:p>
    <w:p>
      <w:pPr>
        <w:pStyle w:val="Heading1"/>
      </w:pPr>
      <w:r>
        <w:t>9. Detection, Fusion, Campaigns, And Alerts</w:t>
      </w:r>
    </w:p>
    <w:p>
      <w:pPr>
        <w:spacing w:after="120"/>
      </w:pPr>
      <w:r>
        <w:t>The scoring layer includes market anomaly, social surge, temporal lead/lag, coordination, claim-risk, legitimate-event, and graph enrichment signals. Fusion keeps missing outputs explicit and lowers confidence when data is degraded.</w:t>
      </w:r>
    </w:p>
    <w:p>
      <w:pPr>
        <w:spacing w:after="120"/>
      </w:pPr>
      <w:r>
        <w:t>The campaign engine converts repeated scores into durable campaign state. It supports valid stage transitions, merge windows, alert suppression, severity histories, concurrency control, and idempotent alert creation. This avoids overwhelming analysts with one-off alerts and gives each risk event a lifecycle.</w:t>
      </w:r>
    </w:p>
    <w:p>
      <w:pPr>
        <w:spacing w:after="120"/>
      </w:pPr>
      <w:r>
        <w:t xml:space="preserve">Campaign stages include </w:t>
      </w:r>
      <w:r>
        <w:rPr>
          <w:rFonts w:ascii="Consolas" w:hAnsi="Consolas" w:eastAsia="Consolas"/>
          <w:color w:val="7A5A00"/>
          <w:sz w:val="19"/>
        </w:rPr>
        <w:t>NORMAL</w:t>
      </w:r>
      <w:r>
        <w:t xml:space="preserve">, </w:t>
      </w:r>
      <w:r>
        <w:rPr>
          <w:rFonts w:ascii="Consolas" w:hAnsi="Consolas" w:eastAsia="Consolas"/>
          <w:color w:val="7A5A00"/>
          <w:sz w:val="19"/>
        </w:rPr>
        <w:t>EARLY_SOCIAL_SEEDING</w:t>
      </w:r>
      <w:r>
        <w:t xml:space="preserve">, </w:t>
      </w:r>
      <w:r>
        <w:rPr>
          <w:rFonts w:ascii="Consolas" w:hAnsi="Consolas" w:eastAsia="Consolas"/>
          <w:color w:val="7A5A00"/>
          <w:sz w:val="19"/>
        </w:rPr>
        <w:t>COORDINATED_AMPLIFICATION</w:t>
      </w:r>
      <w:r>
        <w:t xml:space="preserve">, </w:t>
      </w:r>
      <w:r>
        <w:rPr>
          <w:rFonts w:ascii="Consolas" w:hAnsi="Consolas" w:eastAsia="Consolas"/>
          <w:color w:val="7A5A00"/>
          <w:sz w:val="19"/>
        </w:rPr>
        <w:t>MARKET_PUMP</w:t>
      </w:r>
      <w:r>
        <w:t xml:space="preserve">, </w:t>
      </w:r>
      <w:r>
        <w:rPr>
          <w:rFonts w:ascii="Consolas" w:hAnsi="Consolas" w:eastAsia="Consolas"/>
          <w:color w:val="7A5A00"/>
          <w:sz w:val="19"/>
        </w:rPr>
        <w:t>DISTRIBUTION</w:t>
      </w:r>
      <w:r>
        <w:t xml:space="preserve">, </w:t>
      </w:r>
      <w:r>
        <w:rPr>
          <w:rFonts w:ascii="Consolas" w:hAnsi="Consolas" w:eastAsia="Consolas"/>
          <w:color w:val="7A5A00"/>
          <w:sz w:val="19"/>
        </w:rPr>
        <w:t>DUMP</w:t>
      </w:r>
      <w:r>
        <w:t xml:space="preserve">, and </w:t>
      </w:r>
      <w:r>
        <w:rPr>
          <w:rFonts w:ascii="Consolas" w:hAnsi="Consolas" w:eastAsia="Consolas"/>
          <w:color w:val="7A5A00"/>
          <w:sz w:val="19"/>
        </w:rPr>
        <w:t>POST_EVENT</w:t>
      </w:r>
      <w:r>
        <w:t>.</w:t>
      </w:r>
    </w:p>
    <w:p>
      <w:pPr>
        <w:spacing w:after="120"/>
      </w:pPr>
      <w:r>
        <w:t>Alert types include social hype surge, coordinated promotion, unverified narrative, market volume anomaly, market price anomaly, market microstructure anomaly, cross-domain manipulation risk, and possible dump phase.</w:t>
      </w:r>
    </w:p>
    <w:p>
      <w:pPr>
        <w:pStyle w:val="Heading1"/>
      </w:pPr>
      <w:r>
        <w:t>10. Narrative, Graph, And Claim Verification</w:t>
      </w:r>
    </w:p>
    <w:p>
      <w:pPr>
        <w:spacing w:after="120"/>
      </w:pPr>
      <w:r>
        <w:t>The narrative pipeline generates deterministic embeddings for replay-stable clustering and can index post/narrative vectors in Qdrant. Graph projection links actors, posts, assets, narratives, campaigns, alerts, and evidence in Neo4j. Cheap graph analytics produce features such as community concentration, synchronized posting, amplifier overlap, propagation depth, and cross-community spread.</w:t>
      </w:r>
    </w:p>
    <w:p>
      <w:pPr>
        <w:spacing w:after="120"/>
      </w:pPr>
      <w:r>
        <w:t>The verification engine ingests disclosure documents, chunks and indexes them, extracts narrative claims, and verifies whether supporting evidence existed before the alert time. Supported-before-alert evidence can reduce manipulation confidence, while unsupported or conflicting claims increase claim risk. The main remaining gap is production official-source connector coverage and richer analyst-facing claim/disclosure views.</w:t>
      </w:r>
    </w:p>
    <w:p>
      <w:pPr>
        <w:pStyle w:val="Heading1"/>
      </w:pPr>
      <w:r>
        <w:t>11. Evidence, Investigations, And Governance</w:t>
      </w:r>
    </w:p>
    <w:p>
      <w:pPr>
        <w:spacing w:after="120"/>
      </w:pPr>
      <w:r>
        <w:t>Scam2Market stores evidence snapshots with hashes, completeness scores, and access-audit controls. Alerts can be linked to deterministic explanations and analyst investigations. Feedback and false-positive reports feed future calibration and policy changes.</w:t>
      </w:r>
    </w:p>
    <w:p>
      <w:pPr>
        <w:spacing w:after="120"/>
      </w:pPr>
      <w:r>
        <w:t>Model governance includes calibration labels, calibration metrics, promotion decisions, alias management, drift reports, false-positive budgets, and shadow scoring. Shadow scores are constrained so they cannot control production alerts until explicitly promoted.</w:t>
      </w:r>
    </w:p>
    <w:p>
      <w:pPr>
        <w:pStyle w:val="Heading1"/>
      </w:pPr>
      <w:r>
        <w:t>12. Security And Multi-Tenancy</w:t>
      </w:r>
    </w:p>
    <w:p>
      <w:pPr>
        <w:spacing w:after="120"/>
      </w:pPr>
      <w:r>
        <w:t>Security capabilities include OIDC/JWT authentication, development-auth isolation, RBAC, tenant-scoped data, PostgreSQL row-level security, service-account key rotation, rate limiting, non-root containers, production read-only filesystem behavior, prompt-injection/data-poisoning guardrails, and audited sensitive access.</w:t>
      </w:r>
    </w:p>
    <w:p>
      <w:pPr>
        <w:spacing w:after="120"/>
      </w:pPr>
      <w:r>
        <w:t>The frontend should use OIDC/JWT in production and should never depend on development auth headers outside local development.</w:t>
      </w:r>
    </w:p>
    <w:p>
      <w:pPr>
        <w:pStyle w:val="Heading1"/>
      </w:pPr>
      <w:r>
        <w:t>13. Deployment And Operations</w:t>
      </w:r>
    </w:p>
    <w:p>
      <w:pPr>
        <w:spacing w:after="120"/>
      </w:pPr>
      <w:r>
        <w:t>Local deployment uses Docker Compose. Production-shaped deployment uses a Compose override with Caddy TLS and private data-service ports. The repository also includes Terraform AWS and Helm references for private networking, EKS, Redis, MSK, KMS, ACM, S3 backups, workload identity, digest-pinned deployments, probes, network policy, backup jobs, and restore drills.</w:t>
      </w:r>
    </w:p>
    <w:p>
      <w:pPr>
        <w:spacing w:after="120"/>
      </w:pPr>
      <w:r>
        <w:t>The recommended hosted architecture is to deploy the frontend on Vercel or another static/frontend platform, and deploy the backend and workers on a container platform such as Render, Railway, Fly.io, AWS ECS/EKS, Azure Container Apps, or Google Cloud Run. Managed Redis, Kafka/Redpanda, TimescaleDB/PostgreSQL, Qdrant, Neo4j, MLflow, and object storage should be configured separately.</w:t>
      </w:r>
    </w:p>
    <w:p>
      <w:pPr>
        <w:pStyle w:val="Heading1"/>
      </w:pPr>
      <w:r>
        <w:t>14. CI/CD And Quality Controls</w:t>
      </w:r>
    </w:p>
    <w:p>
      <w:pPr>
        <w:spacing w:after="120"/>
      </w:pPr>
      <w:r>
        <w:t>CI runs formatting, linting, strict type checking, Alembic migrations, full tests, Docker build, Compose validation, Terraform validation, Helm linting, operations image build, and a deterministic Compose replay regression.</w:t>
      </w:r>
    </w:p>
    <w:p>
      <w:pPr>
        <w:spacing w:after="120"/>
      </w:pPr>
      <w:r>
        <w:t>CD publishes a digest-addressed backend image to GitHub Container Registry, attaches SBOM/provenance data, and creates a deployment bundle. Staging deployment is opt-in through a protected self-hosted runner.</w:t>
      </w:r>
    </w:p>
    <w:p>
      <w:pPr>
        <w:pStyle w:val="Heading1"/>
      </w:pPr>
      <w:r>
        <w:t>15. Evaluation Strategy</w:t>
      </w:r>
    </w:p>
    <w:p>
      <w:pPr>
        <w:spacing w:after="120"/>
      </w:pPr>
      <w:r>
        <w:t>Evaluation is built around deterministic replay, hard-negative scenarios, detector ablations, calibration labels, false-positive reports, and drift reports. The system should be evaluated not only by classification metrics but also by lead time, evidence completeness, analyst workload, source freshness, and stability under missing/degraded dependencies.</w:t>
      </w:r>
    </w:p>
    <w:p>
      <w:pPr>
        <w:pStyle w:val="Heading1"/>
      </w:pPr>
      <w:r>
        <w:t>16. Limitations</w:t>
      </w:r>
    </w:p>
    <w:p>
      <w:pPr>
        <w:spacing w:after="120"/>
      </w:pPr>
      <w:r>
        <w:t>Current limitations:</w:t>
      </w:r>
    </w:p>
    <w:p>
      <w:pPr>
        <w:pStyle w:val="ListBullet"/>
        <w:spacing w:after="80"/>
        <w:ind w:left="360" w:hanging="144"/>
      </w:pPr>
      <w:r>
        <w:t>production official-source connectors and analyst-facing claim-verification views remain incomplete;</w:t>
      </w:r>
    </w:p>
    <w:p>
      <w:pPr>
        <w:pStyle w:val="ListBullet"/>
        <w:spacing w:after="80"/>
        <w:ind w:left="360" w:hanging="144"/>
      </w:pPr>
      <w:r>
        <w:t>live provider scaffolding requires production credentials, rate-limit policy, and long-duration validation;</w:t>
      </w:r>
    </w:p>
    <w:p>
      <w:pPr>
        <w:pStyle w:val="ListBullet"/>
        <w:spacing w:after="80"/>
        <w:ind w:left="360" w:hanging="144"/>
      </w:pPr>
      <w:r>
        <w:t>model accuracy depends on labeled data that must be collected and governed;</w:t>
      </w:r>
    </w:p>
    <w:p>
      <w:pPr>
        <w:pStyle w:val="ListBullet"/>
        <w:spacing w:after="80"/>
        <w:ind w:left="360" w:hanging="144"/>
      </w:pPr>
      <w:r>
        <w:t>public cloud deployment needs external credentials, DNS, secrets, and provider accounts;</w:t>
      </w:r>
    </w:p>
    <w:p>
      <w:pPr>
        <w:pStyle w:val="ListBullet"/>
        <w:spacing w:after="80"/>
        <w:ind w:left="360" w:hanging="144"/>
      </w:pPr>
      <w:r>
        <w:t>optional intelligence components can strengthen confidence but must degrade safely when unavailable.</w:t>
      </w:r>
    </w:p>
    <w:p>
      <w:pPr>
        <w:pStyle w:val="Heading1"/>
      </w:pPr>
      <w:r>
        <w:t>17. Conclusion</w:t>
      </w:r>
    </w:p>
    <w:p>
      <w:pPr>
        <w:spacing w:after="120"/>
      </w:pPr>
      <w:r>
        <w:t>Scam2Market demonstrates a professional backend architecture for manipulation surveillance: event-time ingestion, replayable features, multi-domain scoring, campaign state, real-time alerts, evidence snapshots, analyst workflow, and deployment governance. Its most important next step is completing Phase 8 official-source verification and pairing the backend with a frontend that consumes the frozen API contract without mock data.</w:t>
      </w:r>
    </w:p>
    <w:p>
      <w:pPr>
        <w:pStyle w:val="Heading1"/>
      </w:pPr>
      <w:r>
        <w:t>References</w:t>
      </w:r>
    </w:p>
    <w:p>
      <w:pPr>
        <w:pStyle w:val="ListNumber"/>
        <w:spacing w:after="80"/>
        <w:ind w:left="360" w:hanging="144"/>
      </w:pPr>
      <w:r>
        <w:t>FastAPI documentation, https://fastapi.tiangolo.com/</w:t>
      </w:r>
    </w:p>
    <w:p>
      <w:pPr>
        <w:pStyle w:val="ListNumber"/>
        <w:spacing w:after="80"/>
        <w:ind w:left="360" w:hanging="144"/>
      </w:pPr>
      <w:r>
        <w:t>Pydantic documentation, https://docs.pydantic.dev/</w:t>
      </w:r>
    </w:p>
    <w:p>
      <w:pPr>
        <w:pStyle w:val="ListNumber"/>
        <w:spacing w:after="80"/>
        <w:ind w:left="360" w:hanging="144"/>
      </w:pPr>
      <w:r>
        <w:t>SQLAlchemy documentation, https://docs.sqlalchemy.org/</w:t>
      </w:r>
    </w:p>
    <w:p>
      <w:pPr>
        <w:pStyle w:val="ListNumber"/>
        <w:spacing w:after="80"/>
        <w:ind w:left="360" w:hanging="144"/>
      </w:pPr>
      <w:r>
        <w:t>Alembic documentation, https://alembic.sqlalchemy.org/</w:t>
      </w:r>
    </w:p>
    <w:p>
      <w:pPr>
        <w:pStyle w:val="ListNumber"/>
        <w:spacing w:after="80"/>
        <w:ind w:left="360" w:hanging="144"/>
      </w:pPr>
      <w:r>
        <w:t>PostgreSQL documentation, https://www.postgresql.org/docs/</w:t>
      </w:r>
    </w:p>
    <w:p>
      <w:pPr>
        <w:pStyle w:val="ListNumber"/>
        <w:spacing w:after="80"/>
        <w:ind w:left="360" w:hanging="144"/>
      </w:pPr>
      <w:r>
        <w:t>Timescale documentation, https://docs.timescale.com/</w:t>
      </w:r>
    </w:p>
    <w:p>
      <w:pPr>
        <w:pStyle w:val="ListNumber"/>
        <w:spacing w:after="80"/>
        <w:ind w:left="360" w:hanging="144"/>
      </w:pPr>
      <w:r>
        <w:t>Redis documentation, https://redis.io/docs/latest/</w:t>
      </w:r>
    </w:p>
    <w:p>
      <w:pPr>
        <w:pStyle w:val="ListNumber"/>
        <w:spacing w:after="80"/>
        <w:ind w:left="360" w:hanging="144"/>
      </w:pPr>
      <w:r>
        <w:t>Redpanda documentation, https://docs.redpanda.com/</w:t>
      </w:r>
    </w:p>
    <w:p>
      <w:pPr>
        <w:pStyle w:val="ListNumber"/>
        <w:spacing w:after="80"/>
        <w:ind w:left="360" w:hanging="144"/>
      </w:pPr>
      <w:r>
        <w:t>Redpanda Cloud overview and trial information, https://docs.redpanda.com/cloud-data-platform/get-started/cloud-overview/</w:t>
      </w:r>
    </w:p>
    <w:p>
      <w:pPr>
        <w:pStyle w:val="ListNumber"/>
        <w:spacing w:after="80"/>
        <w:ind w:left="360" w:hanging="144"/>
      </w:pPr>
      <w:r>
        <w:t>Qdrant documentation, https://qdrant.tech/documentation/</w:t>
      </w:r>
    </w:p>
    <w:p>
      <w:pPr>
        <w:pStyle w:val="ListNumber"/>
        <w:spacing w:after="80"/>
        <w:ind w:left="360" w:hanging="144"/>
      </w:pPr>
      <w:r>
        <w:t>Neo4j documentation, https://neo4j.com/docs/</w:t>
      </w:r>
    </w:p>
    <w:p>
      <w:pPr>
        <w:pStyle w:val="ListNumber"/>
        <w:spacing w:after="80"/>
        <w:ind w:left="360" w:hanging="144"/>
      </w:pPr>
      <w:r>
        <w:t>MLflow tracking server documentation, https://mlflow.org/docs/latest/self-hosting/architecture/tracking-server/</w:t>
      </w:r>
    </w:p>
    <w:p>
      <w:pPr>
        <w:pStyle w:val="ListNumber"/>
        <w:spacing w:after="80"/>
        <w:ind w:left="360" w:hanging="144"/>
      </w:pPr>
      <w:r>
        <w:t>OpenTelemetry documentation, https://opentelemetry.io/docs/</w:t>
      </w:r>
    </w:p>
    <w:p>
      <w:pPr>
        <w:pStyle w:val="ListNumber"/>
        <w:spacing w:after="80"/>
        <w:ind w:left="360" w:hanging="144"/>
      </w:pPr>
      <w:r>
        <w:t>Prometheus documentation, https://prometheus.io/docs/</w:t>
      </w:r>
    </w:p>
    <w:p>
      <w:pPr>
        <w:pStyle w:val="ListNumber"/>
        <w:spacing w:after="80"/>
        <w:ind w:left="360" w:hanging="144"/>
      </w:pPr>
      <w:r>
        <w:t>Grafana documentation, https://grafana.com/docs/</w:t>
      </w:r>
    </w:p>
    <w:p>
      <w:pPr>
        <w:pStyle w:val="ListNumber"/>
        <w:spacing w:after="80"/>
        <w:ind w:left="360" w:hanging="144"/>
      </w:pPr>
      <w:r>
        <w:t>GitHub Actions billing documentation, https://docs.github.com/en/billing/concepts/product-billing/github-actions</w:t>
      </w:r>
    </w:p>
    <w:p>
      <w:pPr>
        <w:pStyle w:val="ListNumber"/>
        <w:spacing w:after="80"/>
        <w:ind w:left="360" w:hanging="144"/>
      </w:pPr>
      <w:r>
        <w:t>Vercel Hobby plan documentation, https://vercel.com/docs/plans/hobby</w:t>
      </w:r>
    </w:p>
    <w:p>
      <w:pPr>
        <w:pStyle w:val="ListNumber"/>
        <w:spacing w:after="80"/>
        <w:ind w:left="360" w:hanging="144"/>
      </w:pPr>
      <w:r>
        <w:t>Vercel platform limits, https://vercel.com/docs/limits</w:t>
      </w:r>
    </w:p>
    <w:p>
      <w:pPr>
        <w:pStyle w:val="ListNumber"/>
        <w:spacing w:after="80"/>
        <w:ind w:left="360" w:hanging="144"/>
      </w:pPr>
      <w:r>
        <w:t>Neon pricing documentation, https://neon.com/pricing</w:t>
      </w:r>
    </w:p>
    <w:p>
      <w:pPr>
        <w:pStyle w:val="ListNumber"/>
        <w:spacing w:after="80"/>
        <w:ind w:left="360" w:hanging="144"/>
      </w:pPr>
      <w:r>
        <w:t>Upstash Redis FAQ, https://upstash.com/docs/redis/help/faq</w:t>
      </w:r>
    </w:p>
    <w:p>
      <w:pPr>
        <w:pStyle w:val="ListNumber"/>
        <w:spacing w:after="80"/>
        <w:ind w:left="360" w:hanging="144"/>
      </w:pPr>
      <w:r>
        <w:t>OWASP API Security Top 10, https://owasp.org/API-Security/</w:t>
      </w:r>
    </w:p>
    <w:p>
      <w:pPr>
        <w:pStyle w:val="ListNumber"/>
        <w:spacing w:after="80"/>
        <w:ind w:left="360" w:hanging="144"/>
      </w:pPr>
      <w:r>
        <w:t>NIST Cybersecurity Framework, https://www.nist.gov/cyberframework</w:t>
      </w:r>
    </w:p>
    <w:p>
      <w:pPr>
        <w:pStyle w:val="Heading1"/>
      </w:pPr>
      <w:r>
        <w:t>Document Control</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680"/>
        <w:gridCol w:w="4680"/>
      </w:tblGrid>
      <w:tr>
        <w:tc>
          <w:tcPr>
            <w:tcW w:type="dxa" w:w="4680"/>
            <w:shd w:fill="F2F4F7"/>
            <w:tcMar>
              <w:top w:w="80" w:type="dxa"/>
              <w:start w:w="120" w:type="dxa"/>
              <w:bottom w:w="80" w:type="dxa"/>
              <w:end w:w="120" w:type="dxa"/>
            </w:tcMar>
          </w:tcPr>
          <w:p>
            <w:r>
              <w:t>Generated From</w:t>
            </w:r>
          </w:p>
        </w:tc>
        <w:tc>
          <w:tcPr>
            <w:tcW w:type="dxa" w:w="4680"/>
            <w:tcMar>
              <w:top w:w="80" w:type="dxa"/>
              <w:start w:w="120" w:type="dxa"/>
              <w:bottom w:w="80" w:type="dxa"/>
              <w:end w:w="120" w:type="dxa"/>
            </w:tcMar>
          </w:tcPr>
          <w:p>
            <w:r>
              <w:t>Repository implementation reports, README, operations docs, and technical stack references.</w:t>
            </w:r>
          </w:p>
        </w:tc>
      </w:tr>
      <w:tr>
        <w:tc>
          <w:tcPr>
            <w:tcW w:type="dxa" w:w="4680"/>
            <w:shd w:fill="F2F4F7"/>
            <w:tcMar>
              <w:top w:w="80" w:type="dxa"/>
              <w:start w:w="120" w:type="dxa"/>
              <w:bottom w:w="80" w:type="dxa"/>
              <w:end w:w="120" w:type="dxa"/>
            </w:tcMar>
          </w:tcPr>
          <w:p>
            <w:r>
              <w:t>Primary Open Gap</w:t>
            </w:r>
          </w:p>
        </w:tc>
        <w:tc>
          <w:tcPr>
            <w:tcW w:type="dxa" w:w="4680"/>
            <w:tcMar>
              <w:top w:w="80" w:type="dxa"/>
              <w:start w:w="120" w:type="dxa"/>
              <w:bottom w:w="80" w:type="dxa"/>
              <w:end w:w="120" w:type="dxa"/>
            </w:tcMar>
          </w:tcPr>
          <w:p>
            <w:r>
              <w:t>Phase 8 official-source connectors and analyst-facing claim/disclosure verification views.</w:t>
            </w:r>
          </w:p>
        </w:tc>
      </w:tr>
      <w:tr>
        <w:tc>
          <w:tcPr>
            <w:tcW w:type="dxa" w:w="4680"/>
            <w:shd w:fill="F2F4F7"/>
            <w:tcMar>
              <w:top w:w="80" w:type="dxa"/>
              <w:start w:w="120" w:type="dxa"/>
              <w:bottom w:w="80" w:type="dxa"/>
              <w:end w:w="120" w:type="dxa"/>
            </w:tcMar>
          </w:tcPr>
          <w:p>
            <w:r>
              <w:t>Frontend Readiness</w:t>
            </w:r>
          </w:p>
        </w:tc>
        <w:tc>
          <w:tcPr>
            <w:tcW w:type="dxa" w:w="4680"/>
            <w:tcMar>
              <w:top w:w="80" w:type="dxa"/>
              <w:start w:w="120" w:type="dxa"/>
              <w:bottom w:w="80" w:type="dxa"/>
              <w:end w:w="120" w:type="dxa"/>
            </w:tcMar>
          </w:tcPr>
          <w:p>
            <w:r>
              <w:t>Backend is suitable for frontend integration through the frozen OpenAPI contract and local Docker stack.</w:t>
            </w:r>
          </w:p>
        </w:tc>
      </w:tr>
      <w:tr>
        <w:tc>
          <w:tcPr>
            <w:tcW w:type="dxa" w:w="4680"/>
            <w:shd w:fill="F2F4F7"/>
            <w:tcMar>
              <w:top w:w="80" w:type="dxa"/>
              <w:start w:w="120" w:type="dxa"/>
              <w:bottom w:w="80" w:type="dxa"/>
              <w:end w:w="120" w:type="dxa"/>
            </w:tcMar>
          </w:tcPr>
          <w:p>
            <w:r>
              <w:t>Production Boundary</w:t>
            </w:r>
          </w:p>
        </w:tc>
        <w:tc>
          <w:tcPr>
            <w:tcW w:type="dxa" w:w="4680"/>
            <w:tcMar>
              <w:top w:w="80" w:type="dxa"/>
              <w:start w:w="120" w:type="dxa"/>
              <w:bottom w:w="80" w:type="dxa"/>
              <w:end w:w="120" w:type="dxa"/>
            </w:tcMar>
          </w:tcPr>
          <w:p>
            <w:r>
              <w:t>Cloud provisioning requires external credentials, DNS, secrets, and managed service accounts.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project documentation | Generated from repository sources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8"/>
      </w:rPr>
      <w:t>Scam2Market Technical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eastAsia="Calibr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