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15243F"/>
          <w:sz w:val="76"/>
          <w:szCs w:val="76"/>
        </w:rPr>
        <w:t xml:space="preserve">ASCENDUS</w:t>
      </w:r>
    </w:p>
    <w:p>
      <w:pPr>
        <w:pBdr>
          <w:bottom w:val="single" w:color="5B3FA8" w:sz="14" w:space="8"/>
        </w:pBdr>
        <w:spacing w:after="320"/>
      </w:pPr>
    </w:p>
    <w:p>
      <w:pPr>
        <w:spacing w:after="100"/>
      </w:pPr>
      <w:r>
        <w:rPr>
          <w:rFonts w:ascii="Calibri" w:cs="Calibri" w:eastAsia="Calibri" w:hAnsi="Calibri"/>
          <w:b/>
          <w:bCs/>
          <w:color w:val="222222"/>
          <w:sz w:val="40"/>
          <w:szCs w:val="40"/>
        </w:rPr>
        <w:t xml:space="preserve">Final Website Content, SEO, GEO &amp; AEO</w:t>
      </w:r>
    </w:p>
    <w:p>
      <w:pPr>
        <w:spacing w:after="300"/>
      </w:pPr>
      <w:r>
        <w:rPr>
          <w:rFonts w:ascii="Calibri" w:cs="Calibri" w:eastAsia="Calibri" w:hAnsi="Calibri"/>
          <w:b/>
          <w:bCs/>
          <w:color w:val="222222"/>
          <w:sz w:val="40"/>
          <w:szCs w:val="40"/>
        </w:rPr>
        <w:t xml:space="preserve">Implementation Blueprint</w:t>
      </w:r>
    </w:p>
    <w:p>
      <w:pPr>
        <w:spacing w:after="700"/>
      </w:pPr>
      <w:r>
        <w:rPr>
          <w:rFonts w:ascii="Calibri" w:cs="Calibri" w:eastAsia="Calibri" w:hAnsi="Calibri"/>
          <w:i/>
          <w:iCs/>
          <w:color w:val="5A6270"/>
          <w:sz w:val="24"/>
          <w:szCs w:val="24"/>
        </w:rPr>
        <w:t xml:space="preserve">Enterprise Brand Validation, Production Copy &amp; Product Team Change Specification</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2434"/>
        <w:gridCol w:w="6926"/>
      </w:tblGrid>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Document status</w:t>
            </w:r>
          </w:p>
        </w:tc>
        <w:tc>
          <w:tcPr>
            <w:tcW w:type="dxa" w:w="692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Final — issued for implementation</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Supersedes</w:t>
            </w:r>
          </w:p>
        </w:tc>
        <w:tc>
          <w:tcPr>
            <w:tcW w:type="dxa" w:w="692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Ascendus_Website_Content_SEO_GEO_Transformation_Blueprint.docx (draft, 30 August 2026), where explicitly stated in Section 5</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 site audited</w:t>
            </w:r>
          </w:p>
        </w:tc>
        <w:tc>
          <w:tcPr>
            <w:tcW w:type="dxa" w:w="692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https://ascendus-website-dev.vercel.app/</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Audit date</w:t>
            </w:r>
          </w:p>
        </w:tc>
        <w:tc>
          <w:tcPr>
            <w:tcW w:type="dxa" w:w="692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1 September 2026</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 site score</w:t>
            </w:r>
          </w:p>
        </w:tc>
        <w:tc>
          <w:tcPr>
            <w:tcW w:type="dxa" w:w="692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44 / 100</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Projected score on implementation</w:t>
            </w:r>
          </w:p>
        </w:tc>
        <w:tc>
          <w:tcPr>
            <w:tcW w:type="dxa" w:w="692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91 / 100</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P0 findings</w:t>
            </w:r>
          </w:p>
        </w:tc>
        <w:tc>
          <w:tcPr>
            <w:tcW w:type="dxa" w:w="692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26 — all are launch blockers</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 findings</w:t>
            </w:r>
          </w:p>
        </w:tc>
        <w:tc>
          <w:tcPr>
            <w:tcW w:type="dxa" w:w="692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20</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Implementation items</w:t>
            </w:r>
          </w:p>
        </w:tc>
        <w:tc>
          <w:tcPr>
            <w:tcW w:type="dxa" w:w="692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46</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Prepared for</w:t>
            </w:r>
          </w:p>
        </w:tc>
        <w:tc>
          <w:tcPr>
            <w:tcW w:type="dxa" w:w="692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Content, SEO, UX, Design, Frontend and Leadership</w:t>
            </w:r>
          </w:p>
        </w:tc>
      </w:tr>
    </w:tbl>
    <w:p>
      <w:r>
        <w:br w:type="page"/>
      </w:r>
    </w:p>
    <w:p>
      <w:pPr>
        <w:spacing w:after="240"/>
      </w:pPr>
      <w:r>
        <w:rPr>
          <w:rFonts w:ascii="Calibri" w:cs="Calibri" w:eastAsia="Calibri" w:hAnsi="Calibri"/>
          <w:b/>
          <w:bCs/>
          <w:color w:val="15243F"/>
          <w:sz w:val="32"/>
          <w:szCs w:val="32"/>
        </w:rPr>
        <w:t xml:space="preserve">Contents</w:t>
      </w:r>
    </w:p>
    <w:p>
      <w:pPr>
        <w:spacing w:after="90"/>
      </w:pPr>
      <w:r>
        <w:rPr>
          <w:rFonts w:ascii="Consolas" w:cs="Consolas" w:eastAsia="Consolas" w:hAnsi="Consolas"/>
          <w:b/>
          <w:bCs/>
          <w:color w:val="5B3FA8"/>
          <w:sz w:val="20"/>
          <w:szCs w:val="20"/>
        </w:rPr>
        <w:t xml:space="preserve">1    </w:t>
      </w:r>
      <w:r>
        <w:rPr>
          <w:rFonts w:ascii="Calibri" w:cs="Calibri" w:eastAsia="Calibri" w:hAnsi="Calibri"/>
          <w:color w:val="222222"/>
          <w:sz w:val="21"/>
          <w:szCs w:val="21"/>
        </w:rPr>
        <w:t xml:space="preserve">Executive Summary</w:t>
      </w:r>
    </w:p>
    <w:p>
      <w:pPr>
        <w:spacing w:after="90"/>
      </w:pPr>
      <w:r>
        <w:rPr>
          <w:rFonts w:ascii="Consolas" w:cs="Consolas" w:eastAsia="Consolas" w:hAnsi="Consolas"/>
          <w:b/>
          <w:bCs/>
          <w:color w:val="5B3FA8"/>
          <w:sz w:val="20"/>
          <w:szCs w:val="20"/>
        </w:rPr>
        <w:t xml:space="preserve">2    </w:t>
      </w:r>
      <w:r>
        <w:rPr>
          <w:rFonts w:ascii="Calibri" w:cs="Calibri" w:eastAsia="Calibri" w:hAnsi="Calibri"/>
          <w:color w:val="222222"/>
          <w:sz w:val="21"/>
          <w:szCs w:val="21"/>
        </w:rPr>
        <w:t xml:space="preserve">Final Recommendation</w:t>
      </w:r>
    </w:p>
    <w:p>
      <w:pPr>
        <w:spacing w:after="90"/>
      </w:pPr>
      <w:r>
        <w:rPr>
          <w:rFonts w:ascii="Consolas" w:cs="Consolas" w:eastAsia="Consolas" w:hAnsi="Consolas"/>
          <w:b/>
          <w:bCs/>
          <w:color w:val="5B3FA8"/>
          <w:sz w:val="20"/>
          <w:szCs w:val="20"/>
        </w:rPr>
        <w:t xml:space="preserve">3    </w:t>
      </w:r>
      <w:r>
        <w:rPr>
          <w:rFonts w:ascii="Calibri" w:cs="Calibri" w:eastAsia="Calibri" w:hAnsi="Calibri"/>
          <w:color w:val="222222"/>
          <w:sz w:val="21"/>
          <w:szCs w:val="21"/>
        </w:rPr>
        <w:t xml:space="preserve">Before vs After Scorecard</w:t>
      </w:r>
    </w:p>
    <w:p>
      <w:pPr>
        <w:spacing w:after="90"/>
      </w:pPr>
      <w:r>
        <w:rPr>
          <w:rFonts w:ascii="Consolas" w:cs="Consolas" w:eastAsia="Consolas" w:hAnsi="Consolas"/>
          <w:b/>
          <w:bCs/>
          <w:color w:val="5B3FA8"/>
          <w:sz w:val="20"/>
          <w:szCs w:val="20"/>
        </w:rPr>
        <w:t xml:space="preserve">4    </w:t>
      </w:r>
      <w:r>
        <w:rPr>
          <w:rFonts w:ascii="Calibri" w:cs="Calibri" w:eastAsia="Calibri" w:hAnsi="Calibri"/>
          <w:color w:val="222222"/>
          <w:sz w:val="21"/>
          <w:szCs w:val="21"/>
        </w:rPr>
        <w:t xml:space="preserve">Critical P0 Findings</w:t>
      </w:r>
    </w:p>
    <w:p>
      <w:pPr>
        <w:spacing w:after="90"/>
      </w:pPr>
      <w:r>
        <w:rPr>
          <w:rFonts w:ascii="Consolas" w:cs="Consolas" w:eastAsia="Consolas" w:hAnsi="Consolas"/>
          <w:b/>
          <w:bCs/>
          <w:color w:val="5B3FA8"/>
          <w:sz w:val="20"/>
          <w:szCs w:val="20"/>
        </w:rPr>
        <w:t xml:space="preserve">5    </w:t>
      </w:r>
      <w:r>
        <w:rPr>
          <w:rFonts w:ascii="Calibri" w:cs="Calibri" w:eastAsia="Calibri" w:hAnsi="Calibri"/>
          <w:color w:val="222222"/>
          <w:sz w:val="21"/>
          <w:szCs w:val="21"/>
        </w:rPr>
        <w:t xml:space="preserve">Blueprint Red-Team Verdict</w:t>
      </w:r>
    </w:p>
    <w:p>
      <w:pPr>
        <w:spacing w:after="90"/>
      </w:pPr>
      <w:r>
        <w:rPr>
          <w:rFonts w:ascii="Consolas" w:cs="Consolas" w:eastAsia="Consolas" w:hAnsi="Consolas"/>
          <w:b/>
          <w:bCs/>
          <w:color w:val="5B3FA8"/>
          <w:sz w:val="20"/>
          <w:szCs w:val="20"/>
        </w:rPr>
        <w:t xml:space="preserve">6    </w:t>
      </w:r>
      <w:r>
        <w:rPr>
          <w:rFonts w:ascii="Calibri" w:cs="Calibri" w:eastAsia="Calibri" w:hAnsi="Calibri"/>
          <w:color w:val="222222"/>
          <w:sz w:val="21"/>
          <w:szCs w:val="21"/>
        </w:rPr>
        <w:t xml:space="preserve">Brand Positioning Validation</w:t>
      </w:r>
    </w:p>
    <w:p>
      <w:pPr>
        <w:spacing w:after="90"/>
      </w:pPr>
      <w:r>
        <w:rPr>
          <w:rFonts w:ascii="Consolas" w:cs="Consolas" w:eastAsia="Consolas" w:hAnsi="Consolas"/>
          <w:b/>
          <w:bCs/>
          <w:color w:val="5B3FA8"/>
          <w:sz w:val="20"/>
          <w:szCs w:val="20"/>
        </w:rPr>
        <w:t xml:space="preserve">7    </w:t>
      </w:r>
      <w:r>
        <w:rPr>
          <w:rFonts w:ascii="Calibri" w:cs="Calibri" w:eastAsia="Calibri" w:hAnsi="Calibri"/>
          <w:color w:val="222222"/>
          <w:sz w:val="21"/>
          <w:szCs w:val="21"/>
        </w:rPr>
        <w:t xml:space="preserve">Final Messaging Architecture</w:t>
      </w:r>
    </w:p>
    <w:p>
      <w:pPr>
        <w:spacing w:after="90"/>
      </w:pPr>
      <w:r>
        <w:rPr>
          <w:rFonts w:ascii="Consolas" w:cs="Consolas" w:eastAsia="Consolas" w:hAnsi="Consolas"/>
          <w:b/>
          <w:bCs/>
          <w:color w:val="5B3FA8"/>
          <w:sz w:val="20"/>
          <w:szCs w:val="20"/>
        </w:rPr>
        <w:t xml:space="preserve">8    </w:t>
      </w:r>
      <w:r>
        <w:rPr>
          <w:rFonts w:ascii="Calibri" w:cs="Calibri" w:eastAsia="Calibri" w:hAnsi="Calibri"/>
          <w:color w:val="222222"/>
          <w:sz w:val="21"/>
          <w:szCs w:val="21"/>
        </w:rPr>
        <w:t xml:space="preserve">Final Information Architecture</w:t>
      </w:r>
    </w:p>
    <w:p>
      <w:pPr>
        <w:spacing w:after="90"/>
      </w:pPr>
      <w:r>
        <w:rPr>
          <w:rFonts w:ascii="Consolas" w:cs="Consolas" w:eastAsia="Consolas" w:hAnsi="Consolas"/>
          <w:b/>
          <w:bCs/>
          <w:color w:val="5B3FA8"/>
          <w:sz w:val="20"/>
          <w:szCs w:val="20"/>
        </w:rPr>
        <w:t xml:space="preserve">9    </w:t>
      </w:r>
      <w:r>
        <w:rPr>
          <w:rFonts w:ascii="Calibri" w:cs="Calibri" w:eastAsia="Calibri" w:hAnsi="Calibri"/>
          <w:color w:val="222222"/>
          <w:sz w:val="21"/>
          <w:szCs w:val="21"/>
        </w:rPr>
        <w:t xml:space="preserve">URL Migration Plan</w:t>
      </w:r>
    </w:p>
    <w:p>
      <w:pPr>
        <w:spacing w:after="90"/>
      </w:pPr>
      <w:r>
        <w:rPr>
          <w:rFonts w:ascii="Consolas" w:cs="Consolas" w:eastAsia="Consolas" w:hAnsi="Consolas"/>
          <w:b/>
          <w:bCs/>
          <w:color w:val="5B3FA8"/>
          <w:sz w:val="20"/>
          <w:szCs w:val="20"/>
        </w:rPr>
        <w:t xml:space="preserve">10   </w:t>
      </w:r>
      <w:r>
        <w:rPr>
          <w:rFonts w:ascii="Calibri" w:cs="Calibri" w:eastAsia="Calibri" w:hAnsi="Calibri"/>
          <w:color w:val="222222"/>
          <w:sz w:val="21"/>
          <w:szCs w:val="21"/>
        </w:rPr>
        <w:t xml:space="preserve">Metadata FROM → TO</w:t>
      </w:r>
    </w:p>
    <w:p>
      <w:pPr>
        <w:spacing w:after="90"/>
      </w:pPr>
      <w:r>
        <w:rPr>
          <w:rFonts w:ascii="Consolas" w:cs="Consolas" w:eastAsia="Consolas" w:hAnsi="Consolas"/>
          <w:b/>
          <w:bCs/>
          <w:color w:val="5B3FA8"/>
          <w:sz w:val="20"/>
          <w:szCs w:val="20"/>
        </w:rPr>
        <w:t xml:space="preserve">11   </w:t>
      </w:r>
      <w:r>
        <w:rPr>
          <w:rFonts w:ascii="Calibri" w:cs="Calibri" w:eastAsia="Calibri" w:hAnsi="Calibri"/>
          <w:color w:val="222222"/>
          <w:sz w:val="21"/>
          <w:szCs w:val="21"/>
        </w:rPr>
        <w:t xml:space="preserve">SEO Validation</w:t>
      </w:r>
    </w:p>
    <w:p>
      <w:pPr>
        <w:spacing w:after="90"/>
      </w:pPr>
      <w:r>
        <w:rPr>
          <w:rFonts w:ascii="Consolas" w:cs="Consolas" w:eastAsia="Consolas" w:hAnsi="Consolas"/>
          <w:b/>
          <w:bCs/>
          <w:color w:val="5B3FA8"/>
          <w:sz w:val="20"/>
          <w:szCs w:val="20"/>
        </w:rPr>
        <w:t xml:space="preserve">12   </w:t>
      </w:r>
      <w:r>
        <w:rPr>
          <w:rFonts w:ascii="Calibri" w:cs="Calibri" w:eastAsia="Calibri" w:hAnsi="Calibri"/>
          <w:color w:val="222222"/>
          <w:sz w:val="21"/>
          <w:szCs w:val="21"/>
        </w:rPr>
        <w:t xml:space="preserve">Keyword Architecture</w:t>
      </w:r>
    </w:p>
    <w:p>
      <w:pPr>
        <w:spacing w:after="90"/>
      </w:pPr>
      <w:r>
        <w:rPr>
          <w:rFonts w:ascii="Consolas" w:cs="Consolas" w:eastAsia="Consolas" w:hAnsi="Consolas"/>
          <w:b/>
          <w:bCs/>
          <w:color w:val="5B3FA8"/>
          <w:sz w:val="20"/>
          <w:szCs w:val="20"/>
        </w:rPr>
        <w:t xml:space="preserve">13   </w:t>
      </w:r>
      <w:r>
        <w:rPr>
          <w:rFonts w:ascii="Calibri" w:cs="Calibri" w:eastAsia="Calibri" w:hAnsi="Calibri"/>
          <w:color w:val="222222"/>
          <w:sz w:val="21"/>
          <w:szCs w:val="21"/>
        </w:rPr>
        <w:t xml:space="preserve">GEO Strategy</w:t>
      </w:r>
    </w:p>
    <w:p>
      <w:pPr>
        <w:spacing w:after="90"/>
      </w:pPr>
      <w:r>
        <w:rPr>
          <w:rFonts w:ascii="Consolas" w:cs="Consolas" w:eastAsia="Consolas" w:hAnsi="Consolas"/>
          <w:b/>
          <w:bCs/>
          <w:color w:val="5B3FA8"/>
          <w:sz w:val="20"/>
          <w:szCs w:val="20"/>
        </w:rPr>
        <w:t xml:space="preserve">14   </w:t>
      </w:r>
      <w:r>
        <w:rPr>
          <w:rFonts w:ascii="Calibri" w:cs="Calibri" w:eastAsia="Calibri" w:hAnsi="Calibri"/>
          <w:color w:val="222222"/>
          <w:sz w:val="21"/>
          <w:szCs w:val="21"/>
        </w:rPr>
        <w:t xml:space="preserve">AEO Strategy</w:t>
      </w:r>
    </w:p>
    <w:p>
      <w:pPr>
        <w:spacing w:after="90"/>
      </w:pPr>
      <w:r>
        <w:rPr>
          <w:rFonts w:ascii="Consolas" w:cs="Consolas" w:eastAsia="Consolas" w:hAnsi="Consolas"/>
          <w:b/>
          <w:bCs/>
          <w:color w:val="5B3FA8"/>
          <w:sz w:val="20"/>
          <w:szCs w:val="20"/>
        </w:rPr>
        <w:t xml:space="preserve">15   </w:t>
      </w:r>
      <w:r>
        <w:rPr>
          <w:rFonts w:ascii="Calibri" w:cs="Calibri" w:eastAsia="Calibri" w:hAnsi="Calibri"/>
          <w:color w:val="222222"/>
          <w:sz w:val="21"/>
          <w:szCs w:val="21"/>
        </w:rPr>
        <w:t xml:space="preserve">Entity &amp; E-E-A-T Strategy</w:t>
      </w:r>
    </w:p>
    <w:p>
      <w:pPr>
        <w:spacing w:after="90"/>
      </w:pPr>
      <w:r>
        <w:rPr>
          <w:rFonts w:ascii="Consolas" w:cs="Consolas" w:eastAsia="Consolas" w:hAnsi="Consolas"/>
          <w:b/>
          <w:bCs/>
          <w:color w:val="5B3FA8"/>
          <w:sz w:val="20"/>
          <w:szCs w:val="20"/>
        </w:rPr>
        <w:t xml:space="preserve">16   </w:t>
      </w:r>
      <w:r>
        <w:rPr>
          <w:rFonts w:ascii="Calibri" w:cs="Calibri" w:eastAsia="Calibri" w:hAnsi="Calibri"/>
          <w:color w:val="222222"/>
          <w:sz w:val="21"/>
          <w:szCs w:val="21"/>
        </w:rPr>
        <w:t xml:space="preserve">Proof Architecture</w:t>
      </w:r>
    </w:p>
    <w:p>
      <w:pPr>
        <w:spacing w:after="90"/>
      </w:pPr>
      <w:r>
        <w:rPr>
          <w:rFonts w:ascii="Consolas" w:cs="Consolas" w:eastAsia="Consolas" w:hAnsi="Consolas"/>
          <w:b/>
          <w:bCs/>
          <w:color w:val="5B3FA8"/>
          <w:sz w:val="20"/>
          <w:szCs w:val="20"/>
        </w:rPr>
        <w:t xml:space="preserve">17   </w:t>
      </w:r>
      <w:r>
        <w:rPr>
          <w:rFonts w:ascii="Calibri" w:cs="Calibri" w:eastAsia="Calibri" w:hAnsi="Calibri"/>
          <w:color w:val="222222"/>
          <w:sz w:val="21"/>
          <w:szCs w:val="21"/>
        </w:rPr>
        <w:t xml:space="preserve">Page-by-Page Validation</w:t>
      </w:r>
    </w:p>
    <w:p>
      <w:pPr>
        <w:spacing w:after="90"/>
      </w:pPr>
      <w:r>
        <w:rPr>
          <w:rFonts w:ascii="Consolas" w:cs="Consolas" w:eastAsia="Consolas" w:hAnsi="Consolas"/>
          <w:b/>
          <w:bCs/>
          <w:color w:val="5B3FA8"/>
          <w:sz w:val="20"/>
          <w:szCs w:val="20"/>
        </w:rPr>
        <w:t xml:space="preserve">18   </w:t>
      </w:r>
      <w:r>
        <w:rPr>
          <w:rFonts w:ascii="Calibri" w:cs="Calibri" w:eastAsia="Calibri" w:hAnsi="Calibri"/>
          <w:color w:val="222222"/>
          <w:sz w:val="21"/>
          <w:szCs w:val="21"/>
        </w:rPr>
        <w:t xml:space="preserve">Final Production Content — Homepage</w:t>
      </w:r>
    </w:p>
    <w:p>
      <w:pPr>
        <w:spacing w:after="90"/>
      </w:pPr>
      <w:r>
        <w:rPr>
          <w:rFonts w:ascii="Consolas" w:cs="Consolas" w:eastAsia="Consolas" w:hAnsi="Consolas"/>
          <w:b/>
          <w:bCs/>
          <w:color w:val="5B3FA8"/>
          <w:sz w:val="20"/>
          <w:szCs w:val="20"/>
        </w:rPr>
        <w:t xml:space="preserve">19   </w:t>
      </w:r>
      <w:r>
        <w:rPr>
          <w:rFonts w:ascii="Calibri" w:cs="Calibri" w:eastAsia="Calibri" w:hAnsi="Calibri"/>
          <w:color w:val="222222"/>
          <w:sz w:val="21"/>
          <w:szCs w:val="21"/>
        </w:rPr>
        <w:t xml:space="preserve">Section FROM → TO Specification</w:t>
      </w:r>
    </w:p>
    <w:p>
      <w:pPr>
        <w:spacing w:after="90"/>
      </w:pPr>
      <w:r>
        <w:rPr>
          <w:rFonts w:ascii="Consolas" w:cs="Consolas" w:eastAsia="Consolas" w:hAnsi="Consolas"/>
          <w:b/>
          <w:bCs/>
          <w:color w:val="5B3FA8"/>
          <w:sz w:val="20"/>
          <w:szCs w:val="20"/>
        </w:rPr>
        <w:t xml:space="preserve">20   </w:t>
      </w:r>
      <w:r>
        <w:rPr>
          <w:rFonts w:ascii="Calibri" w:cs="Calibri" w:eastAsia="Calibri" w:hAnsi="Calibri"/>
          <w:color w:val="222222"/>
          <w:sz w:val="21"/>
          <w:szCs w:val="21"/>
        </w:rPr>
        <w:t xml:space="preserve">Product Team Implementation Matrix</w:t>
      </w:r>
    </w:p>
    <w:p>
      <w:pPr>
        <w:spacing w:after="90"/>
      </w:pPr>
      <w:r>
        <w:rPr>
          <w:rFonts w:ascii="Consolas" w:cs="Consolas" w:eastAsia="Consolas" w:hAnsi="Consolas"/>
          <w:b/>
          <w:bCs/>
          <w:color w:val="5B3FA8"/>
          <w:sz w:val="20"/>
          <w:szCs w:val="20"/>
        </w:rPr>
        <w:t xml:space="preserve">21   </w:t>
      </w:r>
      <w:r>
        <w:rPr>
          <w:rFonts w:ascii="Calibri" w:cs="Calibri" w:eastAsia="Calibri" w:hAnsi="Calibri"/>
          <w:color w:val="222222"/>
          <w:sz w:val="21"/>
          <w:szCs w:val="21"/>
        </w:rPr>
        <w:t xml:space="preserve">Internal Linking</w:t>
      </w:r>
    </w:p>
    <w:p>
      <w:pPr>
        <w:spacing w:after="90"/>
      </w:pPr>
      <w:r>
        <w:rPr>
          <w:rFonts w:ascii="Consolas" w:cs="Consolas" w:eastAsia="Consolas" w:hAnsi="Consolas"/>
          <w:b/>
          <w:bCs/>
          <w:color w:val="5B3FA8"/>
          <w:sz w:val="20"/>
          <w:szCs w:val="20"/>
        </w:rPr>
        <w:t xml:space="preserve">22   </w:t>
      </w:r>
      <w:r>
        <w:rPr>
          <w:rFonts w:ascii="Calibri" w:cs="Calibri" w:eastAsia="Calibri" w:hAnsi="Calibri"/>
          <w:color w:val="222222"/>
          <w:sz w:val="21"/>
          <w:szCs w:val="21"/>
        </w:rPr>
        <w:t xml:space="preserve">Schema</w:t>
      </w:r>
    </w:p>
    <w:p>
      <w:pPr>
        <w:spacing w:after="90"/>
      </w:pPr>
      <w:r>
        <w:rPr>
          <w:rFonts w:ascii="Consolas" w:cs="Consolas" w:eastAsia="Consolas" w:hAnsi="Consolas"/>
          <w:b/>
          <w:bCs/>
          <w:color w:val="5B3FA8"/>
          <w:sz w:val="20"/>
          <w:szCs w:val="20"/>
        </w:rPr>
        <w:t xml:space="preserve">23   </w:t>
      </w:r>
      <w:r>
        <w:rPr>
          <w:rFonts w:ascii="Calibri" w:cs="Calibri" w:eastAsia="Calibri" w:hAnsi="Calibri"/>
          <w:color w:val="222222"/>
          <w:sz w:val="21"/>
          <w:szCs w:val="21"/>
        </w:rPr>
        <w:t xml:space="preserve">Case Study Strategy</w:t>
      </w:r>
    </w:p>
    <w:p>
      <w:pPr>
        <w:spacing w:after="90"/>
      </w:pPr>
      <w:r>
        <w:rPr>
          <w:rFonts w:ascii="Consolas" w:cs="Consolas" w:eastAsia="Consolas" w:hAnsi="Consolas"/>
          <w:b/>
          <w:bCs/>
          <w:color w:val="5B3FA8"/>
          <w:sz w:val="20"/>
          <w:szCs w:val="20"/>
        </w:rPr>
        <w:t xml:space="preserve">24   </w:t>
      </w:r>
      <w:r>
        <w:rPr>
          <w:rFonts w:ascii="Calibri" w:cs="Calibri" w:eastAsia="Calibri" w:hAnsi="Calibri"/>
          <w:color w:val="222222"/>
          <w:sz w:val="21"/>
          <w:szCs w:val="21"/>
        </w:rPr>
        <w:t xml:space="preserve">Conversion &amp; CTA Architecture</w:t>
      </w:r>
    </w:p>
    <w:p>
      <w:pPr>
        <w:spacing w:after="90"/>
      </w:pPr>
      <w:r>
        <w:rPr>
          <w:rFonts w:ascii="Consolas" w:cs="Consolas" w:eastAsia="Consolas" w:hAnsi="Consolas"/>
          <w:b/>
          <w:bCs/>
          <w:color w:val="5B3FA8"/>
          <w:sz w:val="20"/>
          <w:szCs w:val="20"/>
        </w:rPr>
        <w:t xml:space="preserve">25   </w:t>
      </w:r>
      <w:r>
        <w:rPr>
          <w:rFonts w:ascii="Calibri" w:cs="Calibri" w:eastAsia="Calibri" w:hAnsi="Calibri"/>
          <w:color w:val="222222"/>
          <w:sz w:val="21"/>
          <w:szCs w:val="21"/>
        </w:rPr>
        <w:t xml:space="preserve">Content Governance</w:t>
      </w:r>
    </w:p>
    <w:p>
      <w:pPr>
        <w:spacing w:after="90"/>
      </w:pPr>
      <w:r>
        <w:rPr>
          <w:rFonts w:ascii="Consolas" w:cs="Consolas" w:eastAsia="Consolas" w:hAnsi="Consolas"/>
          <w:b/>
          <w:bCs/>
          <w:color w:val="5B3FA8"/>
          <w:sz w:val="20"/>
          <w:szCs w:val="20"/>
        </w:rPr>
        <w:t xml:space="preserve">26   </w:t>
      </w:r>
      <w:r>
        <w:rPr>
          <w:rFonts w:ascii="Calibri" w:cs="Calibri" w:eastAsia="Calibri" w:hAnsi="Calibri"/>
          <w:color w:val="222222"/>
          <w:sz w:val="21"/>
          <w:szCs w:val="21"/>
        </w:rPr>
        <w:t xml:space="preserve">Technical SEO Checklist</w:t>
      </w:r>
    </w:p>
    <w:p>
      <w:pPr>
        <w:spacing w:after="90"/>
      </w:pPr>
      <w:r>
        <w:rPr>
          <w:rFonts w:ascii="Consolas" w:cs="Consolas" w:eastAsia="Consolas" w:hAnsi="Consolas"/>
          <w:b/>
          <w:bCs/>
          <w:color w:val="5B3FA8"/>
          <w:sz w:val="20"/>
          <w:szCs w:val="20"/>
        </w:rPr>
        <w:t xml:space="preserve">27   </w:t>
      </w:r>
      <w:r>
        <w:rPr>
          <w:rFonts w:ascii="Calibri" w:cs="Calibri" w:eastAsia="Calibri" w:hAnsi="Calibri"/>
          <w:color w:val="222222"/>
          <w:sz w:val="21"/>
          <w:szCs w:val="21"/>
        </w:rPr>
        <w:t xml:space="preserve">Priority Roadmap</w:t>
      </w:r>
    </w:p>
    <w:p>
      <w:pPr>
        <w:spacing w:after="90"/>
      </w:pPr>
      <w:r>
        <w:rPr>
          <w:rFonts w:ascii="Consolas" w:cs="Consolas" w:eastAsia="Consolas" w:hAnsi="Consolas"/>
          <w:b/>
          <w:bCs/>
          <w:color w:val="5B3FA8"/>
          <w:sz w:val="20"/>
          <w:szCs w:val="20"/>
        </w:rPr>
        <w:t xml:space="preserve">28   </w:t>
      </w:r>
      <w:r>
        <w:rPr>
          <w:rFonts w:ascii="Calibri" w:cs="Calibri" w:eastAsia="Calibri" w:hAnsi="Calibri"/>
          <w:color w:val="222222"/>
          <w:sz w:val="21"/>
          <w:szCs w:val="21"/>
        </w:rPr>
        <w:t xml:space="preserve">Acceptance Criteria</w:t>
      </w:r>
    </w:p>
    <w:p>
      <w:pPr>
        <w:spacing w:after="90"/>
      </w:pPr>
      <w:r>
        <w:rPr>
          <w:rFonts w:ascii="Consolas" w:cs="Consolas" w:eastAsia="Consolas" w:hAnsi="Consolas"/>
          <w:b/>
          <w:bCs/>
          <w:color w:val="5B3FA8"/>
          <w:sz w:val="20"/>
          <w:szCs w:val="20"/>
        </w:rPr>
        <w:t xml:space="preserve">29   </w:t>
      </w:r>
      <w:r>
        <w:rPr>
          <w:rFonts w:ascii="Calibri" w:cs="Calibri" w:eastAsia="Calibri" w:hAnsi="Calibri"/>
          <w:color w:val="222222"/>
          <w:sz w:val="21"/>
          <w:szCs w:val="21"/>
        </w:rPr>
        <w:t xml:space="preserve">Final QA Checklist</w:t>
      </w:r>
    </w:p>
    <w:p>
      <w:pPr>
        <w:spacing w:after="90"/>
      </w:pPr>
      <w:r>
        <w:rPr>
          <w:rFonts w:ascii="Consolas" w:cs="Consolas" w:eastAsia="Consolas" w:hAnsi="Consolas"/>
          <w:b/>
          <w:bCs/>
          <w:color w:val="5B3FA8"/>
          <w:sz w:val="20"/>
          <w:szCs w:val="20"/>
        </w:rPr>
        <w:t xml:space="preserve">30   </w:t>
      </w:r>
      <w:r>
        <w:rPr>
          <w:rFonts w:ascii="Calibri" w:cs="Calibri" w:eastAsia="Calibri" w:hAnsi="Calibri"/>
          <w:color w:val="222222"/>
          <w:sz w:val="21"/>
          <w:szCs w:val="21"/>
        </w:rPr>
        <w:t xml:space="preserve">Content Gaps</w:t>
      </w:r>
    </w:p>
    <w:p>
      <w:pPr>
        <w:spacing w:after="90"/>
      </w:pPr>
      <w:r>
        <w:rPr>
          <w:rFonts w:ascii="Consolas" w:cs="Consolas" w:eastAsia="Consolas" w:hAnsi="Consolas"/>
          <w:b/>
          <w:bCs/>
          <w:color w:val="5B3FA8"/>
          <w:sz w:val="20"/>
          <w:szCs w:val="20"/>
        </w:rPr>
        <w:t xml:space="preserve">31   </w:t>
      </w:r>
      <w:r>
        <w:rPr>
          <w:rFonts w:ascii="Calibri" w:cs="Calibri" w:eastAsia="Calibri" w:hAnsi="Calibri"/>
          <w:color w:val="222222"/>
          <w:sz w:val="21"/>
          <w:szCs w:val="21"/>
        </w:rPr>
        <w:t xml:space="preserve">Final Website Score</w:t>
      </w:r>
    </w:p>
    <w:p>
      <w:pPr>
        <w:spacing w:after="90"/>
      </w:pPr>
      <w:r>
        <w:rPr>
          <w:rFonts w:ascii="Consolas" w:cs="Consolas" w:eastAsia="Consolas" w:hAnsi="Consolas"/>
          <w:b/>
          <w:bCs/>
          <w:color w:val="5B3FA8"/>
          <w:sz w:val="20"/>
          <w:szCs w:val="20"/>
        </w:rPr>
        <w:t xml:space="preserve">A    </w:t>
      </w:r>
      <w:r>
        <w:rPr>
          <w:rFonts w:ascii="Calibri" w:cs="Calibri" w:eastAsia="Calibri" w:hAnsi="Calibri"/>
          <w:color w:val="222222"/>
          <w:sz w:val="21"/>
          <w:szCs w:val="21"/>
        </w:rPr>
        <w:t xml:space="preserve">Appendix A — Client Information Required</w:t>
      </w:r>
    </w:p>
    <w:p>
      <w:pPr>
        <w:spacing w:after="90"/>
      </w:pPr>
      <w:r>
        <w:rPr>
          <w:rFonts w:ascii="Consolas" w:cs="Consolas" w:eastAsia="Consolas" w:hAnsi="Consolas"/>
          <w:b/>
          <w:bCs/>
          <w:color w:val="5B3FA8"/>
          <w:sz w:val="20"/>
          <w:szCs w:val="20"/>
        </w:rPr>
        <w:t xml:space="preserve">B    </w:t>
      </w:r>
      <w:r>
        <w:rPr>
          <w:rFonts w:ascii="Calibri" w:cs="Calibri" w:eastAsia="Calibri" w:hAnsi="Calibri"/>
          <w:color w:val="222222"/>
          <w:sz w:val="21"/>
          <w:szCs w:val="21"/>
        </w:rPr>
        <w:t xml:space="preserve">Appendix B — Audit Method and Limitations</w:t>
      </w:r>
    </w:p>
    <w:p>
      <w:pPr>
        <w:spacing w:after="90"/>
      </w:pPr>
      <w:r>
        <w:rPr>
          <w:rFonts w:ascii="Consolas" w:cs="Consolas" w:eastAsia="Consolas" w:hAnsi="Consolas"/>
          <w:b/>
          <w:bCs/>
          <w:color w:val="5B3FA8"/>
          <w:sz w:val="20"/>
          <w:szCs w:val="20"/>
        </w:rPr>
        <w:t xml:space="preserve">C    </w:t>
      </w:r>
      <w:r>
        <w:rPr>
          <w:rFonts w:ascii="Calibri" w:cs="Calibri" w:eastAsia="Calibri" w:hAnsi="Calibri"/>
          <w:color w:val="222222"/>
          <w:sz w:val="21"/>
          <w:szCs w:val="21"/>
        </w:rPr>
        <w:t xml:space="preserve">Appendix C — Redirect Matrix</w:t>
      </w:r>
    </w:p>
    <w:p>
      <w:pPr>
        <w:spacing w:after="90"/>
      </w:pPr>
      <w:r>
        <w:rPr>
          <w:rFonts w:ascii="Consolas" w:cs="Consolas" w:eastAsia="Consolas" w:hAnsi="Consolas"/>
          <w:b/>
          <w:bCs/>
          <w:color w:val="5B3FA8"/>
          <w:sz w:val="20"/>
          <w:szCs w:val="20"/>
        </w:rPr>
        <w:t xml:space="preserve">D    </w:t>
      </w:r>
      <w:r>
        <w:rPr>
          <w:rFonts w:ascii="Calibri" w:cs="Calibri" w:eastAsia="Calibri" w:hAnsi="Calibri"/>
          <w:color w:val="222222"/>
          <w:sz w:val="21"/>
          <w:szCs w:val="21"/>
        </w:rPr>
        <w:t xml:space="preserve">Appendix D — Metadata Library</w:t>
      </w:r>
    </w:p>
    <w:p>
      <w:pPr>
        <w:spacing w:before="300"/>
      </w:pPr>
      <w:r>
        <w:rPr>
          <w:rFonts w:ascii="Calibri" w:cs="Calibri" w:eastAsia="Calibri" w:hAnsi="Calibri"/>
          <w:i/>
          <w:iCs/>
          <w:color w:val="5A6270"/>
          <w:sz w:val="19"/>
          <w:szCs w:val="19"/>
        </w:rPr>
        <w:t xml:space="preserve">Sections 4, 19, 20 and 28 are the operational core of this document. A product manager who reads only those four can scope and ship the launch-blocking work.</w:t>
      </w:r>
    </w:p>
    <w:p>
      <w:pPr>
        <w:pStyle w:val="Heading1"/>
        <w:pageBreakBefore/>
        <w:spacing w:after="200" w:before="240"/>
      </w:pPr>
      <w:r>
        <w:rPr>
          <w:rFonts w:ascii="Calibri" w:cs="Calibri" w:eastAsia="Calibri" w:hAnsi="Calibri"/>
          <w:b/>
          <w:bCs/>
          <w:color w:val="15243F"/>
          <w:sz w:val="32"/>
          <w:szCs w:val="32"/>
        </w:rPr>
        <w:t xml:space="preserve">1. Executive Summary</w:t>
      </w:r>
    </w:p>
    <w:p>
      <w:pPr>
        <w:spacing w:after="120" w:line="276"/>
      </w:pPr>
      <w:r>
        <w:rPr>
          <w:rFonts w:ascii="Calibri" w:cs="Calibri" w:eastAsia="Calibri" w:hAnsi="Calibri"/>
          <w:color w:val="222222"/>
          <w:sz w:val="20"/>
          <w:szCs w:val="20"/>
        </w:rPr>
        <w:t xml:space="preserve">The Ascendus site is not weak. It is unpublishable in its current state, and the reason is narrow and fixable.</w:t>
      </w:r>
    </w:p>
    <w:p>
      <w:pPr>
        <w:spacing w:after="120" w:line="276"/>
      </w:pPr>
      <w:r>
        <w:rPr>
          <w:rFonts w:ascii="Calibri" w:cs="Calibri" w:eastAsia="Calibri" w:hAnsi="Calibri"/>
          <w:color w:val="222222"/>
          <w:sz w:val="20"/>
          <w:szCs w:val="20"/>
        </w:rPr>
        <w:t xml:space="preserve">Every page audited returns the same canonical URL: the homepage of a hostname that is not the site being built. Every page also returns the same title tag, the same meta description and the same Open Graph payload. The practical consequence is that no service page, case study or corporate page on this site can be indexed by a search engine or correctly identified by an AI system. Twelve capability pages, three case studies and every legal and corporate surface are, from a search perspective, invisible. Nothing else in this document matters until that is corrected.</w:t>
      </w:r>
    </w:p>
    <w:p>
      <w:pPr>
        <w:spacing w:after="120" w:line="276"/>
      </w:pPr>
      <w:r>
        <w:rPr>
          <w:rFonts w:ascii="Calibri" w:cs="Calibri" w:eastAsia="Calibri" w:hAnsi="Calibri"/>
          <w:color w:val="222222"/>
          <w:sz w:val="20"/>
          <w:szCs w:val="20"/>
        </w:rPr>
        <w:t xml:space="preserve">Below that, the second theme is credibility. The homepage tells an enterprise buyer that Ascendus has zero SAP specialists, zero engagements delivered and zero years of experience, because four proof counters ship at 0+. The AI page repeats the pattern with four more. The customer experience page publishes cybersecurity copy under a CRM heading and managed-services copy under a partner-benefits heading. The footer misspells the sentence that establishes who the company is. The header offers visitors a choice of nine countries across three continents, none of which the company operates in, while omitting the GCC markets the site's own metadata claims as its primary market.</w:t>
      </w:r>
    </w:p>
    <w:p>
      <w:pPr>
        <w:spacing w:after="120" w:line="276"/>
      </w:pPr>
      <w:r>
        <w:rPr>
          <w:rFonts w:ascii="Calibri" w:cs="Calibri" w:eastAsia="Calibri" w:hAnsi="Calibri"/>
          <w:color w:val="222222"/>
          <w:sz w:val="20"/>
          <w:szCs w:val="20"/>
        </w:rPr>
        <w:t xml:space="preserve">These are not tone problems. They are the specific things a procurement reviewer notices in the first ten minutes, and they are cheap to fix. The strategy underneath is sound: the draft blueprint correctly identified that Ascendus should stop presenting a service catalogue and start presenting one operating idea — design, build and run kept under one accountable team. That positioning is retained here without change.</w:t>
      </w:r>
    </w:p>
    <w:p>
      <w:pPr>
        <w:spacing w:after="120" w:line="276"/>
      </w:pPr>
      <w:r>
        <w:rPr>
          <w:rFonts w:ascii="Calibri" w:cs="Calibri" w:eastAsia="Calibri" w:hAnsi="Calibri"/>
          <w:color w:val="222222"/>
          <w:sz w:val="20"/>
          <w:szCs w:val="20"/>
        </w:rPr>
        <w:t xml:space="preserve">The third theme is what is missing. SAP is the first noun in the site's title tag and the largest commercial category in the business. There is no SAP page. There is no Microsoft page. Four industries are named on the homepage and none of them has a destination; the button beneath them resolves to the About page. Case studies exist but cannot be clicked. The proof architecture, the SAP architecture and the industry architecture are all absent rather than weak.</w:t>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THE CORE RECOMMENDATION</w:t>
            </w:r>
          </w:p>
          <w:p>
            <w:pPr>
              <w:spacing w:after="0" w:line="270"/>
            </w:pPr>
            <w:r>
              <w:rPr>
                <w:rFonts w:ascii="Calibri" w:cs="Calibri" w:eastAsia="Calibri" w:hAnsi="Calibri"/>
                <w:color w:val="222222"/>
                <w:sz w:val="19"/>
                <w:szCs w:val="19"/>
              </w:rPr>
              <w:t xml:space="preserve">Fix twenty-six P0 items before anything else is written. Then migrate the URL architecture and metadata. Then build the SAP and Microsoft clusters. Do not publish a page until its proof block is populated — the zero-valued counters currently on the site are what happens when that rule is not enforced.</w:t>
            </w:r>
          </w:p>
        </w:tc>
      </w:tr>
    </w:tbl>
    <w:p>
      <w:pPr>
        <w:pStyle w:val="Heading2"/>
        <w:spacing w:after="140" w:before="280"/>
      </w:pPr>
      <w:r>
        <w:rPr>
          <w:rFonts w:ascii="Calibri" w:cs="Calibri" w:eastAsia="Calibri" w:hAnsi="Calibri"/>
          <w:b/>
          <w:bCs/>
          <w:color w:val="15243F"/>
          <w:sz w:val="24"/>
          <w:szCs w:val="24"/>
        </w:rPr>
        <w:t xml:space="preserve">The seven changes that matter most</w:t>
      </w:r>
    </w:p>
    <w:p>
      <w:pPr>
        <w:pStyle w:val="ListParagraph"/>
        <w:numPr>
          <w:ilvl w:val="0"/>
          <w:numId w:val="2"/>
        </w:numPr>
        <w:spacing w:after="80" w:line="276"/>
      </w:pPr>
      <w:r>
        <w:rPr>
          <w:rFonts w:ascii="Calibri" w:cs="Calibri" w:eastAsia="Calibri" w:hAnsi="Calibri"/>
          <w:color w:val="222222"/>
          <w:sz w:val="20"/>
          <w:szCs w:val="20"/>
        </w:rPr>
        <w:t xml:space="preserve">Give every page a self-referencing canonical, a unique title and a unique meta description. This single change moves the site from unindexable to indexable and is worth more than every content improvement in this document combined.</w:t>
      </w:r>
    </w:p>
    <w:p>
      <w:pPr>
        <w:pStyle w:val="ListParagraph"/>
        <w:numPr>
          <w:ilvl w:val="0"/>
          <w:numId w:val="2"/>
        </w:numPr>
        <w:spacing w:after="80" w:line="276"/>
      </w:pPr>
      <w:r>
        <w:rPr>
          <w:rFonts w:ascii="Calibri" w:cs="Calibri" w:eastAsia="Calibri" w:hAnsi="Calibri"/>
          <w:color w:val="222222"/>
          <w:sz w:val="20"/>
          <w:szCs w:val="20"/>
        </w:rPr>
        <w:t xml:space="preserve">Remove every placeholder metric. Publish no number without an owner, a source and a measurement basis recorded in a proof registry.</w:t>
      </w:r>
    </w:p>
    <w:p>
      <w:pPr>
        <w:pStyle w:val="ListParagraph"/>
        <w:numPr>
          <w:ilvl w:val="0"/>
          <w:numId w:val="2"/>
        </w:numPr>
        <w:spacing w:after="80" w:line="276"/>
      </w:pPr>
      <w:r>
        <w:rPr>
          <w:rFonts w:ascii="Calibri" w:cs="Calibri" w:eastAsia="Calibri" w:hAnsi="Calibri"/>
          <w:color w:val="222222"/>
          <w:sz w:val="20"/>
          <w:szCs w:val="20"/>
        </w:rPr>
        <w:t xml:space="preserve">Resolve the Ascendus / Support Studio Technologies relationship, in writing, with legal sign-off, before launch. It appears in the footer, the logo alt text, the social links and the About page, and it is currently stated four different ways.</w:t>
      </w:r>
    </w:p>
    <w:p>
      <w:pPr>
        <w:pStyle w:val="ListParagraph"/>
        <w:numPr>
          <w:ilvl w:val="0"/>
          <w:numId w:val="2"/>
        </w:numPr>
        <w:spacing w:after="80" w:line="276"/>
      </w:pPr>
      <w:r>
        <w:rPr>
          <w:rFonts w:ascii="Calibri" w:cs="Calibri" w:eastAsia="Calibri" w:hAnsi="Calibri"/>
          <w:color w:val="222222"/>
          <w:sz w:val="20"/>
          <w:szCs w:val="20"/>
        </w:rPr>
        <w:t xml:space="preserve">Remove the locale switcher. It asserts a nine-country footprint that does not exist and omits the two markets the site claims to serve.</w:t>
      </w:r>
    </w:p>
    <w:p>
      <w:pPr>
        <w:pStyle w:val="ListParagraph"/>
        <w:numPr>
          <w:ilvl w:val="0"/>
          <w:numId w:val="2"/>
        </w:numPr>
        <w:spacing w:after="80" w:line="276"/>
      </w:pPr>
      <w:r>
        <w:rPr>
          <w:rFonts w:ascii="Calibri" w:cs="Calibri" w:eastAsia="Calibri" w:hAnsi="Calibri"/>
          <w:color w:val="222222"/>
          <w:sz w:val="20"/>
          <w:szCs w:val="20"/>
        </w:rPr>
        <w:t xml:space="preserve">Correct the template collisions — cybersecurity copy under CRM, managed-services copy under partner benefits, duplicated card sets, empty headings. These are the clearest evidence on the site that content was assembled rather than written.</w:t>
      </w:r>
    </w:p>
    <w:p>
      <w:pPr>
        <w:pStyle w:val="ListParagraph"/>
        <w:numPr>
          <w:ilvl w:val="0"/>
          <w:numId w:val="2"/>
        </w:numPr>
        <w:spacing w:after="80" w:line="276"/>
      </w:pPr>
      <w:r>
        <w:rPr>
          <w:rFonts w:ascii="Calibri" w:cs="Calibri" w:eastAsia="Calibri" w:hAnsi="Calibri"/>
          <w:color w:val="222222"/>
          <w:sz w:val="20"/>
          <w:szCs w:val="20"/>
        </w:rPr>
        <w:t xml:space="preserve">Migrate /whatWeDo/ to a /services/ taxonomy with 301s, then build the SAP hub with S/4HANA and AMS children. SAP is the commercial centre of the business and currently has no page.</w:t>
      </w:r>
    </w:p>
    <w:p>
      <w:pPr>
        <w:pStyle w:val="ListParagraph"/>
        <w:numPr>
          <w:ilvl w:val="0"/>
          <w:numId w:val="2"/>
        </w:numPr>
        <w:spacing w:after="80" w:line="276"/>
      </w:pPr>
      <w:r>
        <w:rPr>
          <w:rFonts w:ascii="Calibri" w:cs="Calibri" w:eastAsia="Calibri" w:hAnsi="Calibri"/>
          <w:color w:val="222222"/>
          <w:sz w:val="20"/>
          <w:szCs w:val="20"/>
        </w:rPr>
        <w:t xml:space="preserve">Make case studies navigable and verified. Proof that cannot be clicked is not proof, and quantified claims without a measurement basis are a liability rather than an asset.</w:t>
      </w:r>
    </w:p>
    <w:p>
      <w:pPr>
        <w:pStyle w:val="Heading1"/>
        <w:pageBreakBefore/>
        <w:spacing w:after="200" w:before="240"/>
      </w:pPr>
      <w:r>
        <w:rPr>
          <w:rFonts w:ascii="Calibri" w:cs="Calibri" w:eastAsia="Calibri" w:hAnsi="Calibri"/>
          <w:b/>
          <w:bCs/>
          <w:color w:val="15243F"/>
          <w:sz w:val="32"/>
          <w:szCs w:val="32"/>
        </w:rPr>
        <w:t xml:space="preserve">2. Final Recommendation</w:t>
      </w:r>
    </w:p>
    <w:p>
      <w:pPr>
        <w:spacing w:after="120" w:line="276"/>
      </w:pPr>
      <w:r>
        <w:rPr>
          <w:rFonts w:ascii="Calibri" w:cs="Calibri" w:eastAsia="Calibri" w:hAnsi="Calibri"/>
          <w:color w:val="222222"/>
          <w:sz w:val="20"/>
          <w:szCs w:val="20"/>
        </w:rPr>
        <w:t xml:space="preserve">Proceed with the draft blueprint's strategy. Reject three of its technical premises. Add four findings it did not contain. Sequence the work behind a hard launch gate.</w:t>
      </w:r>
    </w:p>
    <w:p>
      <w:pPr>
        <w:spacing w:after="120" w:line="276"/>
      </w:pPr>
      <w:r>
        <w:rPr>
          <w:rFonts w:ascii="Calibri" w:cs="Calibri" w:eastAsia="Calibri" w:hAnsi="Calibri"/>
          <w:color w:val="222222"/>
          <w:sz w:val="20"/>
          <w:szCs w:val="20"/>
        </w:rPr>
        <w:t xml:space="preserve">The draft is a good piece of work: the positioning, the URL taxonomy, the keyword ownership map and — unusually — the GEO section are all correct and should be implemented as written. The GEO chapter in particular resists the two errors that dominate this field right now: it does not treat llms.txt as meaningful, and it does not recommend generating AI-targeted pages. It treats generative-search performance as a consequence of crawlability, entity clarity and original evidence, which is right.</w:t>
      </w:r>
    </w:p>
    <w:p>
      <w:pPr>
        <w:spacing w:after="120" w:line="276"/>
      </w:pPr>
      <w:r>
        <w:rPr>
          <w:rFonts w:ascii="Calibri" w:cs="Calibri" w:eastAsia="Calibri" w:hAnsi="Calibri"/>
          <w:color w:val="222222"/>
          <w:sz w:val="20"/>
          <w:szCs w:val="20"/>
        </w:rPr>
        <w:t xml:space="preserve">Where it falls short is in the weighting. The draft scores the site 51/100 and lists generic titles as one issue among several. It does not identify that the canonical tag points every page at a foreign domain, which is the difference between a site that ranks poorly and a site that does not rank at all. It also builds its leading technical recommendation — migrating SAP and Microsoft sub-services off query-parameter URLs — on a premise that no longer appears to hold, since no such routes are exposed anywhere in the current build.</w:t>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FDF3E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DECISION REQUIRED BEFORE ANY WORK STARTS</w:t>
            </w:r>
          </w:p>
          <w:p>
            <w:pPr>
              <w:spacing w:after="0" w:line="270"/>
            </w:pPr>
            <w:r>
              <w:rPr>
                <w:rFonts w:ascii="Calibri" w:cs="Calibri" w:eastAsia="Calibri" w:hAnsi="Calibri"/>
                <w:color w:val="222222"/>
                <w:sz w:val="19"/>
                <w:szCs w:val="19"/>
              </w:rPr>
              <w:t xml:space="preserve">The corporate relationship between Ascendus and Support Studio Technologies is a launch blocker, not a content input. Until it is stated in one legally approved form of words, the footer, the About page, the Organization schema, the case-study attribution and the social profiles cannot be finalised — and an AI system asked "what is Ascendus?" will keep returning an answer that contradicts the site. See Appendix A, item A-01.</w:t>
            </w:r>
          </w:p>
        </w:tc>
      </w:tr>
    </w:tbl>
    <w:p>
      <w:pPr>
        <w:pStyle w:val="Heading1"/>
        <w:pageBreakBefore/>
        <w:spacing w:after="200" w:before="240"/>
      </w:pPr>
      <w:r>
        <w:rPr>
          <w:rFonts w:ascii="Calibri" w:cs="Calibri" w:eastAsia="Calibri" w:hAnsi="Calibri"/>
          <w:b/>
          <w:bCs/>
          <w:color w:val="15243F"/>
          <w:sz w:val="32"/>
          <w:szCs w:val="32"/>
        </w:rPr>
        <w:t xml:space="preserve">3. Before vs After Scorecard</w:t>
      </w:r>
    </w:p>
    <w:p>
      <w:pPr>
        <w:spacing w:after="120" w:line="276"/>
      </w:pPr>
      <w:r>
        <w:rPr>
          <w:rFonts w:ascii="Calibri" w:cs="Calibri" w:eastAsia="Calibri" w:hAnsi="Calibri"/>
          <w:color w:val="222222"/>
          <w:sz w:val="20"/>
          <w:szCs w:val="20"/>
        </w:rPr>
        <w:t xml:space="preserve">Twelve dimensions, each scored out of ten. The overall figure is weighted rather than averaged: indexability and entity clarity are treated as gating dimensions, because a failure in either caps the value of everything else.</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1966"/>
        <w:gridCol w:w="562"/>
        <w:gridCol w:w="655"/>
        <w:gridCol w:w="655"/>
        <w:gridCol w:w="5522"/>
      </w:tblGrid>
      <w:tr>
        <w:trPr>
          <w:tblHeader/>
        </w:trPr>
        <w:tc>
          <w:tcPr>
            <w:tcW w:type="dxa" w:w="1966"/>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Dimension</w:t>
            </w:r>
          </w:p>
        </w:tc>
        <w:tc>
          <w:tcPr>
            <w:tcW w:type="dxa" w:w="56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Live</w:t>
            </w:r>
          </w:p>
        </w:tc>
        <w:tc>
          <w:tcPr>
            <w:tcW w:type="dxa" w:w="65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Draft</w:t>
            </w:r>
          </w:p>
        </w:tc>
        <w:tc>
          <w:tcPr>
            <w:tcW w:type="dxa" w:w="65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Final</w:t>
            </w:r>
          </w:p>
        </w:tc>
        <w:tc>
          <w:tcPr>
            <w:tcW w:type="dxa" w:w="552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Why the score changes</w:t>
            </w:r>
          </w:p>
        </w:tc>
      </w:tr>
      <w:tr>
        <w:tc>
          <w:tcPr>
            <w:tcW w:type="dxa" w:w="196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Brand</w:t>
            </w:r>
          </w:p>
        </w:tc>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5</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8</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9</w:t>
            </w:r>
          </w:p>
        </w:tc>
        <w:tc>
          <w:tcPr>
            <w:tcW w:type="dxa" w:w="552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Entity contradictions removed; one voice, one name, one description.</w:t>
            </w:r>
          </w:p>
        </w:tc>
      </w:tr>
      <w:tr>
        <w:tc>
          <w:tcPr>
            <w:tcW w:type="dxa" w:w="196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positioning</w:t>
            </w:r>
          </w:p>
        </w:tc>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5</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8</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9</w:t>
            </w:r>
          </w:p>
        </w:tc>
        <w:tc>
          <w:tcPr>
            <w:tcW w:type="dxa" w:w="552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Design-build-run stated once and evidenced consistently.</w:t>
            </w:r>
          </w:p>
        </w:tc>
      </w:tr>
      <w:tr>
        <w:tc>
          <w:tcPr>
            <w:tcW w:type="dxa" w:w="196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Content quality</w:t>
            </w:r>
          </w:p>
        </w:tc>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8</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9</w:t>
            </w:r>
          </w:p>
        </w:tc>
        <w:tc>
          <w:tcPr>
            <w:tcW w:type="dxa" w:w="552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Template collisions, empty headings and duplicated card sets eliminated.</w:t>
            </w:r>
          </w:p>
        </w:tc>
      </w:tr>
      <w:tr>
        <w:tc>
          <w:tcPr>
            <w:tcW w:type="dxa" w:w="196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Technical credibility</w:t>
            </w:r>
          </w:p>
        </w:tc>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8</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9</w:t>
            </w:r>
          </w:p>
        </w:tc>
        <w:tc>
          <w:tcPr>
            <w:tcW w:type="dxa" w:w="552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definitions corrected; technical depth added below the executive layer.</w:t>
            </w:r>
          </w:p>
        </w:tc>
      </w:tr>
      <w:tr>
        <w:tc>
          <w:tcPr>
            <w:tcW w:type="dxa" w:w="196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SEO</w:t>
            </w:r>
          </w:p>
        </w:tc>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8</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9</w:t>
            </w:r>
          </w:p>
        </w:tc>
        <w:tc>
          <w:tcPr>
            <w:tcW w:type="dxa" w:w="552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Canonical, title, description and URL architecture fixed; site becomes indexable.</w:t>
            </w:r>
          </w:p>
        </w:tc>
      </w:tr>
      <w:tr>
        <w:tc>
          <w:tcPr>
            <w:tcW w:type="dxa" w:w="196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GEO</w:t>
            </w:r>
          </w:p>
        </w:tc>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8</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9</w:t>
            </w:r>
          </w:p>
        </w:tc>
        <w:tc>
          <w:tcPr>
            <w:tcW w:type="dxa" w:w="552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Organization schema, direct-answer blocks and a single canonical entity description.</w:t>
            </w:r>
          </w:p>
        </w:tc>
      </w:tr>
      <w:tr>
        <w:tc>
          <w:tcPr>
            <w:tcW w:type="dxa" w:w="196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AEO</w:t>
            </w:r>
          </w:p>
        </w:tc>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8</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9</w:t>
            </w:r>
          </w:p>
        </w:tc>
        <w:tc>
          <w:tcPr>
            <w:tcW w:type="dxa" w:w="552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Genuine buyer FAQs, definitions and comparison structures replace nothing.</w:t>
            </w:r>
          </w:p>
        </w:tc>
      </w:tr>
      <w:tr>
        <w:tc>
          <w:tcPr>
            <w:tcW w:type="dxa" w:w="196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UX content</w:t>
            </w:r>
          </w:p>
        </w:tc>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5</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7</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9</w:t>
            </w:r>
          </w:p>
        </w:tc>
        <w:tc>
          <w:tcPr>
            <w:tcW w:type="dxa" w:w="552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Executive layer kept short; technical depth available on demand.</w:t>
            </w:r>
          </w:p>
        </w:tc>
      </w:tr>
      <w:tr>
        <w:tc>
          <w:tcPr>
            <w:tcW w:type="dxa" w:w="196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Trust architecture</w:t>
            </w:r>
          </w:p>
        </w:tc>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6</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8</w:t>
            </w:r>
          </w:p>
        </w:tc>
        <w:tc>
          <w:tcPr>
            <w:tcW w:type="dxa" w:w="552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Capped at 8 — trust cannot exceed the proof the client supplies. See Appendix A.</w:t>
            </w:r>
          </w:p>
        </w:tc>
      </w:tr>
      <w:tr>
        <w:tc>
          <w:tcPr>
            <w:tcW w:type="dxa" w:w="196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Conversion</w:t>
            </w:r>
          </w:p>
        </w:tc>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7</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9</w:t>
            </w:r>
          </w:p>
        </w:tc>
        <w:tc>
          <w:tcPr>
            <w:tcW w:type="dxa" w:w="552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Intent-routed contact and context-specific CTAs replace "Book a Call".</w:t>
            </w:r>
          </w:p>
        </w:tc>
      </w:tr>
      <w:tr>
        <w:tc>
          <w:tcPr>
            <w:tcW w:type="dxa" w:w="196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Information architecture</w:t>
            </w:r>
          </w:p>
        </w:tc>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8</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10</w:t>
            </w:r>
          </w:p>
        </w:tc>
        <w:tc>
          <w:tcPr>
            <w:tcW w:type="dxa" w:w="552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Clean /services/ taxonomy with SAP and Microsoft clusters and real internal linking.</w:t>
            </w:r>
          </w:p>
        </w:tc>
      </w:tr>
      <w:tr>
        <w:tc>
          <w:tcPr>
            <w:tcW w:type="dxa" w:w="196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Differentiation</w:t>
            </w:r>
          </w:p>
        </w:tc>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7</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9</w:t>
            </w:r>
          </w:p>
        </w:tc>
        <w:tc>
          <w:tcPr>
            <w:tcW w:type="dxa" w:w="552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Every service page carries a distinct commercial job.</w:t>
            </w:r>
          </w:p>
        </w:tc>
      </w:tr>
    </w:tbl>
    <w:p>
      <w:pPr>
        <w:spacing w:after="120" w:line="276"/>
      </w:pPr>
      <w:r>
        <w:rPr>
          <w:rFonts w:ascii="Calibri" w:cs="Calibri" w:eastAsia="Calibri" w:hAnsi="Calibri"/>
          <w:color w:val="222222"/>
          <w:sz w:val="20"/>
          <w:szCs w:val="20"/>
        </w:rPr>
        <w:t xml:space="preserve"/>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2246"/>
        <w:gridCol w:w="1123"/>
        <w:gridCol w:w="5990"/>
      </w:tblGrid>
      <w:tr>
        <w:trPr>
          <w:tblHeader/>
        </w:trPr>
        <w:tc>
          <w:tcPr>
            <w:tcW w:type="dxa" w:w="2246"/>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State</w:t>
            </w:r>
          </w:p>
        </w:tc>
        <w:tc>
          <w:tcPr>
            <w:tcW w:type="dxa" w:w="1123"/>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Score</w:t>
            </w:r>
          </w:p>
        </w:tc>
        <w:tc>
          <w:tcPr>
            <w:tcW w:type="dxa" w:w="5990"/>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Assessment</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 website</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44 / 100</w:t>
            </w:r>
          </w:p>
        </w:tc>
        <w:tc>
          <w:tcPr>
            <w:tcW w:type="dxa" w:w="599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Below acceptable. Not publishable. Twenty-six P0 defects, of which the canonical configuration alone eliminates organic visibility for every page except the homepage.</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Draft blueprint, if implemented verbatim</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78 / 100</w:t>
            </w:r>
          </w:p>
        </w:tc>
        <w:tc>
          <w:tcPr>
            <w:tcW w:type="dxa" w:w="599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Strong mid-market to lower enterprise standard. Held back by three incorrect technical premises, three missing findings, and a publication volume that would reintroduce placeholder content.</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Final recommended state</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91 / 100</w:t>
            </w:r>
          </w:p>
        </w:tc>
        <w:tc>
          <w:tcPr>
            <w:tcW w:type="dxa" w:w="599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Target global enterprise standard. Trust and proof dimensions are capped until the client supplies the evidence listed in Appendix A; every other dimension is achievable with the specification in this document.</w:t>
            </w:r>
          </w:p>
        </w:tc>
      </w:tr>
    </w:tbl>
    <w:p>
      <w:pPr>
        <w:spacing w:after="120" w:line="276"/>
      </w:pPr>
      <w:r>
        <w:rPr>
          <w:rFonts w:ascii="Calibri" w:cs="Calibri" w:eastAsia="Calibri" w:hAnsi="Calibri"/>
          <w:color w:val="222222"/>
          <w:sz w:val="20"/>
          <w:szCs w:val="20"/>
        </w:rPr>
        <w:t xml:space="preserve"/>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ON THE REVISED LIVE SCORE</w:t>
            </w:r>
          </w:p>
          <w:p>
            <w:pPr>
              <w:spacing w:after="0" w:line="270"/>
            </w:pPr>
            <w:r>
              <w:rPr>
                <w:rFonts w:ascii="Calibri" w:cs="Calibri" w:eastAsia="Calibri" w:hAnsi="Calibri"/>
                <w:color w:val="222222"/>
                <w:sz w:val="19"/>
                <w:szCs w:val="19"/>
              </w:rPr>
              <w:t xml:space="preserve">The draft scored the live site 51/100. This document scores it 44/100. The difference is not a matter of taste. A site whose every page canonicalises to a foreign hostname does not have weak SEO; it has none. SEO and AEO are scored 2/10 accordingly, and trust is scored 2/10 because the most prominent proof block on the homepage currently states that the company has zero years of experience.</w:t>
            </w:r>
          </w:p>
        </w:tc>
      </w:tr>
    </w:tbl>
    <w:p>
      <w:pPr>
        <w:pStyle w:val="Heading1"/>
        <w:pageBreakBefore/>
        <w:spacing w:after="200" w:before="240"/>
      </w:pPr>
      <w:r>
        <w:rPr>
          <w:rFonts w:ascii="Calibri" w:cs="Calibri" w:eastAsia="Calibri" w:hAnsi="Calibri"/>
          <w:b/>
          <w:bCs/>
          <w:color w:val="15243F"/>
          <w:sz w:val="32"/>
          <w:szCs w:val="32"/>
        </w:rPr>
        <w:t xml:space="preserve">4. Critical P0 Findings</w:t>
      </w:r>
    </w:p>
    <w:p>
      <w:pPr>
        <w:spacing w:after="120" w:line="276"/>
      </w:pPr>
      <w:r>
        <w:rPr>
          <w:rFonts w:ascii="Calibri" w:cs="Calibri" w:eastAsia="Calibri" w:hAnsi="Calibri"/>
          <w:color w:val="222222"/>
          <w:sz w:val="20"/>
          <w:szCs w:val="20"/>
        </w:rPr>
        <w:t xml:space="preserve">Twenty-six findings. All are launch blockers. All were observed directly on the live site on 1 September 2026. Each is specified for implementation in Section 20 and has an acceptance test in Section 28.</w:t>
      </w:r>
    </w:p>
    <w:p>
      <w:pPr>
        <w:pStyle w:val="Heading3"/>
        <w:keepNext/>
        <w:keepLines/>
        <w:spacing w:after="100" w:before="200"/>
      </w:pPr>
      <w:r>
        <w:rPr>
          <w:rFonts w:ascii="Calibri" w:cs="Calibri" w:eastAsia="Calibri" w:hAnsi="Calibri"/>
          <w:b/>
          <w:bCs/>
          <w:color w:val="5B3FA8"/>
          <w:sz w:val="21"/>
          <w:szCs w:val="21"/>
        </w:rPr>
        <w:t xml:space="preserve">C-001 — Canonical URL hard-coded site-wide</w:t>
      </w:r>
    </w:p>
    <w:p>
      <w:pPr>
        <w:spacing w:after="120" w:line="276"/>
      </w:pPr>
      <w:r>
        <w:rPr>
          <w:rFonts w:ascii="Calibri" w:cs="Calibri" w:eastAsia="Calibri" w:hAnsi="Calibri"/>
          <w:color w:val="222222"/>
          <w:sz w:val="19"/>
          <w:szCs w:val="19"/>
        </w:rPr>
        <w:t xml:space="preserve">Observed: Every page audited returns rel=canonical https://www.ascendus.com. The homepage of a different hostname is declared as the canonical version of every service, corporate, case-study and legal page.</w:t>
      </w:r>
    </w:p>
    <w:p>
      <w:pPr>
        <w:spacing w:after="120" w:line="276"/>
      </w:pPr>
      <w:r>
        <w:rPr>
          <w:rFonts w:ascii="Calibri" w:cs="Calibri" w:eastAsia="Calibri" w:hAnsi="Calibri"/>
          <w:color w:val="3A3A3A"/>
          <w:sz w:val="19"/>
          <w:szCs w:val="19"/>
        </w:rPr>
        <w:t xml:space="preserve">Impact: Google is instructed to drop every non-home URL from the index and consolidate all signals onto one page on a domain that is not confirmed live. Effective organic reach of the entire site is zero. No other SEO work has any effect until this is fixed.</w:t>
      </w:r>
    </w:p>
    <w:p>
      <w:pPr>
        <w:pStyle w:val="Heading3"/>
        <w:keepNext/>
        <w:keepLines/>
        <w:spacing w:after="100" w:before="200"/>
      </w:pPr>
      <w:r>
        <w:rPr>
          <w:rFonts w:ascii="Calibri" w:cs="Calibri" w:eastAsia="Calibri" w:hAnsi="Calibri"/>
          <w:b/>
          <w:bCs/>
          <w:color w:val="5B3FA8"/>
          <w:sz w:val="21"/>
          <w:szCs w:val="21"/>
        </w:rPr>
        <w:t xml:space="preserve">C-002 — Identical browser title on every page</w:t>
      </w:r>
    </w:p>
    <w:p>
      <w:pPr>
        <w:spacing w:after="120" w:line="276"/>
      </w:pPr>
      <w:r>
        <w:rPr>
          <w:rFonts w:ascii="Calibri" w:cs="Calibri" w:eastAsia="Calibri" w:hAnsi="Calibri"/>
          <w:color w:val="222222"/>
          <w:sz w:val="19"/>
          <w:szCs w:val="19"/>
        </w:rPr>
        <w:t xml:space="preserve">Observed: All audited pages render the title "Ascendus | Enterprise SAP &amp; IT Consulting GCC".</w:t>
      </w:r>
    </w:p>
    <w:p>
      <w:pPr>
        <w:spacing w:after="120" w:line="276"/>
      </w:pPr>
      <w:r>
        <w:rPr>
          <w:rFonts w:ascii="Calibri" w:cs="Calibri" w:eastAsia="Calibri" w:hAnsi="Calibri"/>
          <w:color w:val="3A3A3A"/>
          <w:sz w:val="19"/>
          <w:szCs w:val="19"/>
        </w:rPr>
        <w:t xml:space="preserve">Impact: No page can rank for its own intent. Sharing, SERP relevance and AI-system page identification all fail.</w:t>
      </w:r>
    </w:p>
    <w:p>
      <w:pPr>
        <w:pStyle w:val="Heading3"/>
        <w:keepNext/>
        <w:keepLines/>
        <w:spacing w:after="100" w:before="200"/>
      </w:pPr>
      <w:r>
        <w:rPr>
          <w:rFonts w:ascii="Calibri" w:cs="Calibri" w:eastAsia="Calibri" w:hAnsi="Calibri"/>
          <w:b/>
          <w:bCs/>
          <w:color w:val="5B3FA8"/>
          <w:sz w:val="21"/>
          <w:szCs w:val="21"/>
        </w:rPr>
        <w:t xml:space="preserve">C-003 — Identical meta description on every page</w:t>
      </w:r>
    </w:p>
    <w:p>
      <w:pPr>
        <w:spacing w:after="120" w:line="276"/>
      </w:pPr>
      <w:r>
        <w:rPr>
          <w:rFonts w:ascii="Calibri" w:cs="Calibri" w:eastAsia="Calibri" w:hAnsi="Calibri"/>
          <w:color w:val="222222"/>
          <w:sz w:val="19"/>
          <w:szCs w:val="19"/>
        </w:rPr>
        <w:t xml:space="preserve">Observed: All audited pages return the same GCC consulting description regardless of subject.</w:t>
      </w:r>
    </w:p>
    <w:p>
      <w:pPr>
        <w:spacing w:after="120" w:line="276"/>
      </w:pPr>
      <w:r>
        <w:rPr>
          <w:rFonts w:ascii="Calibri" w:cs="Calibri" w:eastAsia="Calibri" w:hAnsi="Calibri"/>
          <w:color w:val="3A3A3A"/>
          <w:sz w:val="19"/>
          <w:szCs w:val="19"/>
        </w:rPr>
        <w:t xml:space="preserve">Impact: Snippet relevance is lost on every page; duplicate-metadata warnings across the whole property.</w:t>
      </w:r>
    </w:p>
    <w:p>
      <w:pPr>
        <w:pStyle w:val="Heading3"/>
        <w:keepNext/>
        <w:keepLines/>
        <w:spacing w:after="100" w:before="200"/>
      </w:pPr>
      <w:r>
        <w:rPr>
          <w:rFonts w:ascii="Calibri" w:cs="Calibri" w:eastAsia="Calibri" w:hAnsi="Calibri"/>
          <w:b/>
          <w:bCs/>
          <w:color w:val="5B3FA8"/>
          <w:sz w:val="21"/>
          <w:szCs w:val="21"/>
        </w:rPr>
        <w:t xml:space="preserve">C-004 — Open Graph and Twitter metadata are global and point to an unresolved host</w:t>
      </w:r>
    </w:p>
    <w:p>
      <w:pPr>
        <w:spacing w:after="120" w:line="276"/>
      </w:pPr>
      <w:r>
        <w:rPr>
          <w:rFonts w:ascii="Calibri" w:cs="Calibri" w:eastAsia="Calibri" w:hAnsi="Calibri"/>
          <w:color w:val="222222"/>
          <w:sz w:val="19"/>
          <w:szCs w:val="19"/>
        </w:rPr>
        <w:t xml:space="preserve">Observed: og:url and og:image resolve to www.ascendus.com; og:title and og:description are identical site-wide.</w:t>
      </w:r>
    </w:p>
    <w:p>
      <w:pPr>
        <w:spacing w:after="120" w:line="276"/>
      </w:pPr>
      <w:r>
        <w:rPr>
          <w:rFonts w:ascii="Calibri" w:cs="Calibri" w:eastAsia="Calibri" w:hAnsi="Calibri"/>
          <w:color w:val="3A3A3A"/>
          <w:sz w:val="19"/>
          <w:szCs w:val="19"/>
        </w:rPr>
        <w:t xml:space="preserve">Impact: Every shared link previews as the homepage. If the host is not live, previews render broken.</w:t>
      </w:r>
    </w:p>
    <w:p>
      <w:pPr>
        <w:pStyle w:val="Heading3"/>
        <w:keepNext/>
        <w:keepLines/>
        <w:spacing w:after="100" w:before="200"/>
      </w:pPr>
      <w:r>
        <w:rPr>
          <w:rFonts w:ascii="Calibri" w:cs="Calibri" w:eastAsia="Calibri" w:hAnsi="Calibri"/>
          <w:b/>
          <w:bCs/>
          <w:color w:val="5B3FA8"/>
          <w:sz w:val="21"/>
          <w:szCs w:val="21"/>
        </w:rPr>
        <w:t xml:space="preserve">C-005 — Search Console verification placeholder in production</w:t>
      </w:r>
    </w:p>
    <w:p>
      <w:pPr>
        <w:spacing w:after="120" w:line="276"/>
      </w:pPr>
      <w:r>
        <w:rPr>
          <w:rFonts w:ascii="Calibri" w:cs="Calibri" w:eastAsia="Calibri" w:hAnsi="Calibri"/>
          <w:color w:val="222222"/>
          <w:sz w:val="19"/>
          <w:szCs w:val="19"/>
        </w:rPr>
        <w:t xml:space="preserve">Observed: meta google-site-verification content is literally "pending_verification_code".</w:t>
      </w:r>
    </w:p>
    <w:p>
      <w:pPr>
        <w:spacing w:after="120" w:line="276"/>
      </w:pPr>
      <w:r>
        <w:rPr>
          <w:rFonts w:ascii="Calibri" w:cs="Calibri" w:eastAsia="Calibri" w:hAnsi="Calibri"/>
          <w:color w:val="3A3A3A"/>
          <w:sz w:val="19"/>
          <w:szCs w:val="19"/>
        </w:rPr>
        <w:t xml:space="preserve">Impact: A shipped placeholder token. Visible in source to anyone inspecting the site, including procurement and competitors.</w:t>
      </w:r>
    </w:p>
    <w:p>
      <w:pPr>
        <w:pStyle w:val="Heading3"/>
        <w:keepNext/>
        <w:keepLines/>
        <w:spacing w:after="100" w:before="200"/>
      </w:pPr>
      <w:r>
        <w:rPr>
          <w:rFonts w:ascii="Calibri" w:cs="Calibri" w:eastAsia="Calibri" w:hAnsi="Calibri"/>
          <w:b/>
          <w:bCs/>
          <w:color w:val="5B3FA8"/>
          <w:sz w:val="21"/>
          <w:szCs w:val="21"/>
        </w:rPr>
        <w:t xml:space="preserve">C-006 — Obsolete meta keywords tag present</w:t>
      </w:r>
    </w:p>
    <w:p>
      <w:pPr>
        <w:spacing w:after="120" w:line="276"/>
      </w:pPr>
      <w:r>
        <w:rPr>
          <w:rFonts w:ascii="Calibri" w:cs="Calibri" w:eastAsia="Calibri" w:hAnsi="Calibri"/>
          <w:color w:val="222222"/>
          <w:sz w:val="19"/>
          <w:szCs w:val="19"/>
        </w:rPr>
        <w:t xml:space="preserve">Observed: A comma-separated keyword list including "S/4HANA Migration Dubai" and "IT Strategy Riyadh" is emitted site-wide.</w:t>
      </w:r>
    </w:p>
    <w:p>
      <w:pPr>
        <w:spacing w:after="120" w:line="276"/>
      </w:pPr>
      <w:r>
        <w:rPr>
          <w:rFonts w:ascii="Calibri" w:cs="Calibri" w:eastAsia="Calibri" w:hAnsi="Calibri"/>
          <w:color w:val="3A3A3A"/>
          <w:sz w:val="19"/>
          <w:szCs w:val="19"/>
        </w:rPr>
        <w:t xml:space="preserve">Impact: No ranking value. Publicly signals keyword targeting and dates the build to pre-2010 SEO practice.</w:t>
      </w:r>
    </w:p>
    <w:p>
      <w:pPr>
        <w:pStyle w:val="Heading3"/>
        <w:keepNext/>
        <w:keepLines/>
        <w:spacing w:after="100" w:before="200"/>
      </w:pPr>
      <w:r>
        <w:rPr>
          <w:rFonts w:ascii="Calibri" w:cs="Calibri" w:eastAsia="Calibri" w:hAnsi="Calibri"/>
          <w:b/>
          <w:bCs/>
          <w:color w:val="5B3FA8"/>
          <w:sz w:val="21"/>
          <w:szCs w:val="21"/>
        </w:rPr>
        <w:t xml:space="preserve">C-007 — Placeholder proof metrics on the homepage</w:t>
      </w:r>
    </w:p>
    <w:p>
      <w:pPr>
        <w:spacing w:after="120" w:line="276"/>
      </w:pPr>
      <w:r>
        <w:rPr>
          <w:rFonts w:ascii="Calibri" w:cs="Calibri" w:eastAsia="Calibri" w:hAnsi="Calibri"/>
          <w:color w:val="222222"/>
          <w:sz w:val="19"/>
          <w:szCs w:val="19"/>
        </w:rPr>
        <w:t xml:space="preserve">Observed: Four counters render as 0+ against "Team of SAP Specialists", "SAP Engagements Delivered", "Industries Served" and "Years of Experience".</w:t>
      </w:r>
    </w:p>
    <w:p>
      <w:pPr>
        <w:spacing w:after="120" w:line="276"/>
      </w:pPr>
      <w:r>
        <w:rPr>
          <w:rFonts w:ascii="Calibri" w:cs="Calibri" w:eastAsia="Calibri" w:hAnsi="Calibri"/>
          <w:color w:val="3A3A3A"/>
          <w:sz w:val="19"/>
          <w:szCs w:val="19"/>
        </w:rPr>
        <w:t xml:space="preserve">Impact: The most credibility-sensitive block on the site states that Ascendus has zero specialists and zero years of experience.</w:t>
      </w:r>
    </w:p>
    <w:p>
      <w:pPr>
        <w:pStyle w:val="Heading3"/>
        <w:keepNext/>
        <w:keepLines/>
        <w:spacing w:after="100" w:before="200"/>
      </w:pPr>
      <w:r>
        <w:rPr>
          <w:rFonts w:ascii="Calibri" w:cs="Calibri" w:eastAsia="Calibri" w:hAnsi="Calibri"/>
          <w:b/>
          <w:bCs/>
          <w:color w:val="5B3FA8"/>
          <w:sz w:val="21"/>
          <w:szCs w:val="21"/>
        </w:rPr>
        <w:t xml:space="preserve">C-008 — Placeholder proof metrics on the AI page</w:t>
      </w:r>
    </w:p>
    <w:p>
      <w:pPr>
        <w:spacing w:after="120" w:line="276"/>
      </w:pPr>
      <w:r>
        <w:rPr>
          <w:rFonts w:ascii="Calibri" w:cs="Calibri" w:eastAsia="Calibri" w:hAnsi="Calibri"/>
          <w:color w:val="222222"/>
          <w:sz w:val="19"/>
          <w:szCs w:val="19"/>
        </w:rPr>
        <w:t xml:space="preserve">Observed: Counters render 0+ AI Solutions Delivered, 0% Faster Decision Cycles, 0% Processes Automated, 0.0% AI Operations Availability.</w:t>
      </w:r>
    </w:p>
    <w:p>
      <w:pPr>
        <w:spacing w:after="120" w:line="276"/>
      </w:pPr>
      <w:r>
        <w:rPr>
          <w:rFonts w:ascii="Calibri" w:cs="Calibri" w:eastAsia="Calibri" w:hAnsi="Calibri"/>
          <w:color w:val="3A3A3A"/>
          <w:sz w:val="19"/>
          <w:szCs w:val="19"/>
        </w:rPr>
        <w:t xml:space="preserve">Impact: Same failure, in the section a technical evaluator reads most closely.</w:t>
      </w:r>
    </w:p>
    <w:p>
      <w:pPr>
        <w:pStyle w:val="Heading3"/>
        <w:keepNext/>
        <w:keepLines/>
        <w:spacing w:after="100" w:before="200"/>
      </w:pPr>
      <w:r>
        <w:rPr>
          <w:rFonts w:ascii="Calibri" w:cs="Calibri" w:eastAsia="Calibri" w:hAnsi="Calibri"/>
          <w:b/>
          <w:bCs/>
          <w:color w:val="5B3FA8"/>
          <w:sz w:val="21"/>
          <w:szCs w:val="21"/>
        </w:rPr>
        <w:t xml:space="preserve">C-009 — Grammatical defects in homepage hero support copy</w:t>
      </w:r>
    </w:p>
    <w:p>
      <w:pPr>
        <w:spacing w:after="120" w:line="276"/>
      </w:pPr>
      <w:r>
        <w:rPr>
          <w:rFonts w:ascii="Calibri" w:cs="Calibri" w:eastAsia="Calibri" w:hAnsi="Calibri"/>
          <w:color w:val="222222"/>
          <w:sz w:val="19"/>
          <w:szCs w:val="19"/>
        </w:rPr>
        <w:t xml:space="preserve">Observed: Live text: "We exists to close that gap , we design, build, and run technology..." — subject-verb disagreement, floating comma, comma splice.</w:t>
      </w:r>
    </w:p>
    <w:p>
      <w:pPr>
        <w:spacing w:after="120" w:line="276"/>
      </w:pPr>
      <w:r>
        <w:rPr>
          <w:rFonts w:ascii="Calibri" w:cs="Calibri" w:eastAsia="Calibri" w:hAnsi="Calibri"/>
          <w:color w:val="3A3A3A"/>
          <w:sz w:val="19"/>
          <w:szCs w:val="19"/>
        </w:rPr>
        <w:t xml:space="preserve">Impact: Appears within the first screen after the H1. Undermines the delivery-discipline claim being made in the same sentence.</w:t>
      </w:r>
    </w:p>
    <w:p>
      <w:pPr>
        <w:pStyle w:val="Heading3"/>
        <w:keepNext/>
        <w:keepLines/>
        <w:spacing w:after="100" w:before="200"/>
      </w:pPr>
      <w:r>
        <w:rPr>
          <w:rFonts w:ascii="Calibri" w:cs="Calibri" w:eastAsia="Calibri" w:hAnsi="Calibri"/>
          <w:b/>
          <w:bCs/>
          <w:color w:val="5B3FA8"/>
          <w:sz w:val="21"/>
          <w:szCs w:val="21"/>
        </w:rPr>
        <w:t xml:space="preserve">C-010 — Footer entity string is malformed</w:t>
      </w:r>
    </w:p>
    <w:p>
      <w:pPr>
        <w:spacing w:after="120" w:line="276"/>
      </w:pPr>
      <w:r>
        <w:rPr>
          <w:rFonts w:ascii="Calibri" w:cs="Calibri" w:eastAsia="Calibri" w:hAnsi="Calibri"/>
          <w:color w:val="222222"/>
          <w:sz w:val="19"/>
          <w:szCs w:val="19"/>
        </w:rPr>
        <w:t xml:space="preserve">Observed: Footer reads "Ascendus Powder by Support Studio Technologies" — "Powder" for "Powered".</w:t>
      </w:r>
    </w:p>
    <w:p>
      <w:pPr>
        <w:spacing w:after="120" w:line="276"/>
      </w:pPr>
      <w:r>
        <w:rPr>
          <w:rFonts w:ascii="Calibri" w:cs="Calibri" w:eastAsia="Calibri" w:hAnsi="Calibri"/>
          <w:color w:val="3A3A3A"/>
          <w:sz w:val="19"/>
          <w:szCs w:val="19"/>
        </w:rPr>
        <w:t xml:space="preserve">Impact: A typographical error in the single line that establishes corporate identity.</w:t>
      </w:r>
    </w:p>
    <w:p>
      <w:pPr>
        <w:pStyle w:val="Heading3"/>
        <w:keepNext/>
        <w:keepLines/>
        <w:spacing w:after="100" w:before="200"/>
      </w:pPr>
      <w:r>
        <w:rPr>
          <w:rFonts w:ascii="Calibri" w:cs="Calibri" w:eastAsia="Calibri" w:hAnsi="Calibri"/>
          <w:b/>
          <w:bCs/>
          <w:color w:val="5B3FA8"/>
          <w:sz w:val="21"/>
          <w:szCs w:val="21"/>
        </w:rPr>
        <w:t xml:space="preserve">C-011 — Footer links leave the Ascendus entity</w:t>
      </w:r>
    </w:p>
    <w:p>
      <w:pPr>
        <w:spacing w:after="120" w:line="276"/>
      </w:pPr>
      <w:r>
        <w:rPr>
          <w:rFonts w:ascii="Calibri" w:cs="Calibri" w:eastAsia="Calibri" w:hAnsi="Calibri"/>
          <w:color w:val="222222"/>
          <w:sz w:val="19"/>
          <w:szCs w:val="19"/>
        </w:rPr>
        <w:t xml:space="preserve">Observed: Footer links to isupportz.com and instagram.com/isupportz.official from an Ascendus-branded site.</w:t>
      </w:r>
    </w:p>
    <w:p>
      <w:pPr>
        <w:spacing w:after="120" w:line="276"/>
      </w:pPr>
      <w:r>
        <w:rPr>
          <w:rFonts w:ascii="Calibri" w:cs="Calibri" w:eastAsia="Calibri" w:hAnsi="Calibri"/>
          <w:color w:val="3A3A3A"/>
          <w:sz w:val="19"/>
          <w:szCs w:val="19"/>
        </w:rPr>
        <w:t xml:space="preserve">Impact: Search engines and AI systems cannot resolve whether Ascendus is a brand, a subsidiary or a rename. Entity ambiguity is the root cause of poor GEO performance.</w:t>
      </w:r>
    </w:p>
    <w:p>
      <w:pPr>
        <w:pStyle w:val="Heading3"/>
        <w:keepNext/>
        <w:keepLines/>
        <w:spacing w:after="100" w:before="200"/>
      </w:pPr>
      <w:r>
        <w:rPr>
          <w:rFonts w:ascii="Calibri" w:cs="Calibri" w:eastAsia="Calibri" w:hAnsi="Calibri"/>
          <w:b/>
          <w:bCs/>
          <w:color w:val="5B3FA8"/>
          <w:sz w:val="21"/>
          <w:szCs w:val="21"/>
        </w:rPr>
        <w:t xml:space="preserve">C-012 — Brand assets carry the wrong alt text and link text</w:t>
      </w:r>
    </w:p>
    <w:p>
      <w:pPr>
        <w:spacing w:after="120" w:line="276"/>
      </w:pPr>
      <w:r>
        <w:rPr>
          <w:rFonts w:ascii="Calibri" w:cs="Calibri" w:eastAsia="Calibri" w:hAnsi="Calibri"/>
          <w:color w:val="222222"/>
          <w:sz w:val="19"/>
          <w:szCs w:val="19"/>
        </w:rPr>
        <w:t xml:space="preserve">Observed: Header logo images use alt "SST Logo" (twice). The primary header link exposes the text "Ascendus Icon Support Studio Technologies".</w:t>
      </w:r>
    </w:p>
    <w:p>
      <w:pPr>
        <w:spacing w:after="120" w:line="276"/>
      </w:pPr>
      <w:r>
        <w:rPr>
          <w:rFonts w:ascii="Calibri" w:cs="Calibri" w:eastAsia="Calibri" w:hAnsi="Calibri"/>
          <w:color w:val="3A3A3A"/>
          <w:sz w:val="19"/>
          <w:szCs w:val="19"/>
        </w:rPr>
        <w:t xml:space="preserve">Impact: Crawlable brand text on every page contradicts the brand name in the title tag.</w:t>
      </w:r>
    </w:p>
    <w:p>
      <w:pPr>
        <w:pStyle w:val="Heading3"/>
        <w:keepNext/>
        <w:keepLines/>
        <w:spacing w:after="100" w:before="200"/>
      </w:pPr>
      <w:r>
        <w:rPr>
          <w:rFonts w:ascii="Calibri" w:cs="Calibri" w:eastAsia="Calibri" w:hAnsi="Calibri"/>
          <w:b/>
          <w:bCs/>
          <w:color w:val="5B3FA8"/>
          <w:sz w:val="21"/>
          <w:szCs w:val="21"/>
        </w:rPr>
        <w:t xml:space="preserve">C-013 — Cybersecurity copy published under a CRM heading</w:t>
      </w:r>
    </w:p>
    <w:p>
      <w:pPr>
        <w:spacing w:after="120" w:line="276"/>
      </w:pPr>
      <w:r>
        <w:rPr>
          <w:rFonts w:ascii="Calibri" w:cs="Calibri" w:eastAsia="Calibri" w:hAnsi="Calibri"/>
          <w:color w:val="222222"/>
          <w:sz w:val="19"/>
          <w:szCs w:val="19"/>
        </w:rPr>
        <w:t xml:space="preserve">Observed: On /whatWeDo/customer-experience, the card "CRM Strategy" reads: "Modern cyber threats require continuous monitoring supported by advanced analytics, automation, and threat intelligence."</w:t>
      </w:r>
    </w:p>
    <w:p>
      <w:pPr>
        <w:spacing w:after="120" w:line="276"/>
      </w:pPr>
      <w:r>
        <w:rPr>
          <w:rFonts w:ascii="Calibri" w:cs="Calibri" w:eastAsia="Calibri" w:hAnsi="Calibri"/>
          <w:color w:val="3A3A3A"/>
          <w:sz w:val="19"/>
          <w:szCs w:val="19"/>
        </w:rPr>
        <w:t xml:space="preserve">Impact: Technically incoherent to any evaluator. Confirms the content was assembled from a template rather than written for the service.</w:t>
      </w:r>
    </w:p>
    <w:p>
      <w:pPr>
        <w:pStyle w:val="Heading3"/>
        <w:keepNext/>
        <w:keepLines/>
        <w:spacing w:after="100" w:before="200"/>
      </w:pPr>
      <w:r>
        <w:rPr>
          <w:rFonts w:ascii="Calibri" w:cs="Calibri" w:eastAsia="Calibri" w:hAnsi="Calibri"/>
          <w:b/>
          <w:bCs/>
          <w:color w:val="5B3FA8"/>
          <w:sz w:val="21"/>
          <w:szCs w:val="21"/>
        </w:rPr>
        <w:t xml:space="preserve">C-014 — Managed-services copy published under a CX heading</w:t>
      </w:r>
    </w:p>
    <w:p>
      <w:pPr>
        <w:spacing w:after="120" w:line="276"/>
      </w:pPr>
      <w:r>
        <w:rPr>
          <w:rFonts w:ascii="Calibri" w:cs="Calibri" w:eastAsia="Calibri" w:hAnsi="Calibri"/>
          <w:color w:val="222222"/>
          <w:sz w:val="19"/>
          <w:szCs w:val="19"/>
        </w:rPr>
        <w:t xml:space="preserve">Observed: Same page, "Why Partner With Us" is introduced by "Core operational standards driving our managed delivery.." including a double full stop.</w:t>
      </w:r>
    </w:p>
    <w:p>
      <w:pPr>
        <w:spacing w:after="120" w:line="276"/>
      </w:pPr>
      <w:r>
        <w:rPr>
          <w:rFonts w:ascii="Calibri" w:cs="Calibri" w:eastAsia="Calibri" w:hAnsi="Calibri"/>
          <w:color w:val="3A3A3A"/>
          <w:sz w:val="19"/>
          <w:szCs w:val="19"/>
        </w:rPr>
        <w:t xml:space="preserve">Impact: Second confirmed content-block collision on one page. Indicates a systemic content-assembly defect, not an isolated typo.</w:t>
      </w:r>
    </w:p>
    <w:p>
      <w:pPr>
        <w:pStyle w:val="Heading3"/>
        <w:keepNext/>
        <w:keepLines/>
        <w:spacing w:after="100" w:before="200"/>
      </w:pPr>
      <w:r>
        <w:rPr>
          <w:rFonts w:ascii="Calibri" w:cs="Calibri" w:eastAsia="Calibri" w:hAnsi="Calibri"/>
          <w:b/>
          <w:bCs/>
          <w:color w:val="5B3FA8"/>
          <w:sz w:val="21"/>
          <w:szCs w:val="21"/>
        </w:rPr>
        <w:t xml:space="preserve">C-015 — Service card set duplicated on the AI page</w:t>
      </w:r>
    </w:p>
    <w:p>
      <w:pPr>
        <w:spacing w:after="120" w:line="276"/>
      </w:pPr>
      <w:r>
        <w:rPr>
          <w:rFonts w:ascii="Calibri" w:cs="Calibri" w:eastAsia="Calibri" w:hAnsi="Calibri"/>
          <w:color w:val="222222"/>
          <w:sz w:val="19"/>
          <w:szCs w:val="19"/>
        </w:rPr>
        <w:t xml:space="preserve">Observed: AI Strategy, Generative AI, AI Agents and AI Integration are each rendered twice, producing duplicate H2s.</w:t>
      </w:r>
    </w:p>
    <w:p>
      <w:pPr>
        <w:spacing w:after="120" w:line="276"/>
      </w:pPr>
      <w:r>
        <w:rPr>
          <w:rFonts w:ascii="Calibri" w:cs="Calibri" w:eastAsia="Calibri" w:hAnsi="Calibri"/>
          <w:color w:val="3A3A3A"/>
          <w:sz w:val="19"/>
          <w:szCs w:val="19"/>
        </w:rPr>
        <w:t xml:space="preserve">Impact: Duplicate headings, inflated page length with no added semantic depth, and a broken heading outline for assistive technology and parsers.</w:t>
      </w:r>
    </w:p>
    <w:p>
      <w:pPr>
        <w:pStyle w:val="Heading3"/>
        <w:keepNext/>
        <w:keepLines/>
        <w:spacing w:after="100" w:before="200"/>
      </w:pPr>
      <w:r>
        <w:rPr>
          <w:rFonts w:ascii="Calibri" w:cs="Calibri" w:eastAsia="Calibri" w:hAnsi="Calibri"/>
          <w:b/>
          <w:bCs/>
          <w:color w:val="5B3FA8"/>
          <w:sz w:val="21"/>
          <w:szCs w:val="21"/>
        </w:rPr>
        <w:t xml:space="preserve">C-016 — Industry card set duplicated three times on the homepage</w:t>
      </w:r>
    </w:p>
    <w:p>
      <w:pPr>
        <w:spacing w:after="120" w:line="276"/>
      </w:pPr>
      <w:r>
        <w:rPr>
          <w:rFonts w:ascii="Calibri" w:cs="Calibri" w:eastAsia="Calibri" w:hAnsi="Calibri"/>
          <w:color w:val="222222"/>
          <w:sz w:val="19"/>
          <w:szCs w:val="19"/>
        </w:rPr>
        <w:t xml:space="preserve">Observed: Manufacturing, Retail &amp; Distribution, Government &amp; Public Sector and Financial Services each render three times — twelve H2s for four subjects.</w:t>
      </w:r>
    </w:p>
    <w:p>
      <w:pPr>
        <w:spacing w:after="120" w:line="276"/>
      </w:pPr>
      <w:r>
        <w:rPr>
          <w:rFonts w:ascii="Calibri" w:cs="Calibri" w:eastAsia="Calibri" w:hAnsi="Calibri"/>
          <w:color w:val="3A3A3A"/>
          <w:sz w:val="19"/>
          <w:szCs w:val="19"/>
        </w:rPr>
        <w:t xml:space="preserve">Impact: Same defect at the homepage level. Likely an infinite-marquee component emitting real DOM rather than duplicating visually.</w:t>
      </w:r>
    </w:p>
    <w:p>
      <w:pPr>
        <w:pStyle w:val="Heading3"/>
        <w:keepNext/>
        <w:keepLines/>
        <w:spacing w:after="100" w:before="200"/>
      </w:pPr>
      <w:r>
        <w:rPr>
          <w:rFonts w:ascii="Calibri" w:cs="Calibri" w:eastAsia="Calibri" w:hAnsi="Calibri"/>
          <w:b/>
          <w:bCs/>
          <w:color w:val="5B3FA8"/>
          <w:sz w:val="21"/>
          <w:szCs w:val="21"/>
        </w:rPr>
        <w:t xml:space="preserve">C-017 — Empty headings shipped on the AI page</w:t>
      </w:r>
    </w:p>
    <w:p>
      <w:pPr>
        <w:spacing w:after="120" w:line="276"/>
      </w:pPr>
      <w:r>
        <w:rPr>
          <w:rFonts w:ascii="Calibri" w:cs="Calibri" w:eastAsia="Calibri" w:hAnsi="Calibri"/>
          <w:color w:val="222222"/>
          <w:sz w:val="19"/>
          <w:szCs w:val="19"/>
        </w:rPr>
        <w:t xml:space="preserve">Observed: "Intelligent Assistants", "Predictive Intelligence" and "AI Governance" render as headings with no body copy.</w:t>
      </w:r>
    </w:p>
    <w:p>
      <w:pPr>
        <w:spacing w:after="120" w:line="276"/>
      </w:pPr>
      <w:r>
        <w:rPr>
          <w:rFonts w:ascii="Calibri" w:cs="Calibri" w:eastAsia="Calibri" w:hAnsi="Calibri"/>
          <w:color w:val="3A3A3A"/>
          <w:sz w:val="19"/>
          <w:szCs w:val="19"/>
        </w:rPr>
        <w:t xml:space="preserve">Impact: Headings that promise content and deliver none. Reads as an unfinished build.</w:t>
      </w:r>
    </w:p>
    <w:p>
      <w:pPr>
        <w:pStyle w:val="Heading3"/>
        <w:keepNext/>
        <w:keepLines/>
        <w:spacing w:after="100" w:before="200"/>
      </w:pPr>
      <w:r>
        <w:rPr>
          <w:rFonts w:ascii="Calibri" w:cs="Calibri" w:eastAsia="Calibri" w:hAnsi="Calibri"/>
          <w:b/>
          <w:bCs/>
          <w:color w:val="5B3FA8"/>
          <w:sz w:val="21"/>
          <w:szCs w:val="21"/>
        </w:rPr>
        <w:t xml:space="preserve">C-018 — Case study cards are not navigable</w:t>
      </w:r>
    </w:p>
    <w:p>
      <w:pPr>
        <w:spacing w:after="120" w:line="276"/>
      </w:pPr>
      <w:r>
        <w:rPr>
          <w:rFonts w:ascii="Calibri" w:cs="Calibri" w:eastAsia="Calibri" w:hAnsi="Calibri"/>
          <w:color w:val="222222"/>
          <w:sz w:val="19"/>
          <w:szCs w:val="19"/>
        </w:rPr>
        <w:t xml:space="preserve">Observed: The three case-study cards on /case-studies expose no link to a detail route.</w:t>
      </w:r>
    </w:p>
    <w:p>
      <w:pPr>
        <w:spacing w:after="120" w:line="276"/>
      </w:pPr>
      <w:r>
        <w:rPr>
          <w:rFonts w:ascii="Calibri" w:cs="Calibri" w:eastAsia="Calibri" w:hAnsi="Calibri"/>
          <w:color w:val="3A3A3A"/>
          <w:sz w:val="19"/>
          <w:szCs w:val="19"/>
        </w:rPr>
        <w:t xml:space="preserve">Impact: The entire proof architecture is a dead end. No case study can be cited, shared, linked or indexed independently.</w:t>
      </w:r>
    </w:p>
    <w:p>
      <w:pPr>
        <w:pStyle w:val="Heading3"/>
        <w:keepNext/>
        <w:keepLines/>
        <w:spacing w:after="100" w:before="200"/>
      </w:pPr>
      <w:r>
        <w:rPr>
          <w:rFonts w:ascii="Calibri" w:cs="Calibri" w:eastAsia="Calibri" w:hAnsi="Calibri"/>
          <w:b/>
          <w:bCs/>
          <w:color w:val="5B3FA8"/>
          <w:sz w:val="21"/>
          <w:szCs w:val="21"/>
        </w:rPr>
        <w:t xml:space="preserve">C-019 — Unverified performance claims published as proof</w:t>
      </w:r>
    </w:p>
    <w:p>
      <w:pPr>
        <w:spacing w:after="120" w:line="276"/>
      </w:pPr>
      <w:r>
        <w:rPr>
          <w:rFonts w:ascii="Calibri" w:cs="Calibri" w:eastAsia="Calibri" w:hAnsi="Calibri"/>
          <w:color w:val="222222"/>
          <w:sz w:val="19"/>
          <w:szCs w:val="19"/>
        </w:rPr>
        <w:t xml:space="preserve">Observed: "How Ascendus Slashed a FinTech Client's Development Rework by 60%" and "passed a third party penetration test with zero critical findings".</w:t>
      </w:r>
    </w:p>
    <w:p>
      <w:pPr>
        <w:spacing w:after="120" w:line="276"/>
      </w:pPr>
      <w:r>
        <w:rPr>
          <w:rFonts w:ascii="Calibri" w:cs="Calibri" w:eastAsia="Calibri" w:hAnsi="Calibri"/>
          <w:color w:val="3A3A3A"/>
          <w:sz w:val="19"/>
          <w:szCs w:val="19"/>
        </w:rPr>
        <w:t xml:space="preserve">Impact: Specific, quantified, attributable claims with no stated measurement basis or client consent. Commercial and reputational exposure in a vendor evaluation.</w:t>
      </w:r>
    </w:p>
    <w:p>
      <w:pPr>
        <w:pStyle w:val="Heading3"/>
        <w:keepNext/>
        <w:keepLines/>
        <w:spacing w:after="100" w:before="200"/>
      </w:pPr>
      <w:r>
        <w:rPr>
          <w:rFonts w:ascii="Calibri" w:cs="Calibri" w:eastAsia="Calibri" w:hAnsi="Calibri"/>
          <w:b/>
          <w:bCs/>
          <w:color w:val="5B3FA8"/>
          <w:sz w:val="21"/>
          <w:szCs w:val="21"/>
        </w:rPr>
        <w:t xml:space="preserve">C-020 — Locale switcher offers markets that cannot be served</w:t>
      </w:r>
    </w:p>
    <w:p>
      <w:pPr>
        <w:spacing w:after="120" w:line="276"/>
      </w:pPr>
      <w:r>
        <w:rPr>
          <w:rFonts w:ascii="Calibri" w:cs="Calibri" w:eastAsia="Calibri" w:hAnsi="Calibri"/>
          <w:color w:val="222222"/>
          <w:sz w:val="19"/>
          <w:szCs w:val="19"/>
        </w:rPr>
        <w:t xml:space="preserve">Observed: Header offers India / Japan / China and groups labelled Americas, Europe and Asia Pacific with "3 countries" each. No localized content exists, no hreflang is emitted, and no GCC locale is offered.</w:t>
      </w:r>
    </w:p>
    <w:p>
      <w:pPr>
        <w:spacing w:after="120" w:line="276"/>
      </w:pPr>
      <w:r>
        <w:rPr>
          <w:rFonts w:ascii="Calibri" w:cs="Calibri" w:eastAsia="Calibri" w:hAnsi="Calibri"/>
          <w:color w:val="3A3A3A"/>
          <w:sz w:val="19"/>
          <w:szCs w:val="19"/>
        </w:rPr>
        <w:t xml:space="preserve">Impact: Fabricates global footprint — the one thing the mandate explicitly forbids. It also omits KSA and UAE, the markets the metadata claims as primary.</w:t>
      </w:r>
    </w:p>
    <w:p>
      <w:pPr>
        <w:pStyle w:val="Heading3"/>
        <w:keepNext/>
        <w:keepLines/>
        <w:spacing w:after="100" w:before="200"/>
      </w:pPr>
      <w:r>
        <w:rPr>
          <w:rFonts w:ascii="Calibri" w:cs="Calibri" w:eastAsia="Calibri" w:hAnsi="Calibri"/>
          <w:b/>
          <w:bCs/>
          <w:color w:val="5B3FA8"/>
          <w:sz w:val="21"/>
          <w:szCs w:val="21"/>
        </w:rPr>
        <w:t xml:space="preserve">C-021 — Declared market and verifiable location conflict</w:t>
      </w:r>
    </w:p>
    <w:p>
      <w:pPr>
        <w:spacing w:after="120" w:line="276"/>
      </w:pPr>
      <w:r>
        <w:rPr>
          <w:rFonts w:ascii="Calibri" w:cs="Calibri" w:eastAsia="Calibri" w:hAnsi="Calibri"/>
          <w:color w:val="222222"/>
          <w:sz w:val="19"/>
          <w:szCs w:val="19"/>
        </w:rPr>
        <w:t xml:space="preserve">Observed: Title and description claim UAE, Saudi Arabia and the wider GCC. The only address published is Puducherry, India. No GCC entity, address or phone number appears anywhere.</w:t>
      </w:r>
    </w:p>
    <w:p>
      <w:pPr>
        <w:spacing w:after="120" w:line="276"/>
      </w:pPr>
      <w:r>
        <w:rPr>
          <w:rFonts w:ascii="Calibri" w:cs="Calibri" w:eastAsia="Calibri" w:hAnsi="Calibri"/>
          <w:color w:val="3A3A3A"/>
          <w:sz w:val="19"/>
          <w:szCs w:val="19"/>
        </w:rPr>
        <w:t xml:space="preserve">Impact: Name-address-phone inconsistency at the entity level. A GCC buyer cannot verify local presence; an AI system cannot resolve where Ascendus operates.</w:t>
      </w:r>
    </w:p>
    <w:p>
      <w:pPr>
        <w:pStyle w:val="Heading3"/>
        <w:keepNext/>
        <w:keepLines/>
        <w:spacing w:after="100" w:before="200"/>
      </w:pPr>
      <w:r>
        <w:rPr>
          <w:rFonts w:ascii="Calibri" w:cs="Calibri" w:eastAsia="Calibri" w:hAnsi="Calibri"/>
          <w:b/>
          <w:bCs/>
          <w:color w:val="5B3FA8"/>
          <w:sz w:val="21"/>
          <w:szCs w:val="21"/>
        </w:rPr>
        <w:t xml:space="preserve">C-022 — Typographical defect in homepage capability card</w:t>
      </w:r>
    </w:p>
    <w:p>
      <w:pPr>
        <w:spacing w:after="120" w:line="276"/>
      </w:pPr>
      <w:r>
        <w:rPr>
          <w:rFonts w:ascii="Calibri" w:cs="Calibri" w:eastAsia="Calibri" w:hAnsi="Calibri"/>
          <w:color w:val="222222"/>
          <w:sz w:val="19"/>
          <w:szCs w:val="19"/>
        </w:rPr>
        <w:t xml:space="preserve">Observed: "Execution Discipline" card reads "protect your longterm roadmap".</w:t>
      </w:r>
    </w:p>
    <w:p>
      <w:pPr>
        <w:spacing w:after="120" w:line="276"/>
      </w:pPr>
      <w:r>
        <w:rPr>
          <w:rFonts w:ascii="Calibri" w:cs="Calibri" w:eastAsia="Calibri" w:hAnsi="Calibri"/>
          <w:color w:val="3A3A3A"/>
          <w:sz w:val="19"/>
          <w:szCs w:val="19"/>
        </w:rPr>
        <w:t xml:space="preserve">Impact: Ships alongside a claim about execution discipline.</w:t>
      </w:r>
    </w:p>
    <w:p>
      <w:pPr>
        <w:pStyle w:val="Heading3"/>
        <w:keepNext/>
        <w:keepLines/>
        <w:spacing w:after="100" w:before="200"/>
      </w:pPr>
      <w:r>
        <w:rPr>
          <w:rFonts w:ascii="Calibri" w:cs="Calibri" w:eastAsia="Calibri" w:hAnsi="Calibri"/>
          <w:b/>
          <w:bCs/>
          <w:color w:val="5B3FA8"/>
          <w:sz w:val="21"/>
          <w:szCs w:val="21"/>
        </w:rPr>
        <w:t xml:space="preserve">C-023 — No structured data detected</w:t>
      </w:r>
    </w:p>
    <w:p>
      <w:pPr>
        <w:spacing w:after="120" w:line="276"/>
      </w:pPr>
      <w:r>
        <w:rPr>
          <w:rFonts w:ascii="Calibri" w:cs="Calibri" w:eastAsia="Calibri" w:hAnsi="Calibri"/>
          <w:color w:val="222222"/>
          <w:sz w:val="19"/>
          <w:szCs w:val="19"/>
        </w:rPr>
        <w:t xml:space="preserve">Observed: No Organization, WebSite, Service, BreadcrumbList or Article JSON-LD was observable in the audited responses.</w:t>
      </w:r>
    </w:p>
    <w:p>
      <w:pPr>
        <w:spacing w:after="120" w:line="276"/>
      </w:pPr>
      <w:r>
        <w:rPr>
          <w:rFonts w:ascii="Calibri" w:cs="Calibri" w:eastAsia="Calibri" w:hAnsi="Calibri"/>
          <w:color w:val="3A3A3A"/>
          <w:sz w:val="19"/>
          <w:szCs w:val="19"/>
        </w:rPr>
        <w:t xml:space="preserve">Impact: Machine-readable entity definition is absent. This is the single largest GEO gap.</w:t>
      </w:r>
    </w:p>
    <w:p>
      <w:pPr>
        <w:pStyle w:val="Heading3"/>
        <w:keepNext/>
        <w:keepLines/>
        <w:spacing w:after="100" w:before="200"/>
      </w:pPr>
      <w:r>
        <w:rPr>
          <w:rFonts w:ascii="Calibri" w:cs="Calibri" w:eastAsia="Calibri" w:hAnsi="Calibri"/>
          <w:b/>
          <w:bCs/>
          <w:color w:val="5B3FA8"/>
          <w:sz w:val="21"/>
          <w:szCs w:val="21"/>
        </w:rPr>
        <w:t xml:space="preserve">C-024 — Robots and sitemap state unverified</w:t>
      </w:r>
    </w:p>
    <w:p>
      <w:pPr>
        <w:spacing w:after="120" w:line="276"/>
      </w:pPr>
      <w:r>
        <w:rPr>
          <w:rFonts w:ascii="Calibri" w:cs="Calibri" w:eastAsia="Calibri" w:hAnsi="Calibri"/>
          <w:color w:val="222222"/>
          <w:sz w:val="19"/>
          <w:szCs w:val="19"/>
        </w:rPr>
        <w:t xml:space="preserve">Observed: /robots.txt and /sitemap.xml could not be retrieved during this audit (see Appendix B).</w:t>
      </w:r>
    </w:p>
    <w:p>
      <w:pPr>
        <w:spacing w:after="120" w:line="276"/>
      </w:pPr>
      <w:r>
        <w:rPr>
          <w:rFonts w:ascii="Calibri" w:cs="Calibri" w:eastAsia="Calibri" w:hAnsi="Calibri"/>
          <w:color w:val="3A3A3A"/>
          <w:sz w:val="19"/>
          <w:szCs w:val="19"/>
        </w:rPr>
        <w:t xml:space="preserve">Impact: Crawl scope and index scope are unknown. Cannot be signed off without developer confirmation.</w:t>
      </w:r>
    </w:p>
    <w:p>
      <w:pPr>
        <w:pStyle w:val="Heading3"/>
        <w:keepNext/>
        <w:keepLines/>
        <w:spacing w:after="100" w:before="200"/>
      </w:pPr>
      <w:r>
        <w:rPr>
          <w:rFonts w:ascii="Calibri" w:cs="Calibri" w:eastAsia="Calibri" w:hAnsi="Calibri"/>
          <w:b/>
          <w:bCs/>
          <w:color w:val="5B3FA8"/>
          <w:sz w:val="21"/>
          <w:szCs w:val="21"/>
        </w:rPr>
        <w:t xml:space="preserve">C-025 — Whitepapers surface published with no assets</w:t>
      </w:r>
    </w:p>
    <w:p>
      <w:pPr>
        <w:spacing w:after="120" w:line="276"/>
      </w:pPr>
      <w:r>
        <w:rPr>
          <w:rFonts w:ascii="Calibri" w:cs="Calibri" w:eastAsia="Calibri" w:hAnsi="Calibri"/>
          <w:color w:val="222222"/>
          <w:sz w:val="19"/>
          <w:szCs w:val="19"/>
        </w:rPr>
        <w:t xml:space="preserve">Observed: /whitepapers is linked in the global footer and is indexable.</w:t>
      </w:r>
    </w:p>
    <w:p>
      <w:pPr>
        <w:spacing w:after="120" w:line="276"/>
      </w:pPr>
      <w:r>
        <w:rPr>
          <w:rFonts w:ascii="Calibri" w:cs="Calibri" w:eastAsia="Calibri" w:hAnsi="Calibri"/>
          <w:color w:val="3A3A3A"/>
          <w:sz w:val="19"/>
          <w:szCs w:val="19"/>
        </w:rPr>
        <w:t xml:space="preserve">Impact: A thin, empty commercial page linked from every page on the site.</w:t>
      </w:r>
    </w:p>
    <w:p>
      <w:pPr>
        <w:pStyle w:val="Heading3"/>
        <w:keepNext/>
        <w:keepLines/>
        <w:spacing w:after="100" w:before="200"/>
      </w:pPr>
      <w:r>
        <w:rPr>
          <w:rFonts w:ascii="Calibri" w:cs="Calibri" w:eastAsia="Calibri" w:hAnsi="Calibri"/>
          <w:b/>
          <w:bCs/>
          <w:color w:val="5B3FA8"/>
          <w:sz w:val="21"/>
          <w:szCs w:val="21"/>
        </w:rPr>
        <w:t xml:space="preserve">C-026 — Development host is indexable</w:t>
      </w:r>
    </w:p>
    <w:p>
      <w:pPr>
        <w:spacing w:after="120" w:line="276"/>
      </w:pPr>
      <w:r>
        <w:rPr>
          <w:rFonts w:ascii="Calibri" w:cs="Calibri" w:eastAsia="Calibri" w:hAnsi="Calibri"/>
          <w:color w:val="222222"/>
          <w:sz w:val="19"/>
          <w:szCs w:val="19"/>
        </w:rPr>
        <w:t xml:space="preserve">Observed: The dev deployment emits robots: index, follow.</w:t>
      </w:r>
    </w:p>
    <w:p>
      <w:pPr>
        <w:spacing w:after="120" w:line="276"/>
      </w:pPr>
      <w:r>
        <w:rPr>
          <w:rFonts w:ascii="Calibri" w:cs="Calibri" w:eastAsia="Calibri" w:hAnsi="Calibri"/>
          <w:color w:val="3A3A3A"/>
          <w:sz w:val="19"/>
          <w:szCs w:val="19"/>
        </w:rPr>
        <w:t xml:space="preserve">Impact: Risk of the *.vercel.app host being indexed and competing with the production domain.</w:t>
      </w:r>
    </w:p>
    <w:p>
      <w:pPr>
        <w:pStyle w:val="Heading1"/>
        <w:pageBreakBefore/>
        <w:spacing w:after="200" w:before="240"/>
      </w:pPr>
      <w:r>
        <w:rPr>
          <w:rFonts w:ascii="Calibri" w:cs="Calibri" w:eastAsia="Calibri" w:hAnsi="Calibri"/>
          <w:b/>
          <w:bCs/>
          <w:color w:val="15243F"/>
          <w:sz w:val="32"/>
          <w:szCs w:val="32"/>
        </w:rPr>
        <w:t xml:space="preserve">5. Blueprint Red-Team Verdict</w:t>
      </w:r>
    </w:p>
    <w:p>
      <w:pPr>
        <w:spacing w:after="120" w:line="276"/>
      </w:pPr>
      <w:r>
        <w:rPr>
          <w:rFonts w:ascii="Calibri" w:cs="Calibri" w:eastAsia="Calibri" w:hAnsi="Calibri"/>
          <w:color w:val="222222"/>
          <w:sz w:val="20"/>
          <w:szCs w:val="20"/>
        </w:rPr>
        <w:t xml:space="preserve">The draft blueprint was reviewed as an independent consultant's work product, not as an approved input. Each material recommendation was tested against the live site and against enterprise search architecture practice. Verdicts below are binding: where a verdict says KEEP, the draft remains the source of truth for that item and this document adds nothing. Where it says MODIFY or MISSING, this document supersedes it.</w:t>
      </w:r>
    </w:p>
    <w:p>
      <w:pPr>
        <w:pStyle w:val="Heading3"/>
        <w:keepNext/>
        <w:keepLines/>
        <w:spacing w:after="100" w:before="200"/>
      </w:pPr>
      <w:r>
        <w:rPr>
          <w:rFonts w:ascii="Calibri" w:cs="Calibri" w:eastAsia="Calibri" w:hAnsi="Calibri"/>
          <w:b/>
          <w:bCs/>
          <w:color w:val="5B3FA8"/>
          <w:sz w:val="21"/>
          <w:szCs w:val="21"/>
        </w:rPr>
        <w:t xml:space="preserve">Positioning statement (§3.1)</w:t>
      </w:r>
    </w:p>
    <w:p>
      <w:pPr>
        <w:spacing w:after="120" w:line="276"/>
      </w:pPr>
      <w:r>
        <w:rPr>
          <w:rFonts w:ascii="Calibri" w:cs="Calibri" w:eastAsia="Calibri" w:hAnsi="Calibri"/>
          <w:b/>
          <w:bCs/>
          <w:color w:val="2E7D4F"/>
          <w:sz w:val="19"/>
          <w:szCs w:val="19"/>
        </w:rPr>
        <w:t xml:space="preserve">Verdict: KEEP</w:t>
      </w:r>
    </w:p>
    <w:p>
      <w:pPr>
        <w:spacing w:after="120" w:line="276"/>
      </w:pPr>
      <w:r>
        <w:rPr>
          <w:rFonts w:ascii="Calibri" w:cs="Calibri" w:eastAsia="Calibri" w:hAnsi="Calibri"/>
          <w:color w:val="222222"/>
          <w:sz w:val="19"/>
          <w:szCs w:val="19"/>
        </w:rPr>
        <w:t xml:space="preserve">Accurate, non-inflated, covers the full service range and names a real differentiator (architecture context retained from transformation into run). Adopt verbatim as the canonical entity description.</w:t>
      </w:r>
    </w:p>
    <w:p>
      <w:pPr>
        <w:pStyle w:val="Heading3"/>
        <w:keepNext/>
        <w:keepLines/>
        <w:spacing w:after="100" w:before="200"/>
      </w:pPr>
      <w:r>
        <w:rPr>
          <w:rFonts w:ascii="Calibri" w:cs="Calibri" w:eastAsia="Calibri" w:hAnsi="Calibri"/>
          <w:b/>
          <w:bCs/>
          <w:color w:val="5B3FA8"/>
          <w:sz w:val="21"/>
          <w:szCs w:val="21"/>
        </w:rPr>
        <w:t xml:space="preserve">Brand promise "Make enterprise technology work as one system." (§3.2)</w:t>
      </w:r>
    </w:p>
    <w:p>
      <w:pPr>
        <w:spacing w:after="120" w:line="276"/>
      </w:pPr>
      <w:r>
        <w:rPr>
          <w:rFonts w:ascii="Calibri" w:cs="Calibri" w:eastAsia="Calibri" w:hAnsi="Calibri"/>
          <w:b/>
          <w:bCs/>
          <w:color w:val="2E7D4F"/>
          <w:sz w:val="19"/>
          <w:szCs w:val="19"/>
        </w:rPr>
        <w:t xml:space="preserve">Verdict: KEEP — with a placement change</w:t>
      </w:r>
    </w:p>
    <w:p>
      <w:pPr>
        <w:spacing w:after="120" w:line="276"/>
      </w:pPr>
      <w:r>
        <w:rPr>
          <w:rFonts w:ascii="Calibri" w:cs="Calibri" w:eastAsia="Calibri" w:hAnsi="Calibri"/>
          <w:color w:val="222222"/>
          <w:sz w:val="19"/>
          <w:szCs w:val="19"/>
        </w:rPr>
        <w:t xml:space="preserve">Strong as an organizing principle and as a callout. Weak as an H1: it is abstract, contains no category noun a buyer or an AI system can classify, and does not identify the actor. Use it in Section 2 of the homepage, not in the hero. See Section 6.</w:t>
      </w:r>
    </w:p>
    <w:p>
      <w:pPr>
        <w:pStyle w:val="Heading3"/>
        <w:keepNext/>
        <w:keepLines/>
        <w:spacing w:after="100" w:before="200"/>
      </w:pPr>
      <w:r>
        <w:rPr>
          <w:rFonts w:ascii="Calibri" w:cs="Calibri" w:eastAsia="Calibri" w:hAnsi="Calibri"/>
          <w:b/>
          <w:bCs/>
          <w:color w:val="5B3FA8"/>
          <w:sz w:val="21"/>
          <w:szCs w:val="21"/>
        </w:rPr>
        <w:t xml:space="preserve">Six brand pillars (§3.3)</w:t>
      </w:r>
    </w:p>
    <w:p>
      <w:pPr>
        <w:spacing w:after="120" w:line="276"/>
      </w:pPr>
      <w:r>
        <w:rPr>
          <w:rFonts w:ascii="Calibri" w:cs="Calibri" w:eastAsia="Calibri" w:hAnsi="Calibri"/>
          <w:b/>
          <w:bCs/>
          <w:color w:val="2E7D4F"/>
          <w:sz w:val="19"/>
          <w:szCs w:val="19"/>
        </w:rPr>
        <w:t xml:space="preserve">Verdict: KEEP</w:t>
      </w:r>
    </w:p>
    <w:p>
      <w:pPr>
        <w:spacing w:after="120" w:line="276"/>
      </w:pPr>
      <w:r>
        <w:rPr>
          <w:rFonts w:ascii="Calibri" w:cs="Calibri" w:eastAsia="Calibri" w:hAnsi="Calibri"/>
          <w:color w:val="222222"/>
          <w:sz w:val="19"/>
          <w:szCs w:val="19"/>
        </w:rPr>
        <w:t xml:space="preserve">Each pillar has a distinct commercial job. No overlap. No unsupported claims.</w:t>
      </w:r>
    </w:p>
    <w:p>
      <w:pPr>
        <w:pStyle w:val="Heading3"/>
        <w:keepNext/>
        <w:keepLines/>
        <w:spacing w:after="100" w:before="200"/>
      </w:pPr>
      <w:r>
        <w:rPr>
          <w:rFonts w:ascii="Calibri" w:cs="Calibri" w:eastAsia="Calibri" w:hAnsi="Calibri"/>
          <w:b/>
          <w:bCs/>
          <w:color w:val="5B3FA8"/>
          <w:sz w:val="21"/>
          <w:szCs w:val="21"/>
        </w:rPr>
        <w:t xml:space="preserve">Messaging hierarchy (§3.4)</w:t>
      </w:r>
    </w:p>
    <w:p>
      <w:pPr>
        <w:spacing w:after="120" w:line="276"/>
      </w:pPr>
      <w:r>
        <w:rPr>
          <w:rFonts w:ascii="Calibri" w:cs="Calibri" w:eastAsia="Calibri" w:hAnsi="Calibri"/>
          <w:b/>
          <w:bCs/>
          <w:color w:val="2E7D4F"/>
          <w:sz w:val="19"/>
          <w:szCs w:val="19"/>
        </w:rPr>
        <w:t xml:space="preserve">Verdict: KEEP</w:t>
      </w:r>
    </w:p>
    <w:p>
      <w:pPr>
        <w:spacing w:after="120" w:line="276"/>
      </w:pPr>
      <w:r>
        <w:rPr>
          <w:rFonts w:ascii="Calibri" w:cs="Calibri" w:eastAsia="Calibri" w:hAnsi="Calibri"/>
          <w:color w:val="222222"/>
          <w:sz w:val="19"/>
          <w:szCs w:val="19"/>
        </w:rPr>
        <w:t xml:space="preserve">Correctly makes proof Level 5 and gates it on verification.</w:t>
      </w:r>
    </w:p>
    <w:p>
      <w:pPr>
        <w:pStyle w:val="Heading3"/>
        <w:keepNext/>
        <w:keepLines/>
        <w:spacing w:after="100" w:before="200"/>
      </w:pPr>
      <w:r>
        <w:rPr>
          <w:rFonts w:ascii="Calibri" w:cs="Calibri" w:eastAsia="Calibri" w:hAnsi="Calibri"/>
          <w:b/>
          <w:bCs/>
          <w:color w:val="5B3FA8"/>
          <w:sz w:val="21"/>
          <w:szCs w:val="21"/>
        </w:rPr>
        <w:t xml:space="preserve">Recommended /services/ URL architecture (§4.2)</w:t>
      </w:r>
    </w:p>
    <w:p>
      <w:pPr>
        <w:spacing w:after="120" w:line="276"/>
      </w:pPr>
      <w:r>
        <w:rPr>
          <w:rFonts w:ascii="Calibri" w:cs="Calibri" w:eastAsia="Calibri" w:hAnsi="Calibri"/>
          <w:b/>
          <w:bCs/>
          <w:color w:val="2E7D4F"/>
          <w:sz w:val="19"/>
          <w:szCs w:val="19"/>
        </w:rPr>
        <w:t xml:space="preserve">Verdict: KEEP</w:t>
      </w:r>
    </w:p>
    <w:p>
      <w:pPr>
        <w:spacing w:after="120" w:line="276"/>
      </w:pPr>
      <w:r>
        <w:rPr>
          <w:rFonts w:ascii="Calibri" w:cs="Calibri" w:eastAsia="Calibri" w:hAnsi="Calibri"/>
          <w:color w:val="222222"/>
          <w:sz w:val="19"/>
          <w:szCs w:val="19"/>
        </w:rPr>
        <w:t xml:space="preserve">Correct taxonomy, correct depth, correct priorities. Adopt as the migration target.</w:t>
      </w:r>
    </w:p>
    <w:p>
      <w:pPr>
        <w:pStyle w:val="Heading3"/>
        <w:keepNext/>
        <w:keepLines/>
        <w:spacing w:after="100" w:before="200"/>
      </w:pPr>
      <w:r>
        <w:rPr>
          <w:rFonts w:ascii="Calibri" w:cs="Calibri" w:eastAsia="Calibri" w:hAnsi="Calibri"/>
          <w:b/>
          <w:bCs/>
          <w:color w:val="5B3FA8"/>
          <w:sz w:val="21"/>
          <w:szCs w:val="21"/>
        </w:rPr>
        <w:t xml:space="preserve">Top-level navigation (§4.1)</w:t>
      </w:r>
    </w:p>
    <w:p>
      <w:pPr>
        <w:spacing w:after="120" w:line="276"/>
      </w:pPr>
      <w:r>
        <w:rPr>
          <w:rFonts w:ascii="Calibri" w:cs="Calibri" w:eastAsia="Calibri" w:hAnsi="Calibri"/>
          <w:b/>
          <w:bCs/>
          <w:color w:val="2E7D4F"/>
          <w:sz w:val="19"/>
          <w:szCs w:val="19"/>
        </w:rPr>
        <w:t xml:space="preserve">Verdict: KEEP — with one decision</w:t>
      </w:r>
    </w:p>
    <w:p>
      <w:pPr>
        <w:spacing w:after="120" w:line="276"/>
      </w:pPr>
      <w:r>
        <w:rPr>
          <w:rFonts w:ascii="Calibri" w:cs="Calibri" w:eastAsia="Calibri" w:hAnsi="Calibri"/>
          <w:color w:val="222222"/>
          <w:sz w:val="19"/>
          <w:szCs w:val="19"/>
        </w:rPr>
        <w:t xml:space="preserve">"Client Outcomes" and the live "Case Studies" must resolve to one label and one URL. Recommend the URL /case-studies/ with the nav label "Client Outcomes"; do not create both.</w:t>
      </w:r>
    </w:p>
    <w:p>
      <w:pPr>
        <w:pStyle w:val="Heading3"/>
        <w:keepNext/>
        <w:keepLines/>
        <w:spacing w:after="100" w:before="200"/>
      </w:pPr>
      <w:r>
        <w:rPr>
          <w:rFonts w:ascii="Calibri" w:cs="Calibri" w:eastAsia="Calibri" w:hAnsi="Calibri"/>
          <w:b/>
          <w:bCs/>
          <w:color w:val="5B3FA8"/>
          <w:sz w:val="21"/>
          <w:szCs w:val="21"/>
        </w:rPr>
        <w:t xml:space="preserve">GEO / AEO principles (§5.2)</w:t>
      </w:r>
    </w:p>
    <w:p>
      <w:pPr>
        <w:spacing w:after="120" w:line="276"/>
      </w:pPr>
      <w:r>
        <w:rPr>
          <w:rFonts w:ascii="Calibri" w:cs="Calibri" w:eastAsia="Calibri" w:hAnsi="Calibri"/>
          <w:b/>
          <w:bCs/>
          <w:color w:val="2E7D4F"/>
          <w:sz w:val="19"/>
          <w:szCs w:val="19"/>
        </w:rPr>
        <w:t xml:space="preserve">Verdict: KEEP</w:t>
      </w:r>
    </w:p>
    <w:p>
      <w:pPr>
        <w:spacing w:after="120" w:line="276"/>
      </w:pPr>
      <w:r>
        <w:rPr>
          <w:rFonts w:ascii="Calibri" w:cs="Calibri" w:eastAsia="Calibri" w:hAnsi="Calibri"/>
          <w:color w:val="222222"/>
          <w:sz w:val="19"/>
          <w:szCs w:val="19"/>
        </w:rPr>
        <w:t xml:space="preserve">This is the strongest section of the draft. It correctly treats generative-search optimisation as an extension of SEO fundamentals and correctly rejects llms.txt and AI-only copy as substitutes. No change.</w:t>
      </w:r>
    </w:p>
    <w:p>
      <w:pPr>
        <w:pStyle w:val="Heading3"/>
        <w:keepNext/>
        <w:keepLines/>
        <w:spacing w:after="100" w:before="200"/>
      </w:pPr>
      <w:r>
        <w:rPr>
          <w:rFonts w:ascii="Calibri" w:cs="Calibri" w:eastAsia="Calibri" w:hAnsi="Calibri"/>
          <w:b/>
          <w:bCs/>
          <w:color w:val="5B3FA8"/>
          <w:sz w:val="21"/>
          <w:szCs w:val="21"/>
        </w:rPr>
        <w:t xml:space="preserve">Keyword ownership and cannibalisation map (§7.1)</w:t>
      </w:r>
    </w:p>
    <w:p>
      <w:pPr>
        <w:spacing w:after="120" w:line="276"/>
      </w:pPr>
      <w:r>
        <w:rPr>
          <w:rFonts w:ascii="Calibri" w:cs="Calibri" w:eastAsia="Calibri" w:hAnsi="Calibri"/>
          <w:b/>
          <w:bCs/>
          <w:color w:val="2E7D4F"/>
          <w:sz w:val="19"/>
          <w:szCs w:val="19"/>
        </w:rPr>
        <w:t xml:space="preserve">Verdict: KEEP</w:t>
      </w:r>
    </w:p>
    <w:p>
      <w:pPr>
        <w:spacing w:after="120" w:line="276"/>
      </w:pPr>
      <w:r>
        <w:rPr>
          <w:rFonts w:ascii="Calibri" w:cs="Calibri" w:eastAsia="Calibri" w:hAnsi="Calibri"/>
          <w:color w:val="222222"/>
          <w:sz w:val="19"/>
          <w:szCs w:val="19"/>
        </w:rPr>
        <w:t xml:space="preserve">Clean single-owner assignment. The rule that Managed Services stays platform-neutral while SAP AMS owns SAP vendor-evaluation terms is correct and should be enforced in the CMS.</w:t>
      </w:r>
    </w:p>
    <w:p>
      <w:pPr>
        <w:pStyle w:val="Heading3"/>
        <w:keepNext/>
        <w:keepLines/>
        <w:spacing w:after="100" w:before="200"/>
      </w:pPr>
      <w:r>
        <w:rPr>
          <w:rFonts w:ascii="Calibri" w:cs="Calibri" w:eastAsia="Calibri" w:hAnsi="Calibri"/>
          <w:b/>
          <w:bCs/>
          <w:color w:val="5B3FA8"/>
          <w:sz w:val="21"/>
          <w:szCs w:val="21"/>
        </w:rPr>
        <w:t xml:space="preserve">Entity strategy (§11)</w:t>
      </w:r>
    </w:p>
    <w:p>
      <w:pPr>
        <w:spacing w:after="120" w:line="276"/>
      </w:pPr>
      <w:r>
        <w:rPr>
          <w:rFonts w:ascii="Calibri" w:cs="Calibri" w:eastAsia="Calibri" w:hAnsi="Calibri"/>
          <w:b/>
          <w:bCs/>
          <w:color w:val="2E7D4F"/>
          <w:sz w:val="19"/>
          <w:szCs w:val="19"/>
        </w:rPr>
        <w:t xml:space="preserve">Verdict: KEEP — but escalate to a launch gate</w:t>
      </w:r>
    </w:p>
    <w:p>
      <w:pPr>
        <w:spacing w:after="120" w:line="276"/>
      </w:pPr>
      <w:r>
        <w:rPr>
          <w:rFonts w:ascii="Calibri" w:cs="Calibri" w:eastAsia="Calibri" w:hAnsi="Calibri"/>
          <w:color w:val="222222"/>
          <w:sz w:val="19"/>
          <w:szCs w:val="19"/>
        </w:rPr>
        <w:t xml:space="preserve">The draft treats the Ascendus / Support Studio Technologies relationship as an input to be resolved. Given the findings at C-011, C-012 and C-021, it is a hard launch blocker. Nothing publishes until it is resolved.</w:t>
      </w:r>
    </w:p>
    <w:p>
      <w:pPr>
        <w:pStyle w:val="Heading3"/>
        <w:keepNext/>
        <w:keepLines/>
        <w:spacing w:after="100" w:before="200"/>
      </w:pPr>
      <w:r>
        <w:rPr>
          <w:rFonts w:ascii="Calibri" w:cs="Calibri" w:eastAsia="Calibri" w:hAnsi="Calibri"/>
          <w:b/>
          <w:bCs/>
          <w:color w:val="5B3FA8"/>
          <w:sz w:val="21"/>
          <w:szCs w:val="21"/>
        </w:rPr>
        <w:t xml:space="preserve">Page-level assessment table (§2.1)</w:t>
      </w:r>
    </w:p>
    <w:p>
      <w:pPr>
        <w:spacing w:after="120" w:line="276"/>
      </w:pPr>
      <w:r>
        <w:rPr>
          <w:rFonts w:ascii="Calibri" w:cs="Calibri" w:eastAsia="Calibri" w:hAnsi="Calibri"/>
          <w:b/>
          <w:bCs/>
          <w:color w:val="5B3FA8"/>
          <w:sz w:val="19"/>
          <w:szCs w:val="19"/>
        </w:rPr>
        <w:t xml:space="preserve">Verdict: MODIFY — contains URL errors</w:t>
      </w:r>
    </w:p>
    <w:p>
      <w:pPr>
        <w:spacing w:after="120" w:line="276"/>
      </w:pPr>
      <w:r>
        <w:rPr>
          <w:rFonts w:ascii="Calibri" w:cs="Calibri" w:eastAsia="Calibri" w:hAnsi="Calibri"/>
          <w:color w:val="222222"/>
          <w:sz w:val="19"/>
          <w:szCs w:val="19"/>
        </w:rPr>
        <w:t xml:space="preserve">Three of the live URLs in the table are wrong: /whatWeDo/innovation (live: /whatWeDo/innovation-emerging-technologies), /contact (live: /contact-us) and /book-a-call (live: /bookacall). A redirect map built from this table would generate 404s on launch. Corrected inventory is at Section 8.</w:t>
      </w:r>
    </w:p>
    <w:p>
      <w:pPr>
        <w:pStyle w:val="Heading3"/>
        <w:keepNext/>
        <w:keepLines/>
        <w:spacing w:after="100" w:before="200"/>
      </w:pPr>
      <w:r>
        <w:rPr>
          <w:rFonts w:ascii="Calibri" w:cs="Calibri" w:eastAsia="Calibri" w:hAnsi="Calibri"/>
          <w:b/>
          <w:bCs/>
          <w:color w:val="5B3FA8"/>
          <w:sz w:val="21"/>
          <w:szCs w:val="21"/>
        </w:rPr>
        <w:t xml:space="preserve">Query-parameter SAP / Microsoft migration (§1, §2.2)</w:t>
      </w:r>
    </w:p>
    <w:p>
      <w:pPr>
        <w:spacing w:after="120" w:line="276"/>
      </w:pPr>
      <w:r>
        <w:rPr>
          <w:rFonts w:ascii="Calibri" w:cs="Calibri" w:eastAsia="Calibri" w:hAnsi="Calibri"/>
          <w:b/>
          <w:bCs/>
          <w:color w:val="5B3FA8"/>
          <w:sz w:val="19"/>
          <w:szCs w:val="19"/>
        </w:rPr>
        <w:t xml:space="preserve">Verdict: MODIFY — premise appears stale</w:t>
      </w:r>
    </w:p>
    <w:p>
      <w:pPr>
        <w:spacing w:after="120" w:line="276"/>
      </w:pPr>
      <w:r>
        <w:rPr>
          <w:rFonts w:ascii="Calibri" w:cs="Calibri" w:eastAsia="Calibri" w:hAnsi="Calibri"/>
          <w:color w:val="222222"/>
          <w:sz w:val="19"/>
          <w:szCs w:val="19"/>
        </w:rPr>
        <w:t xml:space="preserve">The draft's leading technical recommendation is to migrate SAP and Microsoft sub-services from query-parameter URLs to static routes. No SAP or Microsoft sub-service route is exposed anywhere in the current build's navigation, footer or body content. The problem is absence, not migration. Reclassified from a URL migration to a content gap (C-032, C-033). Developer to confirm whether any ?service= routes still resolve; if they do, they require noindex plus a 301, not a rewrite.</w:t>
      </w:r>
    </w:p>
    <w:p>
      <w:pPr>
        <w:pStyle w:val="Heading3"/>
        <w:keepNext/>
        <w:keepLines/>
        <w:spacing w:after="100" w:before="200"/>
      </w:pPr>
      <w:r>
        <w:rPr>
          <w:rFonts w:ascii="Calibri" w:cs="Calibri" w:eastAsia="Calibri" w:hAnsi="Calibri"/>
          <w:b/>
          <w:bCs/>
          <w:color w:val="5B3FA8"/>
          <w:sz w:val="21"/>
          <w:szCs w:val="21"/>
        </w:rPr>
        <w:t xml:space="preserve">Overall score of 51/100 (§1)</w:t>
      </w:r>
    </w:p>
    <w:p>
      <w:pPr>
        <w:spacing w:after="120" w:line="276"/>
      </w:pPr>
      <w:r>
        <w:rPr>
          <w:rFonts w:ascii="Calibri" w:cs="Calibri" w:eastAsia="Calibri" w:hAnsi="Calibri"/>
          <w:b/>
          <w:bCs/>
          <w:color w:val="5B3FA8"/>
          <w:sz w:val="19"/>
          <w:szCs w:val="19"/>
        </w:rPr>
        <w:t xml:space="preserve">Verdict: MODIFY — revised to 44/100</w:t>
      </w:r>
    </w:p>
    <w:p>
      <w:pPr>
        <w:spacing w:after="120" w:line="276"/>
      </w:pPr>
      <w:r>
        <w:rPr>
          <w:rFonts w:ascii="Calibri" w:cs="Calibri" w:eastAsia="Calibri" w:hAnsi="Calibri"/>
          <w:color w:val="222222"/>
          <w:sz w:val="19"/>
          <w:szCs w:val="19"/>
        </w:rPr>
        <w:t xml:space="preserve">The draft's scoring does not weight indexability. With a foreign-domain canonical on every page (C-001), the achievable organic and AI-search visibility of every non-home URL is zero, not merely weak. SEO and AEO dimension scores are revised down accordingly. Detail at Section 3.</w:t>
      </w:r>
    </w:p>
    <w:p>
      <w:pPr>
        <w:pStyle w:val="Heading3"/>
        <w:keepNext/>
        <w:keepLines/>
        <w:spacing w:after="100" w:before="200"/>
      </w:pPr>
      <w:r>
        <w:rPr>
          <w:rFonts w:ascii="Calibri" w:cs="Calibri" w:eastAsia="Calibri" w:hAnsi="Calibri"/>
          <w:b/>
          <w:bCs/>
          <w:color w:val="5B3FA8"/>
          <w:sz w:val="21"/>
          <w:szCs w:val="21"/>
        </w:rPr>
        <w:t xml:space="preserve">39 page-level copy chapters (§8.1–8.39)</w:t>
      </w:r>
    </w:p>
    <w:p>
      <w:pPr>
        <w:spacing w:after="120" w:line="276"/>
      </w:pPr>
      <w:r>
        <w:rPr>
          <w:rFonts w:ascii="Calibri" w:cs="Calibri" w:eastAsia="Calibri" w:hAnsi="Calibri"/>
          <w:b/>
          <w:bCs/>
          <w:color w:val="5B3FA8"/>
          <w:sz w:val="19"/>
          <w:szCs w:val="19"/>
        </w:rPr>
        <w:t xml:space="preserve">Verdict: MODIFY — apply a publication gate</w:t>
      </w:r>
    </w:p>
    <w:p>
      <w:pPr>
        <w:spacing w:after="120" w:line="276"/>
      </w:pPr>
      <w:r>
        <w:rPr>
          <w:rFonts w:ascii="Calibri" w:cs="Calibri" w:eastAsia="Calibri" w:hAnsi="Calibri"/>
          <w:color w:val="222222"/>
          <w:sz w:val="19"/>
          <w:szCs w:val="19"/>
        </w:rPr>
        <w:t xml:space="preserve">The copy itself is of good quality and should be used. The volume is not deliverable at launch by an organisation of this size without filling the site with [PROOF REQUIRED] placeholders — which is the exact failure mode already visible at C-007 and C-008. Publish in three waves against the roadmap at Section 27. A page is not published until its proof block is populated.</w:t>
      </w:r>
    </w:p>
    <w:p>
      <w:pPr>
        <w:pStyle w:val="Heading3"/>
        <w:keepNext/>
        <w:keepLines/>
        <w:spacing w:after="100" w:before="200"/>
      </w:pPr>
      <w:r>
        <w:rPr>
          <w:rFonts w:ascii="Calibri" w:cs="Calibri" w:eastAsia="Calibri" w:hAnsi="Calibri"/>
          <w:b/>
          <w:bCs/>
          <w:color w:val="5B3FA8"/>
          <w:sz w:val="21"/>
          <w:szCs w:val="21"/>
        </w:rPr>
        <w:t xml:space="preserve">Whitepapers treatment (§2.1 vs §8.33)</w:t>
      </w:r>
    </w:p>
    <w:p>
      <w:pPr>
        <w:spacing w:after="120" w:line="276"/>
      </w:pPr>
      <w:r>
        <w:rPr>
          <w:rFonts w:ascii="Calibri" w:cs="Calibri" w:eastAsia="Calibri" w:hAnsi="Calibri"/>
          <w:b/>
          <w:bCs/>
          <w:color w:val="5B3FA8"/>
          <w:sz w:val="19"/>
          <w:szCs w:val="19"/>
        </w:rPr>
        <w:t xml:space="preserve">Verdict: MODIFY — internally inconsistent</w:t>
      </w:r>
    </w:p>
    <w:p>
      <w:pPr>
        <w:spacing w:after="120" w:line="276"/>
      </w:pPr>
      <w:r>
        <w:rPr>
          <w:rFonts w:ascii="Calibri" w:cs="Calibri" w:eastAsia="Calibri" w:hAnsi="Calibri"/>
          <w:color w:val="222222"/>
          <w:sz w:val="19"/>
          <w:szCs w:val="19"/>
        </w:rPr>
        <w:t xml:space="preserve">§2.1 recommends noindex and removal from navigation; §8.33 supplies a content standard and launch copy. Reconcile: noindex and unlink now (C-025); publish the §8.33 standard only when the first three assets exist.</w:t>
      </w:r>
    </w:p>
    <w:p>
      <w:pPr>
        <w:pStyle w:val="Heading3"/>
        <w:keepNext/>
        <w:keepLines/>
        <w:spacing w:after="100" w:before="200"/>
      </w:pPr>
      <w:r>
        <w:rPr>
          <w:rFonts w:ascii="Calibri" w:cs="Calibri" w:eastAsia="Calibri" w:hAnsi="Calibri"/>
          <w:b/>
          <w:bCs/>
          <w:color w:val="5B3FA8"/>
          <w:sz w:val="21"/>
          <w:szCs w:val="21"/>
        </w:rPr>
        <w:t xml:space="preserve">Locale, language and international targeting</w:t>
      </w:r>
    </w:p>
    <w:p>
      <w:pPr>
        <w:spacing w:after="120" w:line="276"/>
      </w:pPr>
      <w:r>
        <w:rPr>
          <w:rFonts w:ascii="Calibri" w:cs="Calibri" w:eastAsia="Calibri" w:hAnsi="Calibri"/>
          <w:b/>
          <w:bCs/>
          <w:color w:val="B03030"/>
          <w:sz w:val="19"/>
          <w:szCs w:val="19"/>
        </w:rPr>
        <w:t xml:space="preserve">Verdict: MISSING</w:t>
      </w:r>
    </w:p>
    <w:p>
      <w:pPr>
        <w:spacing w:after="120" w:line="276"/>
      </w:pPr>
      <w:r>
        <w:rPr>
          <w:rFonts w:ascii="Calibri" w:cs="Calibri" w:eastAsia="Calibri" w:hAnsi="Calibri"/>
          <w:color w:val="222222"/>
          <w:sz w:val="19"/>
          <w:szCs w:val="19"/>
        </w:rPr>
        <w:t xml:space="preserve">The draft contains no finding on the header locale switcher. It is a fabricated-footprint issue (C-020) and directly contradicts the mandate's prohibition on inventing global presence. Added as P0.</w:t>
      </w:r>
    </w:p>
    <w:p>
      <w:pPr>
        <w:pStyle w:val="Heading3"/>
        <w:keepNext/>
        <w:keepLines/>
        <w:spacing w:after="100" w:before="200"/>
      </w:pPr>
      <w:r>
        <w:rPr>
          <w:rFonts w:ascii="Calibri" w:cs="Calibri" w:eastAsia="Calibri" w:hAnsi="Calibri"/>
          <w:b/>
          <w:bCs/>
          <w:color w:val="5B3FA8"/>
          <w:sz w:val="21"/>
          <w:szCs w:val="21"/>
        </w:rPr>
        <w:t xml:space="preserve">Structured data implementation state</w:t>
      </w:r>
    </w:p>
    <w:p>
      <w:pPr>
        <w:spacing w:after="120" w:line="276"/>
      </w:pPr>
      <w:r>
        <w:rPr>
          <w:rFonts w:ascii="Calibri" w:cs="Calibri" w:eastAsia="Calibri" w:hAnsi="Calibri"/>
          <w:b/>
          <w:bCs/>
          <w:color w:val="B03030"/>
          <w:sz w:val="19"/>
          <w:szCs w:val="19"/>
        </w:rPr>
        <w:t xml:space="preserve">Verdict: MISSING</w:t>
      </w:r>
    </w:p>
    <w:p>
      <w:pPr>
        <w:spacing w:after="120" w:line="276"/>
      </w:pPr>
      <w:r>
        <w:rPr>
          <w:rFonts w:ascii="Calibri" w:cs="Calibri" w:eastAsia="Calibri" w:hAnsi="Calibri"/>
          <w:color w:val="222222"/>
          <w:sz w:val="19"/>
          <w:szCs w:val="19"/>
        </w:rPr>
        <w:t xml:space="preserve">The draft specifies which schema types to use but does not record that no JSON-LD is currently detectable on the live site (C-023). This is the largest single GEO gap and needs its own workstream, not a line item.</w:t>
      </w:r>
    </w:p>
    <w:p>
      <w:pPr>
        <w:pStyle w:val="Heading3"/>
        <w:keepNext/>
        <w:keepLines/>
        <w:spacing w:after="100" w:before="200"/>
      </w:pPr>
      <w:r>
        <w:rPr>
          <w:rFonts w:ascii="Calibri" w:cs="Calibri" w:eastAsia="Calibri" w:hAnsi="Calibri"/>
          <w:b/>
          <w:bCs/>
          <w:color w:val="5B3FA8"/>
          <w:sz w:val="21"/>
          <w:szCs w:val="21"/>
        </w:rPr>
        <w:t xml:space="preserve">Development-host indexation</w:t>
      </w:r>
    </w:p>
    <w:p>
      <w:pPr>
        <w:spacing w:after="120" w:line="276"/>
      </w:pPr>
      <w:r>
        <w:rPr>
          <w:rFonts w:ascii="Calibri" w:cs="Calibri" w:eastAsia="Calibri" w:hAnsi="Calibri"/>
          <w:b/>
          <w:bCs/>
          <w:color w:val="B03030"/>
          <w:sz w:val="19"/>
          <w:szCs w:val="19"/>
        </w:rPr>
        <w:t xml:space="preserve">Verdict: MISSING</w:t>
      </w:r>
    </w:p>
    <w:p>
      <w:pPr>
        <w:spacing w:after="120" w:line="276"/>
      </w:pPr>
      <w:r>
        <w:rPr>
          <w:rFonts w:ascii="Calibri" w:cs="Calibri" w:eastAsia="Calibri" w:hAnsi="Calibri"/>
          <w:color w:val="222222"/>
          <w:sz w:val="19"/>
          <w:szCs w:val="19"/>
        </w:rPr>
        <w:t xml:space="preserve">No finding on the dev deployment being crawlable (C-026). Added as P0.</w:t>
      </w:r>
    </w:p>
    <w:p>
      <w:pPr>
        <w:pStyle w:val="Heading3"/>
        <w:keepNext/>
        <w:keepLines/>
        <w:spacing w:after="100" w:before="200"/>
      </w:pPr>
      <w:r>
        <w:rPr>
          <w:rFonts w:ascii="Calibri" w:cs="Calibri" w:eastAsia="Calibri" w:hAnsi="Calibri"/>
          <w:b/>
          <w:bCs/>
          <w:color w:val="5B3FA8"/>
          <w:sz w:val="21"/>
          <w:szCs w:val="21"/>
        </w:rPr>
        <w:t xml:space="preserve">Case study navigability</w:t>
      </w:r>
    </w:p>
    <w:p>
      <w:pPr>
        <w:spacing w:after="120" w:line="276"/>
      </w:pPr>
      <w:r>
        <w:rPr>
          <w:rFonts w:ascii="Calibri" w:cs="Calibri" w:eastAsia="Calibri" w:hAnsi="Calibri"/>
          <w:b/>
          <w:bCs/>
          <w:color w:val="B03030"/>
          <w:sz w:val="19"/>
          <w:szCs w:val="19"/>
        </w:rPr>
        <w:t xml:space="preserve">Verdict: MISSING</w:t>
      </w:r>
    </w:p>
    <w:p>
      <w:pPr>
        <w:spacing w:after="120" w:line="276"/>
      </w:pPr>
      <w:r>
        <w:rPr>
          <w:rFonts w:ascii="Calibri" w:cs="Calibri" w:eastAsia="Calibri" w:hAnsi="Calibri"/>
          <w:color w:val="222222"/>
          <w:sz w:val="19"/>
          <w:szCs w:val="19"/>
        </w:rPr>
        <w:t xml:space="preserve">The draft treats case studies as a content quality problem. They are also a routing problem: the cards do not link anywhere (C-018).</w:t>
      </w:r>
    </w:p>
    <w:p>
      <w:pPr>
        <w:pStyle w:val="Heading1"/>
        <w:pageBreakBefore/>
        <w:spacing w:after="200" w:before="240"/>
      </w:pPr>
      <w:r>
        <w:rPr>
          <w:rFonts w:ascii="Calibri" w:cs="Calibri" w:eastAsia="Calibri" w:hAnsi="Calibri"/>
          <w:b/>
          <w:bCs/>
          <w:color w:val="15243F"/>
          <w:sz w:val="32"/>
          <w:szCs w:val="32"/>
        </w:rPr>
        <w:t xml:space="preserve">6. Brand Positioning Validation</w:t>
      </w:r>
    </w:p>
    <w:p>
      <w:pPr>
        <w:pStyle w:val="Heading2"/>
        <w:spacing w:after="140" w:before="280"/>
      </w:pPr>
      <w:r>
        <w:rPr>
          <w:rFonts w:ascii="Calibri" w:cs="Calibri" w:eastAsia="Calibri" w:hAnsi="Calibri"/>
          <w:b/>
          <w:bCs/>
          <w:color w:val="15243F"/>
          <w:sz w:val="24"/>
          <w:szCs w:val="24"/>
        </w:rPr>
        <w:t xml:space="preserve">6.1 Positioning statement — KEEP</w:t>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APPROVED POSITIONING STATEMENT</w:t>
            </w:r>
          </w:p>
          <w:p>
            <w:pPr>
              <w:spacing w:after="0" w:line="270"/>
            </w:pPr>
            <w:r>
              <w:rPr>
                <w:rFonts w:ascii="Calibri" w:cs="Calibri" w:eastAsia="Calibri" w:hAnsi="Calibri"/>
                <w:color w:val="222222"/>
                <w:sz w:val="19"/>
                <w:szCs w:val="19"/>
              </w:rPr>
              <w:t xml:space="preserve">Ascendus is an enterprise technology services company that connects SAP and enterprise platforms with cloud, data, AI, engineering, security and managed operations. It works with large organisations that need to modernize the systems their operations depend on without losing continuity, and it retains the same delivery accountability from architecture and implementation into ongoing application management. Ascendus delivers transformation advisory, enterprise application implementation, cloud modernization, data engineering and analytics, applied AI, digital engineering, experience design, intelligent automation, cybersecurity and application managed services.</w:t>
            </w:r>
          </w:p>
        </w:tc>
      </w:tr>
    </w:tbl>
    <w:p>
      <w:pPr>
        <w:spacing w:after="120" w:line="276"/>
      </w:pPr>
      <w:r>
        <w:rPr>
          <w:rFonts w:ascii="Calibri" w:cs="Calibri" w:eastAsia="Calibri" w:hAnsi="Calibri"/>
          <w:color w:val="222222"/>
          <w:sz w:val="20"/>
          <w:szCs w:val="20"/>
        </w:rPr>
        <w:t xml:space="preserve">This is retained from the draft without amendment. It names a real category, covers the full service range without listing it exhaustively, and identifies a differentiator that is both specific and falsifiable: accountability retained from transformation planning into production support. It makes no claim about scale, footprint or credentials, which is exactly right for an organisation that cannot yet evidence any of them.</w:t>
      </w:r>
    </w:p>
    <w:p>
      <w:pPr>
        <w:pStyle w:val="Heading2"/>
        <w:spacing w:after="140" w:before="280"/>
      </w:pPr>
      <w:r>
        <w:rPr>
          <w:rFonts w:ascii="Calibri" w:cs="Calibri" w:eastAsia="Calibri" w:hAnsi="Calibri"/>
          <w:b/>
          <w:bCs/>
          <w:color w:val="15243F"/>
          <w:sz w:val="24"/>
          <w:szCs w:val="24"/>
        </w:rPr>
        <w:t xml:space="preserve">6.2 Brand promise — KEEP, with a placement change</w:t>
      </w:r>
    </w:p>
    <w:p>
      <w:pPr>
        <w:spacing w:after="120" w:line="276"/>
      </w:pPr>
      <w:r>
        <w:rPr>
          <w:rFonts w:ascii="Calibri" w:cs="Calibri" w:eastAsia="Calibri" w:hAnsi="Calibri"/>
          <w:color w:val="222222"/>
          <w:sz w:val="20"/>
          <w:szCs w:val="20"/>
        </w:rPr>
        <w:t xml:space="preserve">"Make enterprise technology work as one system." is a good organizing principle and a poor H1. It is a promise rather than a description: it contains no actor, no category noun and nothing a search engine or a language model can classify. Retain it as the Section 2 headline on the homepage, where the reader has already been told what Ascendus is and can absorb an idea rather than a definition.</w:t>
      </w:r>
    </w:p>
    <w:p>
      <w:pPr>
        <w:pStyle w:val="Heading2"/>
        <w:spacing w:after="140" w:before="280"/>
      </w:pPr>
      <w:r>
        <w:rPr>
          <w:rFonts w:ascii="Calibri" w:cs="Calibri" w:eastAsia="Calibri" w:hAnsi="Calibri"/>
          <w:b/>
          <w:bCs/>
          <w:color w:val="15243F"/>
          <w:sz w:val="24"/>
          <w:szCs w:val="24"/>
        </w:rPr>
        <w:t xml:space="preserve">6.3 Homepage H1 — REPLACE</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2246"/>
        <w:gridCol w:w="7114"/>
      </w:tblGrid>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Current live H1</w:t>
            </w:r>
          </w:p>
        </w:tc>
        <w:tc>
          <w:tcPr>
            <w:tcW w:type="dxa" w:w="711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technology that moves your business forward, not just your systems.</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Draft blueprint H1</w:t>
            </w:r>
          </w:p>
        </w:tc>
        <w:tc>
          <w:tcPr>
            <w:tcW w:type="dxa" w:w="711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Make enterprise technology work as one system.</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FINAL APPROVED H1</w:t>
            </w:r>
          </w:p>
        </w:tc>
        <w:tc>
          <w:tcPr>
            <w:tcW w:type="dxa" w:w="711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We design, build and run enterprise technology as one system.</w:t>
            </w:r>
          </w:p>
        </w:tc>
      </w:tr>
    </w:tbl>
    <w:p>
      <w:pPr>
        <w:spacing w:after="120" w:line="276"/>
      </w:pPr>
      <w:r>
        <w:rPr>
          <w:rFonts w:ascii="Calibri" w:cs="Calibri" w:eastAsia="Calibri" w:hAnsi="Calibri"/>
          <w:color w:val="222222"/>
          <w:sz w:val="20"/>
          <w:szCs w:val="20"/>
        </w:rPr>
        <w:t xml:space="preserve"/>
      </w:r>
    </w:p>
    <w:p>
      <w:pPr>
        <w:pStyle w:val="Heading3"/>
        <w:keepNext/>
        <w:keepLines/>
        <w:spacing w:after="100" w:before="200"/>
      </w:pPr>
      <w:r>
        <w:rPr>
          <w:rFonts w:ascii="Calibri" w:cs="Calibri" w:eastAsia="Calibri" w:hAnsi="Calibri"/>
          <w:b/>
          <w:bCs/>
          <w:color w:val="5B3FA8"/>
          <w:sz w:val="21"/>
          <w:szCs w:val="21"/>
        </w:rPr>
        <w:t xml:space="preserve">Rationale</w:t>
      </w:r>
    </w:p>
    <w:p>
      <w:pPr>
        <w:spacing w:after="120" w:line="276"/>
      </w:pPr>
      <w:r>
        <w:rPr>
          <w:rFonts w:ascii="Calibri" w:cs="Calibri" w:eastAsia="Calibri" w:hAnsi="Calibri"/>
          <w:color w:val="222222"/>
          <w:sz w:val="20"/>
          <w:szCs w:val="20"/>
        </w:rPr>
        <w:t xml:space="preserve">The live H1 is better than category-average — the "not just your systems" contrast does real work — but it is written as a benefit claim and never names what Ascendus does. The blueprint H1 is a promise, not a description: it contains no actor and no service category, so a buyer arriving cold and a language model summarising the page both have to guess. The final version keeps the blueprint's organizing idea ("as one system") and adds the two things it is missing: the actor, and the three commercial jobs Ascendus performs. Design, build and run also happens to be the exact span the positioning claims as the differentiator, so the H1 and the proposition finally say the same thing.</w:t>
      </w:r>
    </w:p>
    <w:p>
      <w:pPr>
        <w:pStyle w:val="Heading3"/>
        <w:keepNext/>
        <w:keepLines/>
        <w:spacing w:after="100" w:before="200"/>
      </w:pPr>
      <w:r>
        <w:rPr>
          <w:rFonts w:ascii="Calibri" w:cs="Calibri" w:eastAsia="Calibri" w:hAnsi="Calibri"/>
          <w:b/>
          <w:bCs/>
          <w:color w:val="5B3FA8"/>
          <w:sz w:val="21"/>
          <w:szCs w:val="21"/>
        </w:rPr>
        <w:t xml:space="preserve">SEO impact</w:t>
      </w:r>
    </w:p>
    <w:p>
      <w:pPr>
        <w:spacing w:after="120" w:line="276"/>
      </w:pPr>
      <w:r>
        <w:rPr>
          <w:rFonts w:ascii="Calibri" w:cs="Calibri" w:eastAsia="Calibri" w:hAnsi="Calibri"/>
          <w:color w:val="222222"/>
          <w:sz w:val="20"/>
          <w:szCs w:val="20"/>
        </w:rPr>
        <w:t xml:space="preserve">Introduces the head term "enterprise technology" in the H1 while remaining a natural sentence. Supports the homepage's assigned cluster (enterprise technology services company) without competing with any child page's intent.</w:t>
      </w:r>
    </w:p>
    <w:p>
      <w:pPr>
        <w:pStyle w:val="Heading3"/>
        <w:keepNext/>
        <w:keepLines/>
        <w:spacing w:after="100" w:before="200"/>
      </w:pPr>
      <w:r>
        <w:rPr>
          <w:rFonts w:ascii="Calibri" w:cs="Calibri" w:eastAsia="Calibri" w:hAnsi="Calibri"/>
          <w:b/>
          <w:bCs/>
          <w:color w:val="5B3FA8"/>
          <w:sz w:val="21"/>
          <w:szCs w:val="21"/>
        </w:rPr>
        <w:t xml:space="preserve">GEO impact</w:t>
      </w:r>
    </w:p>
    <w:p>
      <w:pPr>
        <w:spacing w:after="120" w:line="276"/>
      </w:pPr>
      <w:r>
        <w:rPr>
          <w:rFonts w:ascii="Calibri" w:cs="Calibri" w:eastAsia="Calibri" w:hAnsi="Calibri"/>
          <w:color w:val="222222"/>
          <w:sz w:val="20"/>
          <w:szCs w:val="20"/>
        </w:rPr>
        <w:t xml:space="preserve">Self-contained and extractable. A model reading only this line can state who acts, what they act on and across which lifecycle stages — the three attributes currently unresolvable anywhere on the site.</w:t>
      </w:r>
    </w:p>
    <w:p>
      <w:pPr>
        <w:pStyle w:val="Heading3"/>
        <w:keepNext/>
        <w:keepLines/>
        <w:spacing w:after="100" w:before="200"/>
      </w:pPr>
      <w:r>
        <w:rPr>
          <w:rFonts w:ascii="Calibri" w:cs="Calibri" w:eastAsia="Calibri" w:hAnsi="Calibri"/>
          <w:b/>
          <w:bCs/>
          <w:color w:val="5B3FA8"/>
          <w:sz w:val="21"/>
          <w:szCs w:val="21"/>
        </w:rPr>
        <w:t xml:space="preserve">Enterprise positioning impact</w:t>
      </w:r>
    </w:p>
    <w:p>
      <w:pPr>
        <w:spacing w:after="120" w:line="276"/>
      </w:pPr>
      <w:r>
        <w:rPr>
          <w:rFonts w:ascii="Calibri" w:cs="Calibri" w:eastAsia="Calibri" w:hAnsi="Calibri"/>
          <w:color w:val="222222"/>
          <w:sz w:val="20"/>
          <w:szCs w:val="20"/>
        </w:rPr>
        <w:t xml:space="preserve">Design-build-run in one sentence is the claim large integrators make and most mid-market vendors cannot. It is defensible for Ascendus because Managed Services is a real practice, and it is falsifiable — which is what makes it read as confidence rather than marketing.</w:t>
      </w:r>
    </w:p>
    <w:p>
      <w:pPr>
        <w:pStyle w:val="Heading2"/>
        <w:spacing w:after="140" w:before="280"/>
      </w:pPr>
      <w:r>
        <w:rPr>
          <w:rFonts w:ascii="Calibri" w:cs="Calibri" w:eastAsia="Calibri" w:hAnsi="Calibri"/>
          <w:b/>
          <w:bCs/>
          <w:color w:val="15243F"/>
          <w:sz w:val="24"/>
          <w:szCs w:val="24"/>
        </w:rPr>
        <w:t xml:space="preserve">6.4 Service architecture — KEEP the twelve, fix the naming</w:t>
      </w:r>
    </w:p>
    <w:p>
      <w:pPr>
        <w:spacing w:after="120" w:line="276"/>
      </w:pPr>
      <w:r>
        <w:rPr>
          <w:rFonts w:ascii="Calibri" w:cs="Calibri" w:eastAsia="Calibri" w:hAnsi="Calibri"/>
          <w:color w:val="222222"/>
          <w:sz w:val="20"/>
          <w:szCs w:val="20"/>
        </w:rPr>
        <w:t xml:space="preserve">The twelve capabilities do not need consolidating. Each has a distinct commercial job and, once the template collisions are corrected, each will read as a distinct page. Two naming changes are required: "Business Advisory" becomes "Transformation Advisory" so that navigation, page title, H1 and schema agree, and "enterprise-transformation-practice" loses the internal word "practice", which carries no buyer or search meaning. Above the twelve, the SAP and Microsoft clusters are added as platform hubs, which is where the commercial search demand actually sits.</w:t>
      </w:r>
    </w:p>
    <w:p>
      <w:pPr>
        <w:pStyle w:val="Heading1"/>
        <w:pageBreakBefore/>
        <w:spacing w:after="200" w:before="240"/>
      </w:pPr>
      <w:r>
        <w:rPr>
          <w:rFonts w:ascii="Calibri" w:cs="Calibri" w:eastAsia="Calibri" w:hAnsi="Calibri"/>
          <w:b/>
          <w:bCs/>
          <w:color w:val="15243F"/>
          <w:sz w:val="32"/>
          <w:szCs w:val="32"/>
        </w:rPr>
        <w:t xml:space="preserve">7. Final Messaging Architecture</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1591"/>
        <w:gridCol w:w="5148"/>
        <w:gridCol w:w="2621"/>
      </w:tblGrid>
      <w:tr>
        <w:trPr>
          <w:tblHeader/>
        </w:trPr>
        <w:tc>
          <w:tcPr>
            <w:tcW w:type="dxa" w:w="1591"/>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Level</w:t>
            </w:r>
          </w:p>
        </w:tc>
        <w:tc>
          <w:tcPr>
            <w:tcW w:type="dxa" w:w="5148"/>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Message</w:t>
            </w:r>
          </w:p>
        </w:tc>
        <w:tc>
          <w:tcPr>
            <w:tcW w:type="dxa" w:w="2621"/>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Where it appears</w:t>
            </w:r>
          </w:p>
        </w:tc>
      </w:tr>
      <w:tr>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1 — Corporate promise</w:t>
            </w:r>
          </w:p>
        </w:tc>
        <w:tc>
          <w:tcPr>
            <w:tcW w:type="dxa" w:w="514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Make enterprise technology work as one system.</w:t>
            </w:r>
          </w:p>
        </w:tc>
        <w:tc>
          <w:tcPr>
            <w:tcW w:type="dxa" w:w="262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 Section 2, About hero, closing CTA</w:t>
            </w:r>
          </w:p>
        </w:tc>
      </w:tr>
      <w:tr>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 — Business outcomes</w:t>
            </w:r>
          </w:p>
        </w:tc>
        <w:tc>
          <w:tcPr>
            <w:tcW w:type="dxa" w:w="514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Fewer disconnected decisions. Stronger process continuity. Lower accumulated technical debt. Faster controlled change. More reliable operations.</w:t>
            </w:r>
          </w:p>
        </w:tc>
        <w:tc>
          <w:tcPr>
            <w:tcW w:type="dxa" w:w="262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page outcome blocks</w:t>
            </w:r>
          </w:p>
        </w:tc>
      </w:tr>
      <w:tr>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 — Service capabilities</w:t>
            </w:r>
          </w:p>
        </w:tc>
        <w:tc>
          <w:tcPr>
            <w:tcW w:type="dxa" w:w="514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Twelve capabilities across transformation, SAP, cloud, data, AI, engineering, experience, automation, security, managed services and advisory.</w:t>
            </w:r>
          </w:p>
        </w:tc>
        <w:tc>
          <w:tcPr>
            <w:tcW w:type="dxa" w:w="262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Navigation, services index, homepage Section 3</w:t>
            </w:r>
          </w:p>
        </w:tc>
      </w:tr>
      <w:tr>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 — Technology capabilities</w:t>
            </w:r>
          </w:p>
        </w:tc>
        <w:tc>
          <w:tcPr>
            <w:tcW w:type="dxa" w:w="514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Microsoft, cloud platforms, integration, data platforms and engineering technologies — named only where capability is verified.</w:t>
            </w:r>
          </w:p>
        </w:tc>
        <w:tc>
          <w:tcPr>
            <w:tcW w:type="dxa" w:w="262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Platform pages, technical depth sections</w:t>
            </w:r>
          </w:p>
        </w:tc>
      </w:tr>
      <w:tr>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5 — Proof</w:t>
            </w:r>
          </w:p>
        </w:tc>
        <w:tc>
          <w:tcPr>
            <w:tcW w:type="dxa" w:w="514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 studies, client evidence, certified practitioners, partner status, locations and named leadership — published only from the proof registry.</w:t>
            </w:r>
          </w:p>
        </w:tc>
        <w:tc>
          <w:tcPr>
            <w:tcW w:type="dxa" w:w="262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Proof blocks, case studies, About</w:t>
            </w:r>
          </w:p>
        </w:tc>
      </w:tr>
    </w:tbl>
    <w:p>
      <w:pPr>
        <w:spacing w:after="120" w:line="276"/>
      </w:pPr>
      <w:r>
        <w:rPr>
          <w:rFonts w:ascii="Calibri" w:cs="Calibri" w:eastAsia="Calibri" w:hAnsi="Calibri"/>
          <w:color w:val="222222"/>
          <w:sz w:val="20"/>
          <w:szCs w:val="20"/>
        </w:rPr>
        <w:t xml:space="preserve"/>
      </w:r>
    </w:p>
    <w:p>
      <w:pPr>
        <w:spacing w:after="120" w:line="276"/>
      </w:pPr>
      <w:r>
        <w:rPr>
          <w:rFonts w:ascii="Calibri" w:cs="Calibri" w:eastAsia="Calibri" w:hAnsi="Calibri"/>
          <w:color w:val="222222"/>
          <w:sz w:val="20"/>
          <w:szCs w:val="20"/>
        </w:rPr>
        <w:t xml:space="preserve">The discipline that makes this hierarchy work is the one the site currently breaks: Level 5 never publishes ahead of Level 5 evidence. A zero-valued counter is a Level 5 claim made without a Level 5 source, and it costs more credibility than the empty space would have.</w:t>
      </w:r>
    </w:p>
    <w:p>
      <w:pPr>
        <w:pStyle w:val="Heading1"/>
        <w:pageBreakBefore/>
        <w:spacing w:after="200" w:before="240"/>
      </w:pPr>
      <w:r>
        <w:rPr>
          <w:rFonts w:ascii="Calibri" w:cs="Calibri" w:eastAsia="Calibri" w:hAnsi="Calibri"/>
          <w:b/>
          <w:bCs/>
          <w:color w:val="15243F"/>
          <w:sz w:val="32"/>
          <w:szCs w:val="32"/>
        </w:rPr>
        <w:t xml:space="preserve">8. Final Information Architecture</w:t>
      </w:r>
    </w:p>
    <w:p>
      <w:pPr>
        <w:pStyle w:val="Heading2"/>
        <w:spacing w:after="140" w:before="280"/>
      </w:pPr>
      <w:r>
        <w:rPr>
          <w:rFonts w:ascii="Calibri" w:cs="Calibri" w:eastAsia="Calibri" w:hAnsi="Calibri"/>
          <w:b/>
          <w:bCs/>
          <w:color w:val="15243F"/>
          <w:sz w:val="24"/>
          <w:szCs w:val="24"/>
        </w:rPr>
        <w:t xml:space="preserve">8.1 Top-level navigation</w:t>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APPROVED NAVIGATION</w:t>
            </w:r>
          </w:p>
          <w:p>
            <w:pPr>
              <w:spacing w:after="0" w:line="270"/>
            </w:pPr>
            <w:r>
              <w:rPr>
                <w:rFonts w:ascii="Calibri" w:cs="Calibri" w:eastAsia="Calibri" w:hAnsi="Calibri"/>
                <w:color w:val="222222"/>
                <w:sz w:val="19"/>
                <w:szCs w:val="19"/>
              </w:rPr>
              <w:t xml:space="preserve">What We Do   |   Industries   |   Client Outcomes   |   Insights   |   About   |   Careers   |   Contact   |   Book a Consultation</w:t>
            </w:r>
          </w:p>
        </w:tc>
      </w:tr>
    </w:tbl>
    <w:p>
      <w:pPr>
        <w:spacing w:after="120" w:line="276"/>
      </w:pPr>
      <w:r>
        <w:rPr>
          <w:rFonts w:ascii="Calibri" w:cs="Calibri" w:eastAsia="Calibri" w:hAnsi="Calibri"/>
          <w:color w:val="222222"/>
          <w:sz w:val="20"/>
          <w:szCs w:val="20"/>
        </w:rPr>
        <w:t xml:space="preserve">The live navigation contains four items and omits Industries, Client Outcomes and Insights entirely. Case studies, the blog and whitepapers are reachable only from the footer, which leaves the entire proof and authority layer of the site functionally orphaned. Footer-only links pass minimal internal signal and are rarely used by evaluators, who navigate from the header.</w:t>
      </w:r>
    </w:p>
    <w:p>
      <w:pPr>
        <w:pStyle w:val="Heading2"/>
        <w:spacing w:after="140" w:before="280"/>
      </w:pPr>
      <w:r>
        <w:rPr>
          <w:rFonts w:ascii="Calibri" w:cs="Calibri" w:eastAsia="Calibri" w:hAnsi="Calibri"/>
          <w:b/>
          <w:bCs/>
          <w:color w:val="15243F"/>
          <w:sz w:val="24"/>
          <w:szCs w:val="24"/>
        </w:rPr>
        <w:t xml:space="preserve">8.2 Complete URL inventory — current state</w:t>
      </w:r>
    </w:p>
    <w:p>
      <w:pPr>
        <w:spacing w:after="120" w:line="276"/>
      </w:pPr>
      <w:r>
        <w:rPr>
          <w:rFonts w:ascii="Calibri" w:cs="Calibri" w:eastAsia="Calibri" w:hAnsi="Calibri"/>
          <w:color w:val="222222"/>
          <w:sz w:val="20"/>
          <w:szCs w:val="20"/>
        </w:rPr>
        <w:t xml:space="preserve">Twenty-six routes. Twenty-four confirmed live, two unverified. This inventory corrects three URL errors in the draft blueprint's page-level table which, if used to build a redirect map, would have produced 404s on launch.</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2527"/>
        <w:gridCol w:w="1685"/>
        <w:gridCol w:w="1123"/>
        <w:gridCol w:w="936"/>
        <w:gridCol w:w="3089"/>
      </w:tblGrid>
      <w:tr>
        <w:trPr>
          <w:tblHeader/>
        </w:trPr>
        <w:tc>
          <w:tcPr>
            <w:tcW w:type="dxa" w:w="2527"/>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Current URL</w:t>
            </w:r>
          </w:p>
        </w:tc>
        <w:tc>
          <w:tcPr>
            <w:tcW w:type="dxa" w:w="168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Page</w:t>
            </w:r>
          </w:p>
        </w:tc>
        <w:tc>
          <w:tcPr>
            <w:tcW w:type="dxa" w:w="1123"/>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State</w:t>
            </w:r>
          </w:p>
        </w:tc>
        <w:tc>
          <w:tcPr>
            <w:tcW w:type="dxa" w:w="936"/>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Index</w:t>
            </w:r>
          </w:p>
        </w:tc>
        <w:tc>
          <w:tcPr>
            <w:tcW w:type="dxa" w:w="3089"/>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Action</w:t>
            </w:r>
          </w:p>
        </w:tc>
      </w:tr>
      <w:tr>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Retain — rewrite hero support copy, remove placeholder metrics</w:t>
            </w:r>
          </w:p>
        </w:tc>
      </w:tr>
      <w:tr>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/whatWeDo/enterprise-transformation-practice</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Transformation</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Migrate to /services/enterprise-transformation/</w:t>
            </w:r>
          </w:p>
        </w:tc>
      </w:tr>
      <w:tr>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/whatWeDo/artificial-intelligence</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Artificial Intelligence</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Migrate; remove placeholder metrics; fill empty H2s</w:t>
            </w:r>
          </w:p>
        </w:tc>
      </w:tr>
      <w:tr>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/whatWeDo/cloud-infrastructure</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Cloud &amp; Infrastructure</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Migrate; deduplicate card sets</w:t>
            </w:r>
          </w:p>
        </w:tc>
      </w:tr>
      <w:tr>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/whatWeDo/data-intelligence</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Data &amp; Intelligence</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Migrate; make trust/semantics led</w:t>
            </w:r>
          </w:p>
        </w:tc>
      </w:tr>
      <w:tr>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/whatWeDo/digital-engineering</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Digital Engineering</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Migrate; modernization-led positioning</w:t>
            </w:r>
          </w:p>
        </w:tc>
      </w:tr>
      <w:tr>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/whatWeDo/customer-experience</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Customer Experience</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P0 copy defect — cybersecurity text under CRM Strategy</w:t>
            </w:r>
          </w:p>
        </w:tc>
      </w:tr>
      <w:tr>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/whatWeDo/experience-design</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Experience Design</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Migrate; fill empty headings</w:t>
            </w:r>
          </w:p>
        </w:tc>
      </w:tr>
      <w:tr>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/whatWeDo/intelligent-automation</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Intelligent Automation</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Migrate; correct RPA / process-mining definitions</w:t>
            </w:r>
          </w:p>
        </w:tc>
      </w:tr>
      <w:tr>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/whatWeDo/cybersecurity-digital-trust</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Cybersecurity &amp; Digital Trust</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P0 rewrite</w:t>
            </w:r>
          </w:p>
        </w:tc>
      </w:tr>
      <w:tr>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/whatWeDo/managed-services</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Managed Services</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Migrate; deepen SLA and governance content</w:t>
            </w:r>
          </w:p>
        </w:tc>
      </w:tr>
      <w:tr>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/whatWeDo/business-advisory</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Business Advisory</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Rename Transformation Advisory + 301</w:t>
            </w:r>
          </w:p>
        </w:tc>
      </w:tr>
      <w:tr>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/whatWeDo/innovation-emerging-technologies</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Innovation &amp; Emerging Technologies</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Migrate; remove unsupported novelty claims</w:t>
            </w:r>
          </w:p>
        </w:tc>
      </w:tr>
      <w:tr>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/who-we-are</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Who We Are</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Rewrite around verified corporate facts</w:t>
            </w:r>
          </w:p>
        </w:tc>
      </w:tr>
      <w:tr>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/contact-us</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Migrate to /contact/; route by buying intent</w:t>
            </w:r>
          </w:p>
        </w:tc>
      </w:tr>
      <w:tr>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/careers</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Careers</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Retain; verify roles, entity and work locations</w:t>
            </w:r>
          </w:p>
        </w:tc>
      </w:tr>
      <w:tr>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/bookacall</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Book a Call</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Migrate to /book-a-consultation/</w:t>
            </w:r>
          </w:p>
        </w:tc>
      </w:tr>
      <w:tr>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/case-studies</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 Studies</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Retain; add detail routes; verify every metric</w:t>
            </w:r>
          </w:p>
        </w:tc>
      </w:tr>
      <w:tr>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/blog</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Blog</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 (footer only)</w:t>
            </w:r>
          </w:p>
        </w:tc>
        <w:tc>
          <w:tcPr>
            <w:tcW w:type="dxa" w:w="93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Rename Insights; add real author entities</w:t>
            </w:r>
          </w:p>
        </w:tc>
      </w:tr>
      <w:tr>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/whitepapers</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Whitepapers</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 (footer only)</w:t>
            </w:r>
          </w:p>
        </w:tc>
        <w:tc>
          <w:tcPr>
            <w:tcW w:type="dxa" w:w="93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Noindex and remove from footer until assets exist</w:t>
            </w:r>
          </w:p>
        </w:tc>
      </w:tr>
      <w:tr>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/termsOfService</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Terms &amp; Conditions</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Retain; align entity name with legal entity</w:t>
            </w:r>
          </w:p>
        </w:tc>
      </w:tr>
      <w:tr>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/privacyPolicy</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Privacy Policy</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Retain; legal review before launch</w:t>
            </w:r>
          </w:p>
        </w:tc>
      </w:tr>
      <w:tr>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/securityPrivacyPolicy</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Security Policy</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Retain; remove any unverifiable control claims</w:t>
            </w:r>
          </w:p>
        </w:tc>
      </w:tr>
      <w:tr>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/cookiePolicy</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Cookie Policy</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w:t>
            </w:r>
          </w:p>
        </w:tc>
        <w:tc>
          <w:tcPr>
            <w:tcW w:type="dxa" w:w="93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Retain; must match actual cookie/consent behaviour</w:t>
            </w:r>
          </w:p>
        </w:tc>
      </w:tr>
      <w:tr>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/robots.txt</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Robots directives</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NOT VERIFIED</w:t>
            </w:r>
          </w:p>
        </w:tc>
        <w:tc>
          <w:tcPr>
            <w:tcW w:type="dxa" w:w="93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Unknown</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Dev to confirm before launch — see Appendix B</w:t>
            </w:r>
          </w:p>
        </w:tc>
      </w:tr>
      <w:tr>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/sitemap.xml</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XML sitemap</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NOT VERIFIED</w:t>
            </w:r>
          </w:p>
        </w:tc>
        <w:tc>
          <w:tcPr>
            <w:tcW w:type="dxa" w:w="93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Unknown</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Dev to confirm before launch — see Appendix B</w:t>
            </w:r>
          </w:p>
        </w:tc>
      </w:tr>
    </w:tbl>
    <w:p>
      <w:pPr>
        <w:pStyle w:val="Heading2"/>
        <w:spacing w:after="140" w:before="280"/>
      </w:pPr>
      <w:r>
        <w:rPr>
          <w:rFonts w:ascii="Calibri" w:cs="Calibri" w:eastAsia="Calibri" w:hAnsi="Calibri"/>
          <w:b/>
          <w:bCs/>
          <w:color w:val="15243F"/>
          <w:sz w:val="24"/>
          <w:szCs w:val="24"/>
        </w:rPr>
        <w:t xml:space="preserve">8.3 Final sitemap</w:t>
      </w:r>
    </w:p>
    <w:p>
      <w:pPr>
        <w:spacing w:after="120" w:line="276"/>
      </w:pPr>
      <w:r>
        <w:rPr>
          <w:rFonts w:ascii="Calibri" w:cs="Calibri" w:eastAsia="Calibri" w:hAnsi="Calibri"/>
          <w:color w:val="222222"/>
          <w:sz w:val="20"/>
          <w:szCs w:val="20"/>
        </w:rPr>
        <w:t xml:space="preserve">Level 0 — Corporate: /, /who-we-are/, /careers/, /contact/, /book-a-consultation/, /legal/*</w:t>
      </w:r>
    </w:p>
    <w:p>
      <w:pPr>
        <w:spacing w:after="120" w:line="276"/>
      </w:pPr>
      <w:r>
        <w:rPr>
          <w:rFonts w:ascii="Calibri" w:cs="Calibri" w:eastAsia="Calibri" w:hAnsi="Calibri"/>
          <w:color w:val="222222"/>
          <w:sz w:val="20"/>
          <w:szCs w:val="20"/>
        </w:rPr>
        <w:t xml:space="preserve">Level 1 — Capability: /services/ and the twelve capability pages</w:t>
      </w:r>
    </w:p>
    <w:p>
      <w:pPr>
        <w:spacing w:after="120" w:line="276"/>
      </w:pPr>
      <w:r>
        <w:rPr>
          <w:rFonts w:ascii="Calibri" w:cs="Calibri" w:eastAsia="Calibri" w:hAnsi="Calibri"/>
          <w:color w:val="222222"/>
          <w:sz w:val="20"/>
          <w:szCs w:val="20"/>
        </w:rPr>
        <w:t xml:space="preserve">Level 2 — Platform hubs: /services/sap/, /services/microsoft/</w:t>
      </w:r>
    </w:p>
    <w:p>
      <w:pPr>
        <w:spacing w:after="120" w:line="276"/>
      </w:pPr>
      <w:r>
        <w:rPr>
          <w:rFonts w:ascii="Calibri" w:cs="Calibri" w:eastAsia="Calibri" w:hAnsi="Calibri"/>
          <w:color w:val="222222"/>
          <w:sz w:val="20"/>
          <w:szCs w:val="20"/>
        </w:rPr>
        <w:t xml:space="preserve">Level 3 — Platform children: six SAP pages, four Microsoft pages</w:t>
      </w:r>
    </w:p>
    <w:p>
      <w:pPr>
        <w:spacing w:after="120" w:line="276"/>
      </w:pPr>
      <w:r>
        <w:rPr>
          <w:rFonts w:ascii="Calibri" w:cs="Calibri" w:eastAsia="Calibri" w:hAnsi="Calibri"/>
          <w:color w:val="222222"/>
          <w:sz w:val="20"/>
          <w:szCs w:val="20"/>
        </w:rPr>
        <w:t xml:space="preserve">Level 1 — Industries: /industries/ and four industry pages</w:t>
      </w:r>
    </w:p>
    <w:p>
      <w:pPr>
        <w:spacing w:after="120" w:line="276"/>
      </w:pPr>
      <w:r>
        <w:rPr>
          <w:rFonts w:ascii="Calibri" w:cs="Calibri" w:eastAsia="Calibri" w:hAnsi="Calibri"/>
          <w:color w:val="222222"/>
          <w:sz w:val="20"/>
          <w:szCs w:val="20"/>
        </w:rPr>
        <w:t xml:space="preserve">Level 1 — Proof and authority: /case-studies/ and detail routes, /insights/ and article and author routes</w:t>
      </w:r>
    </w:p>
    <w:p>
      <w:pPr>
        <w:pStyle w:val="Heading1"/>
        <w:pageBreakBefore/>
        <w:spacing w:after="200" w:before="240"/>
      </w:pPr>
      <w:r>
        <w:rPr>
          <w:rFonts w:ascii="Calibri" w:cs="Calibri" w:eastAsia="Calibri" w:hAnsi="Calibri"/>
          <w:b/>
          <w:bCs/>
          <w:color w:val="15243F"/>
          <w:sz w:val="32"/>
          <w:szCs w:val="32"/>
        </w:rPr>
        <w:t xml:space="preserve">9. URL Migration Plan</w:t>
      </w:r>
    </w:p>
    <w:p>
      <w:pPr>
        <w:spacing w:after="120" w:line="276"/>
      </w:pPr>
      <w:r>
        <w:rPr>
          <w:rFonts w:ascii="Calibri" w:cs="Calibri" w:eastAsia="Calibri" w:hAnsi="Calibri"/>
          <w:color w:val="222222"/>
          <w:sz w:val="20"/>
          <w:szCs w:val="20"/>
        </w:rPr>
        <w:t xml:space="preserve">Every legacy URL receives exactly one 301 to its final destination. No chains, no soft redirects, no internal links left pointing at a redirecting URL. Sitemap is regenerated from the final URL set only. Full matrix at Appendix C.</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3182"/>
        <w:gridCol w:w="3182"/>
        <w:gridCol w:w="2995"/>
      </w:tblGrid>
      <w:tr>
        <w:trPr>
          <w:tblHeader/>
        </w:trPr>
        <w:tc>
          <w:tcPr>
            <w:tcW w:type="dxa" w:w="318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Current URL</w:t>
            </w:r>
          </w:p>
        </w:tc>
        <w:tc>
          <w:tcPr>
            <w:tcW w:type="dxa" w:w="318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Final URL</w:t>
            </w:r>
          </w:p>
        </w:tc>
        <w:tc>
          <w:tcPr>
            <w:tcW w:type="dxa" w:w="299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Action</w:t>
            </w:r>
          </w:p>
        </w:tc>
      </w:tr>
      <w:tr>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/whatWeDo/enterprise-transformation-practice</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/services/enterprise-transformation/</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/whatWeDo/artificial-intelligence</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/services/artificial-intelligence/</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/whatWeDo/cloud-infrastructure</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/services/cloud-infrastructure/</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/whatWeDo/data-intelligence</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/services/data-intelligence/</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/whatWeDo/digital-engineering</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/services/digital-engineering/</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/whatWeDo/customer-experience</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/services/customer-experience/</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/whatWeDo/experience-design</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/services/experience-design/</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/whatWeDo/intelligent-automation</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/services/intelligent-automation/</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/whatWeDo/cybersecurity-digital-trust</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/services/cybersecurity-digital-trust/</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/whatWeDo/managed-services</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/services/managed-services/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/whatWeDo/business-advisory</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/services/transformation-advisory/</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 — includes the service rename</w:t>
            </w:r>
          </w:p>
        </w:tc>
      </w:tr>
      <w:tr>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/whatWeDo/innovation-emerging-technologies</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/services/innovation/</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/contact-us</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/bookacall</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/book-a-consultation/</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/who-we-are</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/who-we-are/</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 — trailing-slash normalisation</w:t>
            </w:r>
          </w:p>
        </w:tc>
      </w:tr>
      <w:tr>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/blog</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 — includes the section rename</w:t>
            </w:r>
          </w:p>
        </w:tc>
      </w:tr>
      <w:tr>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/whitepapers</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Noindex and unlink now. Retain the route; do not redirect. Publish when the first three assets exist.</w:t>
            </w:r>
          </w:p>
        </w:tc>
      </w:tr>
      <w:tr>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/termsOfService</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/legal/terms/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 — camelCase legal routes normalised</w:t>
            </w:r>
          </w:p>
        </w:tc>
      </w:tr>
      <w:tr>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/privacyPolicy</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/legal/privacy/</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/securityPrivacyPolicy</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/legal/security/</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/cookiePolicy</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/legal/cookies/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r>
      <w:tr>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(if resolvable)</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Parent service page</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 + noindex. Developer to confirm whether these routes still exist — see Section 5, blueprint verdict on §2.2.</w:t>
            </w:r>
          </w:p>
        </w:tc>
      </w:tr>
    </w:tbl>
    <w:p>
      <w:pPr>
        <w:spacing w:after="120" w:line="276"/>
      </w:pPr>
      <w:r>
        <w:rPr>
          <w:rFonts w:ascii="Calibri" w:cs="Calibri" w:eastAsia="Calibri" w:hAnsi="Calibri"/>
          <w:color w:val="222222"/>
          <w:sz w:val="20"/>
          <w:szCs w:val="20"/>
        </w:rPr>
        <w:t xml:space="preserve"/>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SEQUENCING NOTE</w:t>
            </w:r>
          </w:p>
          <w:p>
            <w:pPr>
              <w:spacing w:after="0" w:line="270"/>
            </w:pPr>
            <w:r>
              <w:rPr>
                <w:rFonts w:ascii="Calibri" w:cs="Calibri" w:eastAsia="Calibri" w:hAnsi="Calibri"/>
                <w:color w:val="222222"/>
                <w:sz w:val="19"/>
                <w:szCs w:val="19"/>
              </w:rPr>
              <w:t xml:space="preserve">Do not migrate URLs before the canonical configuration is fixed (C-001). Migrating first means issuing redirects to pages that still canonicalise elsewhere, which wastes the redirect and delays reindexation. Order is: canonical and metadata, then migration, then internal link rewrite, then sitemap regeneration, then submission.</w:t>
            </w:r>
          </w:p>
        </w:tc>
      </w:tr>
    </w:tbl>
    <w:p>
      <w:pPr>
        <w:pStyle w:val="Heading1"/>
        <w:pageBreakBefore/>
        <w:spacing w:after="200" w:before="240"/>
      </w:pPr>
      <w:r>
        <w:rPr>
          <w:rFonts w:ascii="Calibri" w:cs="Calibri" w:eastAsia="Calibri" w:hAnsi="Calibri"/>
          <w:b/>
          <w:bCs/>
          <w:color w:val="15243F"/>
          <w:sz w:val="32"/>
          <w:szCs w:val="32"/>
        </w:rPr>
        <w:t xml:space="preserve">10. Metadata FROM → TO</w:t>
      </w:r>
    </w:p>
    <w:p>
      <w:pPr>
        <w:spacing w:after="120" w:line="276"/>
      </w:pPr>
      <w:r>
        <w:rPr>
          <w:rFonts w:ascii="Calibri" w:cs="Calibri" w:eastAsia="Calibri" w:hAnsi="Calibri"/>
          <w:color w:val="222222"/>
          <w:sz w:val="20"/>
          <w:szCs w:val="20"/>
        </w:rPr>
        <w:t xml:space="preserve">Current state, applying to every URL on the site without exception: title "Ascendus | Enterprise SAP &amp; IT Consulting GCC"; description "Ascendus provides premium SAP consulting, IT managed services, and digital transformation solutions for enterprises in the UAE, Saudi Arabia, and the wider GCC region."; canonical https://www.ascendus.com; og:url https://www.ascendus.com; og:image https://www.ascendus.com/og-image.png.</w:t>
      </w:r>
    </w:p>
    <w:p>
      <w:pPr>
        <w:spacing w:after="120" w:line="276"/>
      </w:pPr>
      <w:r>
        <w:rPr>
          <w:rFonts w:ascii="Calibri" w:cs="Calibri" w:eastAsia="Calibri" w:hAnsi="Calibri"/>
          <w:color w:val="222222"/>
          <w:sz w:val="20"/>
          <w:szCs w:val="20"/>
        </w:rPr>
        <w:t xml:space="preserve">Final state below. Canonical is self-referencing and absolute on the production hostname in every case. Open Graph title and description mirror the page title and meta description; og:url mirrors the canonical; og:image is a per-page or per-section image on the production host.</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1778"/>
        <w:gridCol w:w="1872"/>
        <w:gridCol w:w="2995"/>
        <w:gridCol w:w="1217"/>
        <w:gridCol w:w="1498"/>
      </w:tblGrid>
      <w:tr>
        <w:trPr>
          <w:tblHeader/>
        </w:trPr>
        <w:tc>
          <w:tcPr>
            <w:tcW w:type="dxa" w:w="1778"/>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Final URL</w:t>
            </w:r>
          </w:p>
        </w:tc>
        <w:tc>
          <w:tcPr>
            <w:tcW w:type="dxa" w:w="187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Final title</w:t>
            </w:r>
          </w:p>
        </w:tc>
        <w:tc>
          <w:tcPr>
            <w:tcW w:type="dxa" w:w="299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Final meta description</w:t>
            </w:r>
          </w:p>
        </w:tc>
        <w:tc>
          <w:tcPr>
            <w:tcW w:type="dxa" w:w="1217"/>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Final H1</w:t>
            </w:r>
          </w:p>
        </w:tc>
        <w:tc>
          <w:tcPr>
            <w:tcW w:type="dxa" w:w="1498"/>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Schema</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Ascendus | Enterprise Technology, SAP and Managed Services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Ascendus designs, builds and runs enterprise technology — SAP, cloud, data, AI, engineering, security and managed operations — with one accountable team from architecture to production support.</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We design, build and run enterprise technology as one system.</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Organization, WebSite</w:t>
            </w:r>
          </w:p>
        </w:tc>
      </w:tr>
      <w:tr>
        <w:tc>
          <w:tcPr>
            <w:tcW w:type="dxa" w:w="177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Technology Services | Ascendus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Twelve enterprise technology capabilities spanning transformation, SAP, cloud, data, AI, engineering, experience, automation, security and managed operations.</w:t>
            </w:r>
          </w:p>
        </w:tc>
        <w:tc>
          <w:tcPr>
            <w:tcW w:type="dxa" w:w="121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technology services</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CollectionPage, BreadcrumbList</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/services/enterprise-transformation/</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Transformation Services | Ascendus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Transformation programs that keep architecture, process and integration decisions aligned across every workstream — from target-state design through implementation.</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transformation, delivered as one program</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177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Consulting and Implementation Services | Ascendus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advisory, implementation, integration and application management for enterprises modernizing the digital core without losing operational continuity.</w:t>
            </w:r>
          </w:p>
        </w:tc>
        <w:tc>
          <w:tcPr>
            <w:tcW w:type="dxa" w:w="121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services for the enterprise digital core</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/services/sap/s4hana/</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S/4HANA Implementation and Migration | Ascendus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S/4HANA implementation, conversion and migration — scoped around process design, data readiness and custom-code reduction rather than a fixed template.</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S/4HANA implementation and migration</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177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/services/sap/ams/</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Application Management Services (AMS) | Ascendus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AMS covering incident and problem management, release support, monitoring and continuous improvement under defined service levels.</w:t>
            </w:r>
          </w:p>
        </w:tc>
        <w:tc>
          <w:tcPr>
            <w:tcW w:type="dxa" w:w="121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application management services</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/services/sap/rise-with-sap/</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RISE with SAP Implementation Partner | Ascendus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RISE with SAP evaluation, migration planning and delivery, including what the model does and does not transfer to SAP.</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RISE with SAP</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177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/services/sap/grow-with-sap/</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GROW with SAP Implementation | Ascendus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GROW with SAP delivery for organisations adopting public-cloud ERP with standardised process scope.</w:t>
            </w:r>
          </w:p>
        </w:tc>
        <w:tc>
          <w:tcPr>
            <w:tcW w:type="dxa" w:w="121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GROW with SAP</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/services/sap/btp/</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BTP Development and Integration | Ascendus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Business Technology Platform extension development, integration and governance — keeping the core clean while meeting business-specific requirements.</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BTP extension and integration</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177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/services/sap/successfactors/</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SuccessFactors Implementation | Ascendus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SuccessFactors implementation and support across core HR and talent modules, including integration with the SAP digital core.</w:t>
            </w:r>
          </w:p>
        </w:tc>
        <w:tc>
          <w:tcPr>
            <w:tcW w:type="dxa" w:w="121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SuccessFactors</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/services/artificial-intelligence/</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AI Consulting and Implementation | Ascendus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Applied AI taken from pilot to production — use-case selection, data readiness, integration architecture, governance and operations.</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AI, from pilot to production</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177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/services/cloud-infrastructure/</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Cloud Infrastructure and Modernization Services | Ascendus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Cloud migration, workload modernization and the operating model, monitoring and resilience practices that keep platforms running afterwards.</w:t>
            </w:r>
          </w:p>
        </w:tc>
        <w:tc>
          <w:tcPr>
            <w:tcW w:type="dxa" w:w="121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Cloud infrastructure and modernization</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/services/data-intelligence/</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Data Engineering and Analytics | Ascendus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Governed data foundations, semantic consistency and analytics that give business and AI workloads access to trusted operational information.</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Trusted enterprise data foundations</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177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/services/digital-engineering/</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Application Modernization and Digital Engineering | Ascendus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Modernizing and building enterprise applications, APIs and integration layers where legacy architecture has become the constraint.</w:t>
            </w:r>
          </w:p>
        </w:tc>
        <w:tc>
          <w:tcPr>
            <w:tcW w:type="dxa" w:w="121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Digital engineering and application modernization</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/services/customer-experience/</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CRM and Customer Experience Technology | Ascendus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CRM architecture, Salesforce delivery and omnichannel journeys designed so customer context survives every handoff.</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Customer experience technology</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177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/services/experience-design/</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Experience Design | Ascendus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Interface and service design for enterprise systems, including design systems that keep complex applications consistent as they grow.</w:t>
            </w:r>
          </w:p>
        </w:tc>
        <w:tc>
          <w:tcPr>
            <w:tcW w:type="dxa" w:w="121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experience design</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/services/intelligent-automation/</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Intelligent Process Automation Services | Ascendus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Process discovery, RPA and workflow automation applied after the process itself has been corrected rather than before.</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Intelligent process automation</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177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/services/cybersecurity-digital-trust/</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Cybersecurity and Digital Trust | Ascendus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Identity, access, governance and security architecture embedded into the systems the business runs on, not added around them.</w:t>
            </w:r>
          </w:p>
        </w:tc>
        <w:tc>
          <w:tcPr>
            <w:tcW w:type="dxa" w:w="121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Cybersecurity and digital trust</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/services/managed-services/</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Application Managed Services | Ascendus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Managed operations covering incident and problem management, release support, service reporting and systematic root-cause elimination.</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Application managed services</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177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/services/transformation-advisory/</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Technology Strategy and Transformation Advisory | Ascendus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Target-state architecture, roadmap and business-case work produced in a form delivery teams can actually execute.</w:t>
            </w:r>
          </w:p>
        </w:tc>
        <w:tc>
          <w:tcPr>
            <w:tcW w:type="dxa" w:w="121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Transformation advisory</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/services/microsoft/</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Microsoft Consulting and Implementation Services | Ascendus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Azure, Microsoft 365, Dynamics 365 and Power Platform delivery for enterprises standardising on the Microsoft stack.</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Microsoft services</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177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/case-studies/</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Client Outcomes and Case Studies | Ascendus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Documented delivery evidence from enterprise technology programs, published with the client's approval and a stated measurement basis.</w:t>
            </w:r>
          </w:p>
        </w:tc>
        <w:tc>
          <w:tcPr>
            <w:tcW w:type="dxa" w:w="121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Client outcomes</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CollectionPage, BreadcrumbList</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 | Ascendus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Practitioner analysis of enterprise technology decisions — SAP modernization, cloud operating models, data foundations and applied AI.</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Blog, BreadcrumbList</w:t>
            </w:r>
          </w:p>
        </w:tc>
      </w:tr>
      <w:tr>
        <w:tc>
          <w:tcPr>
            <w:tcW w:type="dxa" w:w="177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/who-we-are/</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About Ascendus | Enterprise Technology Services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Who Ascendus is, how we are structured, where we deliver from, and what a client can independently verify before engaging us.</w:t>
            </w:r>
          </w:p>
        </w:tc>
        <w:tc>
          <w:tcPr>
            <w:tcW w:type="dxa" w:w="121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About Ascendus</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AboutPage, Organization, BreadcrumbList</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/careers/</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Careers at Ascendus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Engineering, SAP, cloud, data and delivery roles at Ascendus, with the employing entity and work location stated on every posting.</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Careers</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JobPosting, BreadcrumbList</w:t>
            </w:r>
          </w:p>
        </w:tc>
      </w:tr>
      <w:tr>
        <w:tc>
          <w:tcPr>
            <w:tcW w:type="dxa" w:w="177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 Ascendus</w:t>
            </w:r>
          </w:p>
        </w:tc>
        <w:tc>
          <w:tcPr>
            <w:tcW w:type="dxa" w:w="299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Route your enquiry to the right team — new engagements, existing clients, partnerships, careers or media — with a stated response time.</w:t>
            </w:r>
          </w:p>
        </w:tc>
        <w:tc>
          <w:tcPr>
            <w:tcW w:type="dxa" w:w="121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 Ascendus</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ContactPage, ContactPoint</w:t>
            </w:r>
          </w:p>
        </w:tc>
      </w:tr>
      <w:tr>
        <w:tc>
          <w:tcPr>
            <w:tcW w:type="dxa" w:w="177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/book-a-consultation/</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Book a Consultation | Ascendus</w:t>
            </w:r>
          </w:p>
        </w:tc>
        <w:tc>
          <w:tcPr>
            <w:tcW w:type="dxa" w:w="299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Book a working session with an architect or practice lead. Choose the consultation type and tell us what your estate looks like now.</w:t>
            </w:r>
          </w:p>
        </w:tc>
        <w:tc>
          <w:tcPr>
            <w:tcW w:type="dxa" w:w="121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Book a consultation</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ContactPage</w:t>
            </w:r>
          </w:p>
        </w:tc>
      </w:tr>
    </w:tbl>
    <w:p>
      <w:pPr>
        <w:pStyle w:val="Heading1"/>
        <w:pageBreakBefore/>
        <w:spacing w:after="200" w:before="240"/>
      </w:pPr>
      <w:r>
        <w:rPr>
          <w:rFonts w:ascii="Calibri" w:cs="Calibri" w:eastAsia="Calibri" w:hAnsi="Calibri"/>
          <w:b/>
          <w:bCs/>
          <w:color w:val="15243F"/>
          <w:sz w:val="32"/>
          <w:szCs w:val="32"/>
        </w:rPr>
        <w:t xml:space="preserve">11. SEO Validation</w:t>
      </w:r>
    </w:p>
    <w:p>
      <w:pPr>
        <w:pStyle w:val="Heading2"/>
        <w:spacing w:after="140" w:before="280"/>
      </w:pPr>
      <w:r>
        <w:rPr>
          <w:rFonts w:ascii="Calibri" w:cs="Calibri" w:eastAsia="Calibri" w:hAnsi="Calibri"/>
          <w:b/>
          <w:bCs/>
          <w:color w:val="15243F"/>
          <w:sz w:val="24"/>
          <w:szCs w:val="24"/>
        </w:rPr>
        <w:t xml:space="preserve">11.1 What is broken</w:t>
      </w:r>
    </w:p>
    <w:p>
      <w:pPr>
        <w:pStyle w:val="ListParagraph"/>
        <w:numPr>
          <w:ilvl w:val="0"/>
          <w:numId w:val="2"/>
        </w:numPr>
        <w:spacing w:after="80" w:line="276"/>
      </w:pPr>
      <w:r>
        <w:rPr>
          <w:rFonts w:ascii="Calibri" w:cs="Calibri" w:eastAsia="Calibri" w:hAnsi="Calibri"/>
          <w:color w:val="222222"/>
          <w:sz w:val="20"/>
          <w:szCs w:val="20"/>
        </w:rPr>
        <w:t xml:space="preserve">Canonical: a single hard-coded value site-wide, pointing at a hostname that is not the audited site. This is the whole problem in one line.</w:t>
      </w:r>
    </w:p>
    <w:p>
      <w:pPr>
        <w:pStyle w:val="ListParagraph"/>
        <w:numPr>
          <w:ilvl w:val="0"/>
          <w:numId w:val="2"/>
        </w:numPr>
        <w:spacing w:after="80" w:line="276"/>
      </w:pPr>
      <w:r>
        <w:rPr>
          <w:rFonts w:ascii="Calibri" w:cs="Calibri" w:eastAsia="Calibri" w:hAnsi="Calibri"/>
          <w:color w:val="222222"/>
          <w:sz w:val="20"/>
          <w:szCs w:val="20"/>
        </w:rPr>
        <w:t xml:space="preserve">Titles and descriptions: one value each, applied globally. Twenty-four indexable URLs, one title.</w:t>
      </w:r>
    </w:p>
    <w:p>
      <w:pPr>
        <w:pStyle w:val="ListParagraph"/>
        <w:numPr>
          <w:ilvl w:val="0"/>
          <w:numId w:val="2"/>
        </w:numPr>
        <w:spacing w:after="80" w:line="276"/>
      </w:pPr>
      <w:r>
        <w:rPr>
          <w:rFonts w:ascii="Calibri" w:cs="Calibri" w:eastAsia="Calibri" w:hAnsi="Calibri"/>
          <w:color w:val="222222"/>
          <w:sz w:val="20"/>
          <w:szCs w:val="20"/>
        </w:rPr>
        <w:t xml:space="preserve">URL structure: camelCase directory (/whatWeDo/) inconsistent with the rest of the site; internal vocabulary in a slug ("practice"); non-standard slugs (/contact-us, /bookacall); camelCase legal routes.</w:t>
      </w:r>
    </w:p>
    <w:p>
      <w:pPr>
        <w:pStyle w:val="ListParagraph"/>
        <w:numPr>
          <w:ilvl w:val="0"/>
          <w:numId w:val="2"/>
        </w:numPr>
        <w:spacing w:after="80" w:line="276"/>
      </w:pPr>
      <w:r>
        <w:rPr>
          <w:rFonts w:ascii="Calibri" w:cs="Calibri" w:eastAsia="Calibri" w:hAnsi="Calibri"/>
          <w:color w:val="222222"/>
          <w:sz w:val="20"/>
          <w:szCs w:val="20"/>
        </w:rPr>
        <w:t xml:space="preserve">Internal linking: service pages link to nothing in-body. All internal linking is navigation and footer. No cluster structure, no contextual anchors.</w:t>
      </w:r>
    </w:p>
    <w:p>
      <w:pPr>
        <w:pStyle w:val="ListParagraph"/>
        <w:numPr>
          <w:ilvl w:val="0"/>
          <w:numId w:val="2"/>
        </w:numPr>
        <w:spacing w:after="80" w:line="276"/>
      </w:pPr>
      <w:r>
        <w:rPr>
          <w:rFonts w:ascii="Calibri" w:cs="Calibri" w:eastAsia="Calibri" w:hAnsi="Calibri"/>
          <w:color w:val="222222"/>
          <w:sz w:val="20"/>
          <w:szCs w:val="20"/>
        </w:rPr>
        <w:t xml:space="preserve">Orphan risk: case studies, blog and whitepapers are footer-only. Case-study detail pages do not exist.</w:t>
      </w:r>
    </w:p>
    <w:p>
      <w:pPr>
        <w:pStyle w:val="ListParagraph"/>
        <w:numPr>
          <w:ilvl w:val="0"/>
          <w:numId w:val="2"/>
        </w:numPr>
        <w:spacing w:after="80" w:line="276"/>
      </w:pPr>
      <w:r>
        <w:rPr>
          <w:rFonts w:ascii="Calibri" w:cs="Calibri" w:eastAsia="Calibri" w:hAnsi="Calibri"/>
          <w:color w:val="222222"/>
          <w:sz w:val="20"/>
          <w:szCs w:val="20"/>
        </w:rPr>
        <w:t xml:space="preserve">Duplicate content within pages: card sets rendered two and three times, producing duplicate H2s.</w:t>
      </w:r>
    </w:p>
    <w:p>
      <w:pPr>
        <w:pStyle w:val="ListParagraph"/>
        <w:numPr>
          <w:ilvl w:val="0"/>
          <w:numId w:val="2"/>
        </w:numPr>
        <w:spacing w:after="80" w:line="276"/>
      </w:pPr>
      <w:r>
        <w:rPr>
          <w:rFonts w:ascii="Calibri" w:cs="Calibri" w:eastAsia="Calibri" w:hAnsi="Calibri"/>
          <w:color w:val="222222"/>
          <w:sz w:val="20"/>
          <w:szCs w:val="20"/>
        </w:rPr>
        <w:t xml:space="preserve">Image alt: predominantly empty across audited pages. Where alt exists it is wrong ("SST Logo").</w:t>
      </w:r>
    </w:p>
    <w:p>
      <w:pPr>
        <w:pStyle w:val="ListParagraph"/>
        <w:numPr>
          <w:ilvl w:val="0"/>
          <w:numId w:val="2"/>
        </w:numPr>
        <w:spacing w:after="80" w:line="276"/>
      </w:pPr>
      <w:r>
        <w:rPr>
          <w:rFonts w:ascii="Calibri" w:cs="Calibri" w:eastAsia="Calibri" w:hAnsi="Calibri"/>
          <w:color w:val="222222"/>
          <w:sz w:val="20"/>
          <w:szCs w:val="20"/>
        </w:rPr>
        <w:t xml:space="preserve">Breadcrumbs: absent, in UI and in markup.</w:t>
      </w:r>
    </w:p>
    <w:p>
      <w:pPr>
        <w:pStyle w:val="ListParagraph"/>
        <w:numPr>
          <w:ilvl w:val="0"/>
          <w:numId w:val="2"/>
        </w:numPr>
        <w:spacing w:after="80" w:line="276"/>
      </w:pPr>
      <w:r>
        <w:rPr>
          <w:rFonts w:ascii="Calibri" w:cs="Calibri" w:eastAsia="Calibri" w:hAnsi="Calibri"/>
          <w:color w:val="222222"/>
          <w:sz w:val="20"/>
          <w:szCs w:val="20"/>
        </w:rPr>
        <w:t xml:space="preserve">Legacy signals: meta keywords tag present; Search Console verification placeholder shipped.</w:t>
      </w:r>
    </w:p>
    <w:p>
      <w:pPr>
        <w:pStyle w:val="ListParagraph"/>
        <w:numPr>
          <w:ilvl w:val="0"/>
          <w:numId w:val="2"/>
        </w:numPr>
        <w:spacing w:after="80" w:line="276"/>
      </w:pPr>
      <w:r>
        <w:rPr>
          <w:rFonts w:ascii="Calibri" w:cs="Calibri" w:eastAsia="Calibri" w:hAnsi="Calibri"/>
          <w:color w:val="222222"/>
          <w:sz w:val="20"/>
          <w:szCs w:val="20"/>
        </w:rPr>
        <w:t xml:space="preserve">Index scope: dev host emits index, follow. robots.txt and sitemap.xml unverified.</w:t>
      </w:r>
    </w:p>
    <w:p>
      <w:pPr>
        <w:pStyle w:val="Heading2"/>
        <w:spacing w:after="140" w:before="280"/>
      </w:pPr>
      <w:r>
        <w:rPr>
          <w:rFonts w:ascii="Calibri" w:cs="Calibri" w:eastAsia="Calibri" w:hAnsi="Calibri"/>
          <w:b/>
          <w:bCs/>
          <w:color w:val="15243F"/>
          <w:sz w:val="24"/>
          <w:szCs w:val="24"/>
        </w:rPr>
        <w:t xml:space="preserve">11.2 Cannibalisation controls</w:t>
      </w:r>
    </w:p>
    <w:p>
      <w:pPr>
        <w:spacing w:after="120" w:line="276"/>
      </w:pPr>
      <w:r>
        <w:rPr>
          <w:rFonts w:ascii="Calibri" w:cs="Calibri" w:eastAsia="Calibri" w:hAnsi="Calibri"/>
          <w:color w:val="222222"/>
          <w:sz w:val="20"/>
          <w:szCs w:val="20"/>
        </w:rPr>
        <w:t xml:space="preserve">The draft's ownership map is retained without change and should be enforced in the CMS as a required field on every page: one primary cluster, one owner page. The rules that matter most in this portfolio are that Managed Services stays platform-neutral while SAP AMS owns SAP-specific vendor-evaluation terms; that Cloud &amp; Infrastructure owns the category while Azure owns Microsoft platform intent; and that Transformation Advisory owns strategy and roadmap terms while Enterprise Transformation owns implementation terms. Without these, the SAP, cloud and advisory pages will compete with each other for the same queries.</w:t>
      </w:r>
    </w:p>
    <w:p>
      <w:pPr>
        <w:pStyle w:val="Heading2"/>
        <w:spacing w:after="140" w:before="280"/>
      </w:pPr>
      <w:r>
        <w:rPr>
          <w:rFonts w:ascii="Calibri" w:cs="Calibri" w:eastAsia="Calibri" w:hAnsi="Calibri"/>
          <w:b/>
          <w:bCs/>
          <w:color w:val="15243F"/>
          <w:sz w:val="24"/>
          <w:szCs w:val="24"/>
        </w:rPr>
        <w:t xml:space="preserve">11.3 Search intent by page type</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1685"/>
        <w:gridCol w:w="2059"/>
        <w:gridCol w:w="5616"/>
      </w:tblGrid>
      <w:tr>
        <w:trPr>
          <w:tblHeader/>
        </w:trPr>
        <w:tc>
          <w:tcPr>
            <w:tcW w:type="dxa" w:w="168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Page type</w:t>
            </w:r>
          </w:p>
        </w:tc>
        <w:tc>
          <w:tcPr>
            <w:tcW w:type="dxa" w:w="2059"/>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Intent</w:t>
            </w:r>
          </w:p>
        </w:tc>
        <w:tc>
          <w:tcPr>
            <w:tcW w:type="dxa" w:w="5616"/>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What the page must do</w:t>
            </w:r>
          </w:p>
        </w:tc>
      </w:tr>
      <w:tr>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w:t>
            </w:r>
          </w:p>
        </w:tc>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Category understanding, brand evaluation</w:t>
            </w:r>
          </w:p>
        </w:tc>
        <w:tc>
          <w:tcPr>
            <w:tcW w:type="dxa" w:w="561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Answer who, what, for whom and across which lifecycle stages within ten seconds</w:t>
            </w:r>
          </w:p>
        </w:tc>
      </w:tr>
      <w:tr>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parents</w:t>
            </w:r>
          </w:p>
        </w:tc>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Commercial investigation</w:t>
            </w:r>
          </w:p>
        </w:tc>
        <w:tc>
          <w:tcPr>
            <w:tcW w:type="dxa" w:w="561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Define the problem, the service model and the business outcome</w:t>
            </w:r>
          </w:p>
        </w:tc>
      </w:tr>
      <w:tr>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Platform children</w:t>
            </w:r>
          </w:p>
        </w:tc>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Platform and vendor evaluation</w:t>
            </w:r>
          </w:p>
        </w:tc>
        <w:tc>
          <w:tcPr>
            <w:tcW w:type="dxa" w:w="561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Answer the specific decision a buyer is making about that platform</w:t>
            </w:r>
          </w:p>
        </w:tc>
      </w:tr>
      <w:tr>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Industries</w:t>
            </w:r>
          </w:p>
        </w:tc>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Problem exploration</w:t>
            </w:r>
          </w:p>
        </w:tc>
        <w:tc>
          <w:tcPr>
            <w:tcW w:type="dxa" w:w="561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Demonstrate sector-specific process understanding, gated on real engagements</w:t>
            </w:r>
          </w:p>
        </w:tc>
      </w:tr>
      <w:tr>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 studies</w:t>
            </w:r>
          </w:p>
        </w:tc>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Vendor evaluation</w:t>
            </w:r>
          </w:p>
        </w:tc>
        <w:tc>
          <w:tcPr>
            <w:tcW w:type="dxa" w:w="561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Supply verified evidence with a stated measurement basis</w:t>
            </w:r>
          </w:p>
        </w:tc>
      </w:tr>
      <w:tr>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w:t>
            </w:r>
          </w:p>
        </w:tc>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Informational, mid-funnel</w:t>
            </w:r>
          </w:p>
        </w:tc>
        <w:tc>
          <w:tcPr>
            <w:tcW w:type="dxa" w:w="561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Support a decision with practitioner analysis under a real byline</w:t>
            </w:r>
          </w:p>
        </w:tc>
      </w:tr>
      <w:tr>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About</w:t>
            </w:r>
          </w:p>
        </w:tc>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Due diligence</w:t>
            </w:r>
          </w:p>
        </w:tc>
        <w:tc>
          <w:tcPr>
            <w:tcW w:type="dxa" w:w="561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Give a procurement reviewer facts they can independently verify</w:t>
            </w:r>
          </w:p>
        </w:tc>
      </w:tr>
      <w:tr>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 / Consultation</w:t>
            </w:r>
          </w:p>
        </w:tc>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Transactional</w:t>
            </w:r>
          </w:p>
        </w:tc>
        <w:tc>
          <w:tcPr>
            <w:tcW w:type="dxa" w:w="561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Route by buying intent and state a response commitment</w:t>
            </w:r>
          </w:p>
        </w:tc>
      </w:tr>
    </w:tbl>
    <w:p>
      <w:pPr>
        <w:pStyle w:val="Heading1"/>
        <w:pageBreakBefore/>
        <w:spacing w:after="200" w:before="240"/>
      </w:pPr>
      <w:r>
        <w:rPr>
          <w:rFonts w:ascii="Calibri" w:cs="Calibri" w:eastAsia="Calibri" w:hAnsi="Calibri"/>
          <w:b/>
          <w:bCs/>
          <w:color w:val="15243F"/>
          <w:sz w:val="32"/>
          <w:szCs w:val="32"/>
        </w:rPr>
        <w:t xml:space="preserve">12. Keyword Architecture</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2246"/>
        <w:gridCol w:w="2808"/>
        <w:gridCol w:w="4306"/>
      </w:tblGrid>
      <w:tr>
        <w:trPr>
          <w:tblHeader/>
        </w:trPr>
        <w:tc>
          <w:tcPr>
            <w:tcW w:type="dxa" w:w="2246"/>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Primary cluster</w:t>
            </w:r>
          </w:p>
        </w:tc>
        <w:tc>
          <w:tcPr>
            <w:tcW w:type="dxa" w:w="2808"/>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Owner page</w:t>
            </w:r>
          </w:p>
        </w:tc>
        <w:tc>
          <w:tcPr>
            <w:tcW w:type="dxa" w:w="4306"/>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Cannibalisation rule</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technology services company</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t>
            </w:r>
          </w:p>
        </w:tc>
        <w:tc>
          <w:tcPr>
            <w:tcW w:type="dxa" w:w="430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second generic IT-services landing page, ever.</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transformation services</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/services/enterprise-transformation/</w:t>
            </w:r>
          </w:p>
        </w:tc>
        <w:tc>
          <w:tcPr>
            <w:tcW w:type="dxa" w:w="430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Owns implementation. Advisory owns strategy and roadmap.</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consulting services</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w:t>
            </w:r>
          </w:p>
        </w:tc>
        <w:tc>
          <w:tcPr>
            <w:tcW w:type="dxa" w:w="430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Hub owns the category. Children own platform and sub-service intent.</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S/4HANA consulting</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/services/sap/s4hana/</w:t>
            </w:r>
          </w:p>
        </w:tc>
        <w:tc>
          <w:tcPr>
            <w:tcW w:type="dxa" w:w="430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Do not split greenfield/brownfield into separate pages without evidenced demand.</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AMS services</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/services/sap/ams/</w:t>
            </w:r>
          </w:p>
        </w:tc>
        <w:tc>
          <w:tcPr>
            <w:tcW w:type="dxa" w:w="430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Owns SAP-specific vendor-evaluation terms. Managed Services stays neutral.</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AI consulting</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/services/artificial-intelligence/</w:t>
            </w:r>
          </w:p>
        </w:tc>
        <w:tc>
          <w:tcPr>
            <w:tcW w:type="dxa" w:w="430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thin "GenAI consulting" duplicate unless a distinct practice is verified.</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Cloud infrastructure modernization</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/services/cloud-infrastructure/</w:t>
            </w:r>
          </w:p>
        </w:tc>
        <w:tc>
          <w:tcPr>
            <w:tcW w:type="dxa" w:w="430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Azure owns Microsoft platform intent.</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Data engineering and analytics</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/services/data-intelligence/</w:t>
            </w:r>
          </w:p>
        </w:tc>
        <w:tc>
          <w:tcPr>
            <w:tcW w:type="dxa" w:w="430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Power BI and Databricks own platform intent only where verified.</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Digital engineering services</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/services/digital-engineering/</w:t>
            </w:r>
          </w:p>
        </w:tc>
        <w:tc>
          <w:tcPr>
            <w:tcW w:type="dxa" w:w="430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Application modernization supports this page rather than splitting from it.</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CX technology services</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/services/customer-experience/</w:t>
            </w:r>
          </w:p>
        </w:tc>
        <w:tc>
          <w:tcPr>
            <w:tcW w:type="dxa" w:w="430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Salesforce and Dynamics are platform children only if capability is verified.</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Intelligent automation services</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/services/intelligent-automation/</w:t>
            </w:r>
          </w:p>
        </w:tc>
        <w:tc>
          <w:tcPr>
            <w:tcW w:type="dxa" w:w="430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Power Platform owns Microsoft low-code intent.</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cybersecurity services</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/services/cybersecurity-digital-trust/</w:t>
            </w:r>
          </w:p>
        </w:tc>
        <w:tc>
          <w:tcPr>
            <w:tcW w:type="dxa" w:w="430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thin IAM, GRC or Zero Trust spin-off pages until depth and proof exist.</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Application managed services</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/services/managed-services/</w:t>
            </w:r>
          </w:p>
        </w:tc>
        <w:tc>
          <w:tcPr>
            <w:tcW w:type="dxa" w:w="430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AMS owns SAP terms; cloud operations stay under Cloud.</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Transformation advisory</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/services/transformation-advisory/</w:t>
            </w:r>
          </w:p>
        </w:tc>
        <w:tc>
          <w:tcPr>
            <w:tcW w:type="dxa" w:w="430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Owns roadmap and target-state architecture terms.</w:t>
            </w:r>
          </w:p>
        </w:tc>
      </w:tr>
    </w:tbl>
    <w:p>
      <w:pPr>
        <w:pStyle w:val="Heading1"/>
        <w:pageBreakBefore/>
        <w:spacing w:after="200" w:before="240"/>
      </w:pPr>
      <w:r>
        <w:rPr>
          <w:rFonts w:ascii="Calibri" w:cs="Calibri" w:eastAsia="Calibri" w:hAnsi="Calibri"/>
          <w:b/>
          <w:bCs/>
          <w:color w:val="15243F"/>
          <w:sz w:val="32"/>
          <w:szCs w:val="32"/>
        </w:rPr>
        <w:t xml:space="preserve">13. GEO Strategy</w:t>
      </w:r>
    </w:p>
    <w:p>
      <w:pPr>
        <w:spacing w:after="120" w:line="276"/>
      </w:pPr>
      <w:r>
        <w:rPr>
          <w:rFonts w:ascii="Calibri" w:cs="Calibri" w:eastAsia="Calibri" w:hAnsi="Calibri"/>
          <w:color w:val="222222"/>
          <w:sz w:val="20"/>
          <w:szCs w:val="20"/>
        </w:rPr>
        <w:t xml:space="preserve">The draft's GEO chapter is correct and is retained in full. It is worth restating why, because this is the area where most enterprise sites currently waste effort: generative-search visibility is not won by publishing AI-targeted text. It is won by being crawlable, by having an unambiguous entity definition, by making self-contained factual statements, and by having original evidence worth citing. Ascendus currently fails the first two outright.</w:t>
      </w:r>
    </w:p>
    <w:p>
      <w:pPr>
        <w:pStyle w:val="Heading2"/>
        <w:spacing w:after="140" w:before="280"/>
      </w:pPr>
      <w:r>
        <w:rPr>
          <w:rFonts w:ascii="Calibri" w:cs="Calibri" w:eastAsia="Calibri" w:hAnsi="Calibri"/>
          <w:b/>
          <w:bCs/>
          <w:color w:val="15243F"/>
          <w:sz w:val="24"/>
          <w:szCs w:val="24"/>
        </w:rPr>
        <w:t xml:space="preserve">13.1 What an AI system cannot currently determine about Ascendus</w:t>
      </w:r>
    </w:p>
    <w:p>
      <w:pPr>
        <w:pStyle w:val="ListParagraph"/>
        <w:numPr>
          <w:ilvl w:val="0"/>
          <w:numId w:val="2"/>
        </w:numPr>
        <w:spacing w:after="80" w:line="276"/>
      </w:pPr>
      <w:r>
        <w:rPr>
          <w:rFonts w:ascii="Calibri" w:cs="Calibri" w:eastAsia="Calibri" w:hAnsi="Calibri"/>
          <w:color w:val="222222"/>
          <w:sz w:val="20"/>
          <w:szCs w:val="20"/>
        </w:rPr>
        <w:t xml:space="preserve">Whether Ascendus is a company, a brand of Support Studio Technologies, or a rename. The footer, the logo alt text, the social links and the title tag give four different answers.</w:t>
      </w:r>
    </w:p>
    <w:p>
      <w:pPr>
        <w:pStyle w:val="ListParagraph"/>
        <w:numPr>
          <w:ilvl w:val="0"/>
          <w:numId w:val="2"/>
        </w:numPr>
        <w:spacing w:after="80" w:line="276"/>
      </w:pPr>
      <w:r>
        <w:rPr>
          <w:rFonts w:ascii="Calibri" w:cs="Calibri" w:eastAsia="Calibri" w:hAnsi="Calibri"/>
          <w:color w:val="222222"/>
          <w:sz w:val="20"/>
          <w:szCs w:val="20"/>
        </w:rPr>
        <w:t xml:space="preserve">Where Ascendus operates. Metadata claims the UAE, Saudi Arabia and the GCC; the only address is in Puducherry, India; the locale switcher offers Japan and China.</w:t>
      </w:r>
    </w:p>
    <w:p>
      <w:pPr>
        <w:pStyle w:val="ListParagraph"/>
        <w:numPr>
          <w:ilvl w:val="0"/>
          <w:numId w:val="2"/>
        </w:numPr>
        <w:spacing w:after="80" w:line="276"/>
      </w:pPr>
      <w:r>
        <w:rPr>
          <w:rFonts w:ascii="Calibri" w:cs="Calibri" w:eastAsia="Calibri" w:hAnsi="Calibri"/>
          <w:color w:val="222222"/>
          <w:sz w:val="20"/>
          <w:szCs w:val="20"/>
        </w:rPr>
        <w:t xml:space="preserve">What Ascendus does with SAP. SAP is the first term in the title tag and there is no SAP page.</w:t>
      </w:r>
    </w:p>
    <w:p>
      <w:pPr>
        <w:pStyle w:val="ListParagraph"/>
        <w:numPr>
          <w:ilvl w:val="0"/>
          <w:numId w:val="2"/>
        </w:numPr>
        <w:spacing w:after="80" w:line="276"/>
      </w:pPr>
      <w:r>
        <w:rPr>
          <w:rFonts w:ascii="Calibri" w:cs="Calibri" w:eastAsia="Calibri" w:hAnsi="Calibri"/>
          <w:color w:val="222222"/>
          <w:sz w:val="20"/>
          <w:szCs w:val="20"/>
        </w:rPr>
        <w:t xml:space="preserve">What any service actually consists of. No page carries a self-contained definition; capability cards are one-line benefit statements.</w:t>
      </w:r>
    </w:p>
    <w:p>
      <w:pPr>
        <w:pStyle w:val="ListParagraph"/>
        <w:numPr>
          <w:ilvl w:val="0"/>
          <w:numId w:val="2"/>
        </w:numPr>
        <w:spacing w:after="80" w:line="276"/>
      </w:pPr>
      <w:r>
        <w:rPr>
          <w:rFonts w:ascii="Calibri" w:cs="Calibri" w:eastAsia="Calibri" w:hAnsi="Calibri"/>
          <w:color w:val="222222"/>
          <w:sz w:val="20"/>
          <w:szCs w:val="20"/>
        </w:rPr>
        <w:t xml:space="preserve">Any verifiable fact about scale, delivery, certification or partnership. Every proof surface is either empty or zero-valued.</w:t>
      </w:r>
    </w:p>
    <w:p>
      <w:pPr>
        <w:pStyle w:val="Heading2"/>
        <w:spacing w:after="140" w:before="280"/>
      </w:pPr>
      <w:r>
        <w:rPr>
          <w:rFonts w:ascii="Calibri" w:cs="Calibri" w:eastAsia="Calibri" w:hAnsi="Calibri"/>
          <w:b/>
          <w:bCs/>
          <w:color w:val="15243F"/>
          <w:sz w:val="24"/>
          <w:szCs w:val="24"/>
        </w:rPr>
        <w:t xml:space="preserve">13.2 Canonical entity descriptions</w:t>
      </w:r>
    </w:p>
    <w:p>
      <w:pPr>
        <w:spacing w:after="120" w:line="276"/>
      </w:pPr>
      <w:r>
        <w:rPr>
          <w:rFonts w:ascii="Calibri" w:cs="Calibri" w:eastAsia="Calibri" w:hAnsi="Calibri"/>
          <w:color w:val="222222"/>
          <w:sz w:val="20"/>
          <w:szCs w:val="20"/>
        </w:rPr>
        <w:t xml:space="preserve">One description, three lengths, used verbatim wherever a description is required — Organization schema, About page, LinkedIn, partner directories, press boilerplate and third-party listings. Divergence between these surfaces is the single most common cause of poor entity resolution.</w:t>
      </w:r>
    </w:p>
    <w:p>
      <w:pPr>
        <w:pStyle w:val="Heading3"/>
        <w:keepNext/>
        <w:keepLines/>
        <w:spacing w:after="100" w:before="200"/>
      </w:pPr>
      <w:r>
        <w:rPr>
          <w:rFonts w:ascii="Calibri" w:cs="Calibri" w:eastAsia="Calibri" w:hAnsi="Calibri"/>
          <w:b/>
          <w:bCs/>
          <w:color w:val="5B3FA8"/>
          <w:sz w:val="21"/>
          <w:szCs w:val="21"/>
        </w:rPr>
        <w:t xml:space="preserve">25 words</w:t>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
            </w:r>
          </w:p>
          <w:p>
            <w:pPr>
              <w:spacing w:after="0" w:line="270"/>
            </w:pPr>
            <w:r>
              <w:rPr>
                <w:rFonts w:ascii="Calibri" w:cs="Calibri" w:eastAsia="Calibri" w:hAnsi="Calibri"/>
                <w:color w:val="222222"/>
                <w:sz w:val="19"/>
                <w:szCs w:val="19"/>
              </w:rPr>
              <w:t xml:space="preserve">Ascendus is an enterprise technology services company that plans, implements and operates SAP, cloud, data, AI, engineering and security platforms for large organisations.</w:t>
            </w:r>
          </w:p>
        </w:tc>
      </w:tr>
    </w:tbl>
    <w:p>
      <w:pPr>
        <w:pStyle w:val="Heading3"/>
        <w:keepNext/>
        <w:keepLines/>
        <w:spacing w:after="100" w:before="200"/>
      </w:pPr>
      <w:r>
        <w:rPr>
          <w:rFonts w:ascii="Calibri" w:cs="Calibri" w:eastAsia="Calibri" w:hAnsi="Calibri"/>
          <w:b/>
          <w:bCs/>
          <w:color w:val="5B3FA8"/>
          <w:sz w:val="21"/>
          <w:szCs w:val="21"/>
        </w:rPr>
        <w:t xml:space="preserve">50 words</w:t>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
            </w:r>
          </w:p>
          <w:p>
            <w:pPr>
              <w:spacing w:after="0" w:line="270"/>
            </w:pPr>
            <w:r>
              <w:rPr>
                <w:rFonts w:ascii="Calibri" w:cs="Calibri" w:eastAsia="Calibri" w:hAnsi="Calibri"/>
                <w:color w:val="222222"/>
                <w:sz w:val="19"/>
                <w:szCs w:val="19"/>
              </w:rPr>
              <w:t xml:space="preserve">Ascendus is an enterprise technology services company. It plans, implements and operates SAP and enterprise applications, cloud infrastructure, data platforms, applied AI, custom engineering, cybersecurity and managed operations, keeping architecture decisions and delivery accountability with one team from transformation planning through production support.</w:t>
            </w:r>
          </w:p>
        </w:tc>
      </w:tr>
    </w:tbl>
    <w:p>
      <w:pPr>
        <w:pStyle w:val="Heading3"/>
        <w:keepNext/>
        <w:keepLines/>
        <w:spacing w:after="100" w:before="200"/>
      </w:pPr>
      <w:r>
        <w:rPr>
          <w:rFonts w:ascii="Calibri" w:cs="Calibri" w:eastAsia="Calibri" w:hAnsi="Calibri"/>
          <w:b/>
          <w:bCs/>
          <w:color w:val="5B3FA8"/>
          <w:sz w:val="21"/>
          <w:szCs w:val="21"/>
        </w:rPr>
        <w:t xml:space="preserve">100 words</w:t>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
            </w:r>
          </w:p>
          <w:p>
            <w:pPr>
              <w:spacing w:after="0" w:line="270"/>
            </w:pPr>
            <w:r>
              <w:rPr>
                <w:rFonts w:ascii="Calibri" w:cs="Calibri" w:eastAsia="Calibri" w:hAnsi="Calibri"/>
                <w:color w:val="222222"/>
                <w:sz w:val="19"/>
                <w:szCs w:val="19"/>
              </w:rPr>
              <w:t xml:space="preserve">Ascendus is an enterprise technology services company that connects SAP and enterprise platforms with cloud, data, AI, engineering, security and managed operations. It works with large organisations that need to modernize the systems their operations depend on without losing continuity, and it retains the same delivery accountability from architecture and implementation into ongoing application management. Ascendus delivers transformation advisory, enterprise application implementation, cloud modernization, data engineering and analytics, applied AI, digital engineering, experience design, intelligent automation, cybersecurity and application managed services. [CLIENT VALIDATION REQUIRED — corporate relationship to Support Studio Technologies, operating entities, delivery locations and partner statuses.]</w:t>
            </w:r>
          </w:p>
        </w:tc>
      </w:tr>
    </w:tbl>
    <w:p>
      <w:pPr>
        <w:pStyle w:val="Heading2"/>
        <w:spacing w:after="140" w:before="280"/>
      </w:pPr>
      <w:r>
        <w:rPr>
          <w:rFonts w:ascii="Calibri" w:cs="Calibri" w:eastAsia="Calibri" w:hAnsi="Calibri"/>
          <w:b/>
          <w:bCs/>
          <w:color w:val="15243F"/>
          <w:sz w:val="24"/>
          <w:szCs w:val="24"/>
        </w:rPr>
        <w:t xml:space="preserve">13.3 Direct-answer blocks</w:t>
      </w:r>
    </w:p>
    <w:p>
      <w:pPr>
        <w:spacing w:after="120" w:line="276"/>
      </w:pPr>
      <w:r>
        <w:rPr>
          <w:rFonts w:ascii="Calibri" w:cs="Calibri" w:eastAsia="Calibri" w:hAnsi="Calibri"/>
          <w:color w:val="222222"/>
          <w:sz w:val="20"/>
          <w:szCs w:val="20"/>
        </w:rPr>
        <w:t xml:space="preserve">A 40–80 word, self-contained, non-promotional definition placed on each P0 service page, under a question-form H2. The test is whether the paragraph remains accurate and comprehensible when quoted with no surrounding context and no brand knowledge. Homepage block is supplied in Section 18; per-service blocks in the draft blueprint are approved for use as written.</w:t>
      </w:r>
    </w:p>
    <w:p>
      <w:pPr>
        <w:pStyle w:val="Heading1"/>
        <w:pageBreakBefore/>
        <w:spacing w:after="200" w:before="240"/>
      </w:pPr>
      <w:r>
        <w:rPr>
          <w:rFonts w:ascii="Calibri" w:cs="Calibri" w:eastAsia="Calibri" w:hAnsi="Calibri"/>
          <w:b/>
          <w:bCs/>
          <w:color w:val="15243F"/>
          <w:sz w:val="32"/>
          <w:szCs w:val="32"/>
        </w:rPr>
        <w:t xml:space="preserve">14. AEO Strategy</w:t>
      </w:r>
    </w:p>
    <w:p>
      <w:pPr>
        <w:spacing w:after="120" w:line="276"/>
      </w:pPr>
      <w:r>
        <w:rPr>
          <w:rFonts w:ascii="Calibri" w:cs="Calibri" w:eastAsia="Calibri" w:hAnsi="Calibri"/>
          <w:color w:val="222222"/>
          <w:sz w:val="20"/>
          <w:szCs w:val="20"/>
        </w:rPr>
        <w:t xml:space="preserve">Answer-engine visibility comes from answering the questions enterprise buyers actually ask, in a structure that can be extracted. Six validated FAQs follow. Each survives the test that governs this section: would a CIO, CTO, IT director, enterprise architect or procurement lead plausibly ask it during a live evaluation? Questions of the form "What makes Ascendus the best?" fail that test and are prohibited by the governance rules in Section 25.</w:t>
      </w:r>
    </w:p>
    <w:p>
      <w:pPr>
        <w:pStyle w:val="Heading3"/>
        <w:keepNext/>
        <w:keepLines/>
        <w:spacing w:after="100" w:before="200"/>
      </w:pPr>
      <w:r>
        <w:rPr>
          <w:rFonts w:ascii="Calibri" w:cs="Calibri" w:eastAsia="Calibri" w:hAnsi="Calibri"/>
          <w:b/>
          <w:bCs/>
          <w:color w:val="5B3FA8"/>
          <w:sz w:val="21"/>
          <w:szCs w:val="21"/>
        </w:rPr>
        <w:t xml:space="preserve">How should an enterprise decide between an SLA-based, capacity-based and outcome-based SAP AMS model?</w:t>
      </w:r>
    </w:p>
    <w:p>
      <w:pPr>
        <w:spacing w:after="120" w:line="276"/>
      </w:pPr>
      <w:r>
        <w:rPr>
          <w:rFonts w:ascii="Calibri" w:cs="Calibri" w:eastAsia="Calibri" w:hAnsi="Calibri"/>
          <w:color w:val="222222"/>
          <w:sz w:val="19"/>
          <w:szCs w:val="19"/>
        </w:rPr>
        <w:t xml:space="preserve">SLA-based contracts commit to response and resolution times against defined severities, and suit estates where the failure mode is unplanned downtime. Capacity-based contracts commit a fixed volume of effort and suit estates with a steady backlog of enhancements where predictability of spend matters more than incident speed. Outcome-based contracts tie commercial terms to agreed operational measures such as incident recurrence or release throughput, and require both parties to have baseline data before signing. Most enterprises start SLA-based, add capacity for enhancement work, and move toward outcome terms only once measurement is reliable.</w:t>
      </w:r>
    </w:p>
    <w:p>
      <w:pPr>
        <w:spacing w:after="120" w:line="276"/>
      </w:pPr>
      <w:r>
        <w:rPr>
          <w:rFonts w:ascii="Calibri" w:cs="Calibri" w:eastAsia="Calibri" w:hAnsi="Calibri"/>
          <w:i/>
          <w:iCs/>
          <w:color w:val="5A6270"/>
          <w:sz w:val="17"/>
          <w:szCs w:val="17"/>
        </w:rPr>
        <w:t xml:space="preserve">Page: SAP AMS</w:t>
      </w:r>
    </w:p>
    <w:p>
      <w:pPr>
        <w:pStyle w:val="Heading3"/>
        <w:keepNext/>
        <w:keepLines/>
        <w:spacing w:after="100" w:before="200"/>
      </w:pPr>
      <w:r>
        <w:rPr>
          <w:rFonts w:ascii="Calibri" w:cs="Calibri" w:eastAsia="Calibri" w:hAnsi="Calibri"/>
          <w:b/>
          <w:bCs/>
          <w:color w:val="5B3FA8"/>
          <w:sz w:val="21"/>
          <w:szCs w:val="21"/>
        </w:rPr>
        <w:t xml:space="preserve">What has to be true before an AI pilot can move into production?</w:t>
      </w:r>
    </w:p>
    <w:p>
      <w:pPr>
        <w:spacing w:after="120" w:line="276"/>
      </w:pPr>
      <w:r>
        <w:rPr>
          <w:rFonts w:ascii="Calibri" w:cs="Calibri" w:eastAsia="Calibri" w:hAnsi="Calibri"/>
          <w:color w:val="222222"/>
          <w:sz w:val="19"/>
          <w:szCs w:val="19"/>
        </w:rPr>
        <w:t xml:space="preserve">Four things, in practice. The data the model depends on is available in production at the required latency and quality, not just in an extract. The integration path into the systems where the decision is actually taken has been designed rather than assumed. There is a named owner for model behaviour, including what happens when it is wrong. And there is a monitoring and retraining plan with a defined trigger. Pilots usually stall because one of these was deferred, not because the model underperformed.</w:t>
      </w:r>
    </w:p>
    <w:p>
      <w:pPr>
        <w:spacing w:after="120" w:line="276"/>
      </w:pPr>
      <w:r>
        <w:rPr>
          <w:rFonts w:ascii="Calibri" w:cs="Calibri" w:eastAsia="Calibri" w:hAnsi="Calibri"/>
          <w:i/>
          <w:iCs/>
          <w:color w:val="5A6270"/>
          <w:sz w:val="17"/>
          <w:szCs w:val="17"/>
        </w:rPr>
        <w:t xml:space="preserve">Page: Artificial Intelligence</w:t>
      </w:r>
    </w:p>
    <w:p>
      <w:pPr>
        <w:pStyle w:val="Heading3"/>
        <w:keepNext/>
        <w:keepLines/>
        <w:spacing w:after="100" w:before="200"/>
      </w:pPr>
      <w:r>
        <w:rPr>
          <w:rFonts w:ascii="Calibri" w:cs="Calibri" w:eastAsia="Calibri" w:hAnsi="Calibri"/>
          <w:b/>
          <w:bCs/>
          <w:color w:val="5B3FA8"/>
          <w:sz w:val="21"/>
          <w:szCs w:val="21"/>
        </w:rPr>
        <w:t xml:space="preserve">Does RISE with SAP remove the need for an implementation partner?</w:t>
      </w:r>
    </w:p>
    <w:p>
      <w:pPr>
        <w:spacing w:after="120" w:line="276"/>
      </w:pPr>
      <w:r>
        <w:rPr>
          <w:rFonts w:ascii="Calibri" w:cs="Calibri" w:eastAsia="Calibri" w:hAnsi="Calibri"/>
          <w:color w:val="222222"/>
          <w:sz w:val="19"/>
          <w:szCs w:val="19"/>
        </w:rPr>
        <w:t xml:space="preserve">No. RISE transfers infrastructure, base technical operations and certain licensing arrangements to SAP. It does not transfer process design, data migration, integration architecture, custom-code remediation, testing, change management or the ongoing application-layer support that follows go-live. Those remain with the customer or an implementation partner regardless of the commercial model.</w:t>
      </w:r>
    </w:p>
    <w:p>
      <w:pPr>
        <w:spacing w:after="120" w:line="276"/>
      </w:pPr>
      <w:r>
        <w:rPr>
          <w:rFonts w:ascii="Calibri" w:cs="Calibri" w:eastAsia="Calibri" w:hAnsi="Calibri"/>
          <w:i/>
          <w:iCs/>
          <w:color w:val="5A6270"/>
          <w:sz w:val="17"/>
          <w:szCs w:val="17"/>
        </w:rPr>
        <w:t xml:space="preserve">Page: RISE with SAP</w:t>
      </w:r>
    </w:p>
    <w:p>
      <w:pPr>
        <w:pStyle w:val="Heading3"/>
        <w:keepNext/>
        <w:keepLines/>
        <w:spacing w:after="100" w:before="200"/>
      </w:pPr>
      <w:r>
        <w:rPr>
          <w:rFonts w:ascii="Calibri" w:cs="Calibri" w:eastAsia="Calibri" w:hAnsi="Calibri"/>
          <w:b/>
          <w:bCs/>
          <w:color w:val="5B3FA8"/>
          <w:sz w:val="21"/>
          <w:szCs w:val="21"/>
        </w:rPr>
        <w:t xml:space="preserve">When is a brownfield conversion the wrong choice for S/4HANA?</w:t>
      </w:r>
    </w:p>
    <w:p>
      <w:pPr>
        <w:spacing w:after="120" w:line="276"/>
      </w:pPr>
      <w:r>
        <w:rPr>
          <w:rFonts w:ascii="Calibri" w:cs="Calibri" w:eastAsia="Calibri" w:hAnsi="Calibri"/>
          <w:color w:val="222222"/>
          <w:sz w:val="19"/>
          <w:szCs w:val="19"/>
        </w:rPr>
        <w:t xml:space="preserve">When the existing process design is the actual problem. A conversion carries the current configuration and custom code forward, which preserves continuity but also preserves accumulated complexity. If the business case depends on process standardisation, if custom-code volume is high relative to functional value, or if the underlying data model has known integrity problems, a conversion moves those issues to a newer platform rather than resolving them.</w:t>
      </w:r>
    </w:p>
    <w:p>
      <w:pPr>
        <w:spacing w:after="120" w:line="276"/>
      </w:pPr>
      <w:r>
        <w:rPr>
          <w:rFonts w:ascii="Calibri" w:cs="Calibri" w:eastAsia="Calibri" w:hAnsi="Calibri"/>
          <w:i/>
          <w:iCs/>
          <w:color w:val="5A6270"/>
          <w:sz w:val="17"/>
          <w:szCs w:val="17"/>
        </w:rPr>
        <w:t xml:space="preserve">Page: SAP S/4HANA</w:t>
      </w:r>
    </w:p>
    <w:p>
      <w:pPr>
        <w:pStyle w:val="Heading3"/>
        <w:keepNext/>
        <w:keepLines/>
        <w:spacing w:after="100" w:before="200"/>
      </w:pPr>
      <w:r>
        <w:rPr>
          <w:rFonts w:ascii="Calibri" w:cs="Calibri" w:eastAsia="Calibri" w:hAnsi="Calibri"/>
          <w:b/>
          <w:bCs/>
          <w:color w:val="5B3FA8"/>
          <w:sz w:val="21"/>
          <w:szCs w:val="21"/>
        </w:rPr>
        <w:t xml:space="preserve">What is the difference between application managed services and technical support?</w:t>
      </w:r>
    </w:p>
    <w:p>
      <w:pPr>
        <w:spacing w:after="120" w:line="276"/>
      </w:pPr>
      <w:r>
        <w:rPr>
          <w:rFonts w:ascii="Calibri" w:cs="Calibri" w:eastAsia="Calibri" w:hAnsi="Calibri"/>
          <w:color w:val="222222"/>
          <w:sz w:val="19"/>
          <w:szCs w:val="19"/>
        </w:rPr>
        <w:t xml:space="preserve">Technical support restores service when something breaks. Application managed services is accountable for the application continuing to meet business requirements over time — which includes incident and problem management, but also release and change support, regression testing, performance management, service reporting and the systematic elimination of recurring root causes. The distinguishing measure is whether incident volume falls over the contract term.</w:t>
      </w:r>
    </w:p>
    <w:p>
      <w:pPr>
        <w:spacing w:after="120" w:line="276"/>
      </w:pPr>
      <w:r>
        <w:rPr>
          <w:rFonts w:ascii="Calibri" w:cs="Calibri" w:eastAsia="Calibri" w:hAnsi="Calibri"/>
          <w:i/>
          <w:iCs/>
          <w:color w:val="5A6270"/>
          <w:sz w:val="17"/>
          <w:szCs w:val="17"/>
        </w:rPr>
        <w:t xml:space="preserve">Page: Managed Services</w:t>
      </w:r>
    </w:p>
    <w:p>
      <w:pPr>
        <w:pStyle w:val="Heading3"/>
        <w:keepNext/>
        <w:keepLines/>
        <w:spacing w:after="100" w:before="200"/>
      </w:pPr>
      <w:r>
        <w:rPr>
          <w:rFonts w:ascii="Calibri" w:cs="Calibri" w:eastAsia="Calibri" w:hAnsi="Calibri"/>
          <w:b/>
          <w:bCs/>
          <w:color w:val="5B3FA8"/>
          <w:sz w:val="21"/>
          <w:szCs w:val="21"/>
        </w:rPr>
        <w:t xml:space="preserve">How should compliance requirements be handled in an ERP program?</w:t>
      </w:r>
    </w:p>
    <w:p>
      <w:pPr>
        <w:spacing w:after="120" w:line="276"/>
      </w:pPr>
      <w:r>
        <w:rPr>
          <w:rFonts w:ascii="Calibri" w:cs="Calibri" w:eastAsia="Calibri" w:hAnsi="Calibri"/>
          <w:color w:val="222222"/>
          <w:sz w:val="19"/>
          <w:szCs w:val="19"/>
        </w:rPr>
        <w:t xml:space="preserve">As architecture inputs at design stage rather than as a workstream added before go-live. Requirements such as e-invoicing mandates, data residency rules and audit-trail obligations constrain the data model, the integration design and the retention approach. Retrofitting them into a configured system generally costs more than designing for them, and produces control mechanisms that sit outside the core rather than inside it.</w:t>
      </w:r>
    </w:p>
    <w:p>
      <w:pPr>
        <w:spacing w:after="120" w:line="276"/>
      </w:pPr>
      <w:r>
        <w:rPr>
          <w:rFonts w:ascii="Calibri" w:cs="Calibri" w:eastAsia="Calibri" w:hAnsi="Calibri"/>
          <w:i/>
          <w:iCs/>
          <w:color w:val="5A6270"/>
          <w:sz w:val="17"/>
          <w:szCs w:val="17"/>
        </w:rPr>
        <w:t xml:space="preserve">Page: Enterprise Transformation</w:t>
      </w:r>
    </w:p>
    <w:p>
      <w:pPr>
        <w:pStyle w:val="Heading1"/>
        <w:pageBreakBefore/>
        <w:spacing w:after="200" w:before="240"/>
      </w:pPr>
      <w:r>
        <w:rPr>
          <w:rFonts w:ascii="Calibri" w:cs="Calibri" w:eastAsia="Calibri" w:hAnsi="Calibri"/>
          <w:b/>
          <w:bCs/>
          <w:color w:val="15243F"/>
          <w:sz w:val="32"/>
          <w:szCs w:val="32"/>
        </w:rPr>
        <w:t xml:space="preserve">15. Entity &amp; E-E-A-T Strategy</w:t>
      </w:r>
    </w:p>
    <w:p>
      <w:pPr>
        <w:pStyle w:val="Heading2"/>
        <w:spacing w:after="140" w:before="280"/>
      </w:pPr>
      <w:r>
        <w:rPr>
          <w:rFonts w:ascii="Calibri" w:cs="Calibri" w:eastAsia="Calibri" w:hAnsi="Calibri"/>
          <w:b/>
          <w:bCs/>
          <w:color w:val="15243F"/>
          <w:sz w:val="24"/>
          <w:szCs w:val="24"/>
        </w:rPr>
        <w:t xml:space="preserve">15.1 Entity consistency checklist</w:t>
      </w:r>
    </w:p>
    <w:p>
      <w:pPr>
        <w:pStyle w:val="ListParagraph"/>
        <w:numPr>
          <w:ilvl w:val="0"/>
          <w:numId w:val="2"/>
        </w:numPr>
        <w:spacing w:after="80" w:line="276"/>
      </w:pPr>
      <w:r>
        <w:rPr>
          <w:rFonts w:ascii="Calibri" w:cs="Calibri" w:eastAsia="Calibri" w:hAnsi="Calibri"/>
          <w:color w:val="222222"/>
          <w:sz w:val="20"/>
          <w:szCs w:val="20"/>
        </w:rPr>
        <w:t xml:space="preserve">One legal entity relationship, stated identically in the footer, the About page, the Organization schema, the legal pages and every social profile.</w:t>
      </w:r>
    </w:p>
    <w:p>
      <w:pPr>
        <w:pStyle w:val="ListParagraph"/>
        <w:numPr>
          <w:ilvl w:val="0"/>
          <w:numId w:val="2"/>
        </w:numPr>
        <w:spacing w:after="80" w:line="276"/>
      </w:pPr>
      <w:r>
        <w:rPr>
          <w:rFonts w:ascii="Calibri" w:cs="Calibri" w:eastAsia="Calibri" w:hAnsi="Calibri"/>
          <w:color w:val="222222"/>
          <w:sz w:val="20"/>
          <w:szCs w:val="20"/>
        </w:rPr>
        <w:t xml:space="preserve">One company description, taken from Section 13.2, used everywhere a description is required.</w:t>
      </w:r>
    </w:p>
    <w:p>
      <w:pPr>
        <w:pStyle w:val="ListParagraph"/>
        <w:numPr>
          <w:ilvl w:val="0"/>
          <w:numId w:val="2"/>
        </w:numPr>
        <w:spacing w:after="80" w:line="276"/>
      </w:pPr>
      <w:r>
        <w:rPr>
          <w:rFonts w:ascii="Calibri" w:cs="Calibri" w:eastAsia="Calibri" w:hAnsi="Calibri"/>
          <w:color w:val="222222"/>
          <w:sz w:val="20"/>
          <w:szCs w:val="20"/>
        </w:rPr>
        <w:t xml:space="preserve">One brand name in all alt text, link text and image filenames. No "SST", no "Support Studio Technologies" in Ascendus-branded chrome unless it is the approved relationship string.</w:t>
      </w:r>
    </w:p>
    <w:p>
      <w:pPr>
        <w:pStyle w:val="ListParagraph"/>
        <w:numPr>
          <w:ilvl w:val="0"/>
          <w:numId w:val="2"/>
        </w:numPr>
        <w:spacing w:after="80" w:line="276"/>
      </w:pPr>
      <w:r>
        <w:rPr>
          <w:rFonts w:ascii="Calibri" w:cs="Calibri" w:eastAsia="Calibri" w:hAnsi="Calibri"/>
          <w:color w:val="222222"/>
          <w:sz w:val="20"/>
          <w:szCs w:val="20"/>
        </w:rPr>
        <w:t xml:space="preserve">One set of addresses, matching the legal entities, published on Contact and in Organization schema.</w:t>
      </w:r>
    </w:p>
    <w:p>
      <w:pPr>
        <w:pStyle w:val="ListParagraph"/>
        <w:numPr>
          <w:ilvl w:val="0"/>
          <w:numId w:val="2"/>
        </w:numPr>
        <w:spacing w:after="80" w:line="276"/>
      </w:pPr>
      <w:r>
        <w:rPr>
          <w:rFonts w:ascii="Calibri" w:cs="Calibri" w:eastAsia="Calibri" w:hAnsi="Calibri"/>
          <w:color w:val="222222"/>
          <w:sz w:val="20"/>
          <w:szCs w:val="20"/>
        </w:rPr>
        <w:t xml:space="preserve">One sameAs set in Organization schema: LinkedIn, and any other profile that genuinely belongs to Ascendus rather than to the parent.</w:t>
      </w:r>
    </w:p>
    <w:p>
      <w:pPr>
        <w:pStyle w:val="ListParagraph"/>
        <w:numPr>
          <w:ilvl w:val="0"/>
          <w:numId w:val="2"/>
        </w:numPr>
        <w:spacing w:after="80" w:line="276"/>
      </w:pPr>
      <w:r>
        <w:rPr>
          <w:rFonts w:ascii="Calibri" w:cs="Calibri" w:eastAsia="Calibri" w:hAnsi="Calibri"/>
          <w:color w:val="222222"/>
          <w:sz w:val="20"/>
          <w:szCs w:val="20"/>
        </w:rPr>
        <w:t xml:space="preserve">One service taxonomy, with names identical across navigation, page titles, H1s, breadcrumbs and schema.</w:t>
      </w:r>
    </w:p>
    <w:p>
      <w:pPr>
        <w:pStyle w:val="Heading2"/>
        <w:spacing w:after="140" w:before="280"/>
      </w:pPr>
      <w:r>
        <w:rPr>
          <w:rFonts w:ascii="Calibri" w:cs="Calibri" w:eastAsia="Calibri" w:hAnsi="Calibri"/>
          <w:b/>
          <w:bCs/>
          <w:color w:val="15243F"/>
          <w:sz w:val="24"/>
          <w:szCs w:val="24"/>
        </w:rPr>
        <w:t xml:space="preserve">15.2 E-E-A-T assessment</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1310"/>
        <w:gridCol w:w="4025"/>
        <w:gridCol w:w="4025"/>
      </w:tblGrid>
      <w:tr>
        <w:trPr>
          <w:tblHeader/>
        </w:trPr>
        <w:tc>
          <w:tcPr>
            <w:tcW w:type="dxa" w:w="1310"/>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Dimension</w:t>
            </w:r>
          </w:p>
        </w:tc>
        <w:tc>
          <w:tcPr>
            <w:tcW w:type="dxa" w:w="402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Current state</w:t>
            </w:r>
          </w:p>
        </w:tc>
        <w:tc>
          <w:tcPr>
            <w:tcW w:type="dxa" w:w="402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Required</w:t>
            </w:r>
          </w:p>
        </w:tc>
      </w:tr>
      <w:tr>
        <w:tc>
          <w:tcPr>
            <w:tcW w:type="dxa" w:w="131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Experience</w:t>
            </w:r>
          </w:p>
        </w:tc>
        <w:tc>
          <w:tcPr>
            <w:tcW w:type="dxa" w:w="402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Three case studies, none navigable, with unverified quantified claims and ambiguous brand attribution.</w:t>
            </w:r>
          </w:p>
        </w:tc>
        <w:tc>
          <w:tcPr>
            <w:tcW w:type="dxa" w:w="402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Detail routes, documented measurement basis, written client consent, and a defensible attribution form of words.</w:t>
            </w:r>
          </w:p>
        </w:tc>
      </w:tr>
      <w:tr>
        <w:tc>
          <w:tcPr>
            <w:tcW w:type="dxa" w:w="131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Expertise</w:t>
            </w:r>
          </w:p>
        </w:tc>
        <w:tc>
          <w:tcPr>
            <w:tcW w:type="dxa" w:w="402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named individual appears anywhere on the site. No author, no leader, no practitioner.</w:t>
            </w:r>
          </w:p>
        </w:tc>
        <w:tc>
          <w:tcPr>
            <w:tcW w:type="dxa" w:w="402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Named leadership, named authors with bios and author routes, and expertise made visible through technical depth rather than asserted through adjectives.</w:t>
            </w:r>
          </w:p>
        </w:tc>
      </w:tr>
      <w:tr>
        <w:tc>
          <w:tcPr>
            <w:tcW w:type="dxa" w:w="131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Authoritativeness</w:t>
            </w:r>
          </w:p>
        </w:tc>
        <w:tc>
          <w:tcPr>
            <w:tcW w:type="dxa" w:w="402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Blog with generic bylines. Partner status implied by a logo, never stated. No original research.</w:t>
            </w:r>
          </w:p>
        </w:tc>
        <w:tc>
          <w:tcPr>
            <w:tcW w:type="dxa" w:w="402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Practitioner-authored Insights, explicit partner statuses, and at least one original evidence asset per quarter.</w:t>
            </w:r>
          </w:p>
        </w:tc>
      </w:tr>
      <w:tr>
        <w:tc>
          <w:tcPr>
            <w:tcW w:type="dxa" w:w="131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Trustworthiness</w:t>
            </w:r>
          </w:p>
        </w:tc>
        <w:tc>
          <w:tcPr>
            <w:tcW w:type="dxa" w:w="402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Legal pages exist. Entity is ambiguous. Proof counters read zero. Locale switcher fabricates footprint.</w:t>
            </w:r>
          </w:p>
        </w:tc>
        <w:tc>
          <w:tcPr>
            <w:tcW w:type="dxa" w:w="402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Verified corporate facts, populated proof registry, accurate market claims, and a trust centre for procurement review.</w:t>
            </w:r>
          </w:p>
        </w:tc>
      </w:tr>
    </w:tbl>
    <w:p>
      <w:pPr>
        <w:pStyle w:val="Heading1"/>
        <w:pageBreakBefore/>
        <w:spacing w:after="200" w:before="240"/>
      </w:pPr>
      <w:r>
        <w:rPr>
          <w:rFonts w:ascii="Calibri" w:cs="Calibri" w:eastAsia="Calibri" w:hAnsi="Calibri"/>
          <w:b/>
          <w:bCs/>
          <w:color w:val="15243F"/>
          <w:sz w:val="32"/>
          <w:szCs w:val="32"/>
        </w:rPr>
        <w:t xml:space="preserve">16. Proof Architecture</w:t>
      </w:r>
    </w:p>
    <w:p>
      <w:pPr>
        <w:spacing w:after="120" w:line="276"/>
      </w:pPr>
      <w:r>
        <w:rPr>
          <w:rFonts w:ascii="Calibri" w:cs="Calibri" w:eastAsia="Calibri" w:hAnsi="Calibri"/>
          <w:color w:val="222222"/>
          <w:sz w:val="20"/>
          <w:szCs w:val="20"/>
        </w:rPr>
        <w:t xml:space="preserve">The governing rule is short: no number publishes without a registry entry. The registry is a maintained document, not a spreadsheet someone made once. Every figure on the site carries an owner, a source, a measurement basis, a client-consent status and a review date, and any figure whose review date has passed is removed until it is re-verified.</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1685"/>
        <w:gridCol w:w="2808"/>
        <w:gridCol w:w="4867"/>
      </w:tblGrid>
      <w:tr>
        <w:trPr>
          <w:tblHeader/>
        </w:trPr>
        <w:tc>
          <w:tcPr>
            <w:tcW w:type="dxa" w:w="168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Proof type</w:t>
            </w:r>
          </w:p>
        </w:tc>
        <w:tc>
          <w:tcPr>
            <w:tcW w:type="dxa" w:w="2808"/>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Current</w:t>
            </w:r>
          </w:p>
        </w:tc>
        <w:tc>
          <w:tcPr>
            <w:tcW w:type="dxa" w:w="4867"/>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Required action</w:t>
            </w:r>
          </w:p>
        </w:tc>
      </w:tr>
      <w:tr>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Client logos</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None</w:t>
            </w:r>
          </w:p>
        </w:tc>
        <w:tc>
          <w:tcPr>
            <w:tcW w:type="dxa" w:w="486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Obtain written display permission before any logo wall is built (A-07).</w:t>
            </w:r>
          </w:p>
        </w:tc>
      </w:tr>
      <w:tr>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 studies</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Three, unlinked, unverified</w:t>
            </w:r>
          </w:p>
        </w:tc>
        <w:tc>
          <w:tcPr>
            <w:tcW w:type="dxa" w:w="486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Detail routes, measurement basis, client consent (A-08, A-09).</w:t>
            </w:r>
          </w:p>
        </w:tc>
      </w:tr>
      <w:tr>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Testimonials</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None</w:t>
            </w:r>
          </w:p>
        </w:tc>
        <w:tc>
          <w:tcPr>
            <w:tcW w:type="dxa" w:w="486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Attributed quotes with name, role and company, or do not publish.</w:t>
            </w:r>
          </w:p>
        </w:tc>
      </w:tr>
      <w:tr>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Certifications</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None stated</w:t>
            </w:r>
          </w:p>
        </w:tc>
        <w:tc>
          <w:tcPr>
            <w:tcW w:type="dxa" w:w="486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Exact certifications and current holder counts (A-05).</w:t>
            </w:r>
          </w:p>
        </w:tc>
      </w:tr>
      <w:tr>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Partner status</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logo in header, status unstated</w:t>
            </w:r>
          </w:p>
        </w:tc>
        <w:tc>
          <w:tcPr>
            <w:tcW w:type="dxa" w:w="486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State the actual partner status and tier, or remove the logo (A-04).</w:t>
            </w:r>
          </w:p>
        </w:tc>
      </w:tr>
      <w:tr>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Named experts</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None</w:t>
            </w:r>
          </w:p>
        </w:tc>
        <w:tc>
          <w:tcPr>
            <w:tcW w:type="dxa" w:w="486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Leadership page and author profiles (A-12).</w:t>
            </w:r>
          </w:p>
        </w:tc>
      </w:tr>
      <w:tr>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Delivery methodology</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Four-stage model on homepage</w:t>
            </w:r>
          </w:p>
        </w:tc>
        <w:tc>
          <w:tcPr>
            <w:tcW w:type="dxa" w:w="486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Retain. It is one of the stronger existing assets — give it a page.</w:t>
            </w:r>
          </w:p>
        </w:tc>
      </w:tr>
      <w:tr>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Scale metrics</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Four counters reading 0+</w:t>
            </w:r>
          </w:p>
        </w:tc>
        <w:tc>
          <w:tcPr>
            <w:tcW w:type="dxa" w:w="486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Remove now. Republish only from the registry (A-06).</w:t>
            </w:r>
          </w:p>
        </w:tc>
      </w:tr>
    </w:tbl>
    <w:p>
      <w:pPr>
        <w:pStyle w:val="Heading1"/>
        <w:pageBreakBefore/>
        <w:spacing w:after="200" w:before="240"/>
      </w:pPr>
      <w:r>
        <w:rPr>
          <w:rFonts w:ascii="Calibri" w:cs="Calibri" w:eastAsia="Calibri" w:hAnsi="Calibri"/>
          <w:b/>
          <w:bCs/>
          <w:color w:val="15243F"/>
          <w:sz w:val="32"/>
          <w:szCs w:val="32"/>
        </w:rPr>
        <w:t xml:space="preserve">17. Page-by-Page Validation</w:t>
      </w:r>
    </w:p>
    <w:p>
      <w:pPr>
        <w:spacing w:after="120" w:line="276"/>
      </w:pPr>
      <w:r>
        <w:rPr>
          <w:rFonts w:ascii="Calibri" w:cs="Calibri" w:eastAsia="Calibri" w:hAnsi="Calibri"/>
          <w:color w:val="222222"/>
          <w:sz w:val="20"/>
          <w:szCs w:val="20"/>
        </w:rPr>
        <w:t xml:space="preserve">Scores out of ten across the six dimensions that differentiate these pages. Pages not listed were inventoried but not individually retrieved; their scores are inherited from the site-wide defects in Section 4 and should be re-scored after Wave 0.</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2246"/>
        <w:gridCol w:w="655"/>
        <w:gridCol w:w="655"/>
        <w:gridCol w:w="655"/>
        <w:gridCol w:w="655"/>
        <w:gridCol w:w="655"/>
        <w:gridCol w:w="655"/>
        <w:gridCol w:w="3182"/>
      </w:tblGrid>
      <w:tr>
        <w:trPr>
          <w:tblHeader/>
        </w:trPr>
        <w:tc>
          <w:tcPr>
            <w:tcW w:type="dxa" w:w="2246"/>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Page</w:t>
            </w:r>
          </w:p>
        </w:tc>
        <w:tc>
          <w:tcPr>
            <w:tcW w:type="dxa" w:w="65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Auth</w:t>
            </w:r>
          </w:p>
        </w:tc>
        <w:tc>
          <w:tcPr>
            <w:tcW w:type="dxa" w:w="65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Tech</w:t>
            </w:r>
          </w:p>
        </w:tc>
        <w:tc>
          <w:tcPr>
            <w:tcW w:type="dxa" w:w="65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SEO</w:t>
            </w:r>
          </w:p>
        </w:tc>
        <w:tc>
          <w:tcPr>
            <w:tcW w:type="dxa" w:w="65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GEO</w:t>
            </w:r>
          </w:p>
        </w:tc>
        <w:tc>
          <w:tcPr>
            <w:tcW w:type="dxa" w:w="65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Proof</w:t>
            </w:r>
          </w:p>
        </w:tc>
        <w:tc>
          <w:tcPr>
            <w:tcW w:type="dxa" w:w="65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Conv</w:t>
            </w:r>
          </w:p>
        </w:tc>
        <w:tc>
          <w:tcPr>
            <w:tcW w:type="dxa" w:w="318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Action</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6</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Rewrite hero support copy, remove counters, deduplicate industries, fix CTA destination</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Artificial Intelligence</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5</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Remove counters, deduplicate cards, fill three empty headings</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Customer Experience</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P0 — two template collisions on one page</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Cybersecurity &amp; Digital Trust</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P0 rewrite per draft blueprint §8.10</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Managed Services</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7</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6</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6</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Strongest capability page. Deepen SLA and governance detail</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Business Advisory</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Rename Transformation Advisory; correct mismatched copy</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 Studies</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5</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P0 — add detail routes; verify every claim</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Who We Are</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5</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Rewrite around verifiable corporate facts</w:t>
            </w:r>
          </w:p>
        </w:tc>
      </w:tr>
      <w:tr>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Blog / Insights</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Rename; add real authors and author routes</w:t>
            </w:r>
          </w:p>
        </w:tc>
      </w:tr>
      <w:tr>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Whitepapers</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2</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Noindex and unlink until assets exist</w:t>
            </w:r>
          </w:p>
        </w:tc>
      </w:tr>
    </w:tbl>
    <w:p>
      <w:pPr>
        <w:pStyle w:val="Heading1"/>
        <w:pageBreakBefore/>
        <w:spacing w:after="200" w:before="240"/>
      </w:pPr>
      <w:r>
        <w:rPr>
          <w:rFonts w:ascii="Calibri" w:cs="Calibri" w:eastAsia="Calibri" w:hAnsi="Calibri"/>
          <w:b/>
          <w:bCs/>
          <w:color w:val="15243F"/>
          <w:sz w:val="32"/>
          <w:szCs w:val="32"/>
        </w:rPr>
        <w:t xml:space="preserve">18. Final Production Content — Homepage</w:t>
      </w:r>
    </w:p>
    <w:p>
      <w:pPr>
        <w:spacing w:after="120" w:line="276"/>
      </w:pPr>
      <w:r>
        <w:rPr>
          <w:rFonts w:ascii="Calibri" w:cs="Calibri" w:eastAsia="Calibri" w:hAnsi="Calibri"/>
          <w:color w:val="222222"/>
          <w:sz w:val="20"/>
          <w:szCs w:val="20"/>
        </w:rPr>
        <w:t xml:space="preserve">Paste-ready. Every string below is approved for production. Content in square brackets is gated on Appendix A and must not publish until the underlying fact is confirmed.</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2059"/>
        <w:gridCol w:w="7301"/>
      </w:tblGrid>
      <w:tr>
        <w:trPr>
          <w:tblHeader/>
        </w:trPr>
        <w:tc>
          <w:tcPr>
            <w:tcW w:type="dxa" w:w="2059"/>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Element</w:t>
            </w:r>
          </w:p>
        </w:tc>
        <w:tc>
          <w:tcPr>
            <w:tcW w:type="dxa" w:w="7301"/>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Approved copy</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EYEBROW</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technology, SAP and managed operations</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H1</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We design, build and run enterprise technology as one system.</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HERO DESCRIPTION</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Ascendus plans, implements and operates the platforms enterprises depend on — SAP and enterprise applications, cloud, data, AI, engineering and security — with the same team accountable from architecture decisions through production support.</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PRIMARY CTA</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Discuss your technology roadmap</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SECONDARY CTA</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See how we work</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2 — H2</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Make enterprise technology work as one system.</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2 — BODY</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Most enterprise programs are not lost on strategy. They are lost in the handoffs: between the firm that designed the architecture and the firm that built it, between the project that went live and the team that has to run it, between a compliance requirement and the system that was already in production when it arrived. Ascendus keeps design, build and run under one accountable team, so architecture context is not re-learned at every stage.</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2 — CTA</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How we are structured</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3 — H2</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 we do</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3 — INTRO</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Twelve capabilities, organised around four decisions an enterprise technology estate actually has to make: what the digital core should become, what runs it, what it knows, and who keeps it working.</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4 — H2</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 digital core that can absorb change</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4 — BODY</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is where most of our clients' operational truth lives, and where the cost of a bad architecture decision compounds longest. We work to reduce unnecessary custom complexity, keep upgrade paths open, and make integration decisions that hold when the next platform change arrives. [PROOF REQUIRED — SAP practice size, certifications and partner status to be supplied and verified before publication.]</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5 — H2</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Why enterprises engage us</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5 — CARD 1</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One accountable team. The people who design the solution implement it and support it. There is no vendor handoff and no lost context between phases.</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5 — CARD 2</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Architecture before configuration. We establish the process, integration and data decisions first, because those are the decisions that are expensive to reverse.</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5 — CARD 3</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Standards-based by default. We build on documented, supported platform patterns to limit lock-in and keep future options open.</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5 — CARD 4</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Regulatory requirements designed in. Compliance obligations are treated as architecture inputs, not as a workstream added after go-live.</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6 — H2</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How we work</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6 — INTRO</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Four stages, one team, no black boxes.</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6 — STAGE 1</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Discover — We start from your operations rather than our service catalogue, and identify where technology is creating friction and where it can carry more of the load.</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6 — STAGE 2</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Design — We define the process, integration, data and security architecture, and agree what will not be customised and why.</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6 — STAGE 3</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Build — The team that designed the solution implements it, so decisions do not have to be reconstructed from documentation.</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6 — STAGE 4</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Run — We operate, monitor and improve the platform after go-live, and eliminate the root causes behind recurring incidents rather than closing them repeatedly.</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7 — H2</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Client outcomes</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7 — INTRO</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Delivery evidence from enterprise programs, published only where the client has approved the detail and the measurement basis is documented.</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7 — CTA</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Review client outcomes</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8 — H2</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 from delivery</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8 — INTRO</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Practitioner-written analysis of the decisions our clients are making now — written by the people who deliver the work, with their names on it.</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9 — H2</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Start the conversation with an architect, not a sales team.</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9 — BODY</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Tell us what your estate looks like now and what has to change. The first conversation is with someone who will be accountable for the answer.</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SECTION 9 — CTA</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Discuss your technology roadmap</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DIRECT ANSWER BLOCK (GEO/AEO) — H2</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 does Ascendus do?</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DIRECT ANSWER BLOCK — BODY</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Ascendus is an enterprise technology services company. It plans, implements and operates SAP and enterprise applications, cloud infrastructure, data platforms, applied AI, custom engineering, cybersecurity and managed operations for large organisations. Ascendus works across the full lifecycle, from transformation planning and architecture through implementation and into ongoing application management, so that architecture decisions and operational accountability stay with one team.</w:t>
            </w:r>
          </w:p>
        </w:tc>
      </w:tr>
    </w:tbl>
    <w:p>
      <w:pPr>
        <w:spacing w:after="120" w:line="276"/>
      </w:pPr>
      <w:r>
        <w:rPr>
          <w:rFonts w:ascii="Calibri" w:cs="Calibri" w:eastAsia="Calibri" w:hAnsi="Calibri"/>
          <w:color w:val="222222"/>
          <w:sz w:val="20"/>
          <w:szCs w:val="20"/>
        </w:rPr>
        <w:t xml:space="preserve"/>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WHAT CHANGED AND WHY</w:t>
            </w:r>
          </w:p>
          <w:p>
            <w:pPr>
              <w:spacing w:after="0" w:line="270"/>
            </w:pPr>
            <w:r>
              <w:rPr>
                <w:rFonts w:ascii="Calibri" w:cs="Calibri" w:eastAsia="Calibri" w:hAnsi="Calibri"/>
                <w:color w:val="222222"/>
                <w:sz w:val="19"/>
                <w:szCs w:val="19"/>
              </w:rPr>
              <w:t xml:space="preserve">The live homepage makes its breadth claim twice, in two adjacent sections with near-identical headlines. The version above makes it once and spends the recovered space on the thing no section currently does: explaining why one accountable team across design, build and run is worth choosing. The four proof counters are removed rather than replaced, and the industries carousel is reduced to four cards rendered once.</w:t>
            </w:r>
          </w:p>
        </w:tc>
      </w:tr>
    </w:tbl>
    <w:p>
      <w:pPr>
        <w:pStyle w:val="Heading1"/>
        <w:pageBreakBefore/>
        <w:spacing w:after="200" w:before="240"/>
      </w:pPr>
      <w:r>
        <w:rPr>
          <w:rFonts w:ascii="Calibri" w:cs="Calibri" w:eastAsia="Calibri" w:hAnsi="Calibri"/>
          <w:b/>
          <w:bCs/>
          <w:color w:val="15243F"/>
          <w:sz w:val="32"/>
          <w:szCs w:val="32"/>
        </w:rPr>
        <w:t xml:space="preserve">19. Section FROM → TO Specification</w:t>
      </w:r>
    </w:p>
    <w:p>
      <w:pPr>
        <w:spacing w:after="120" w:line="276"/>
      </w:pPr>
      <w:r>
        <w:rPr>
          <w:rFonts w:ascii="Calibri" w:cs="Calibri" w:eastAsia="Calibri" w:hAnsi="Calibri"/>
          <w:color w:val="222222"/>
          <w:sz w:val="20"/>
          <w:szCs w:val="20"/>
        </w:rPr>
        <w:t xml:space="preserve">Nine corrections that must be made before launch. Each specifies the exact current string and the exact replacement. Implementation locations are in Section 20.</w:t>
      </w:r>
    </w:p>
    <w:p>
      <w:pPr>
        <w:pStyle w:val="Heading3"/>
        <w:keepNext/>
        <w:keepLines/>
        <w:spacing w:after="100" w:before="200"/>
      </w:pPr>
      <w:r>
        <w:rPr>
          <w:rFonts w:ascii="Calibri" w:cs="Calibri" w:eastAsia="Calibri" w:hAnsi="Calibri"/>
          <w:b/>
          <w:bCs/>
          <w:color w:val="5B3FA8"/>
          <w:sz w:val="21"/>
          <w:szCs w:val="21"/>
        </w:rPr>
        <w:t xml:space="preserve">1. Customer Experience — Capability card 1 — CRM Strategy</w:t>
      </w:r>
    </w:p>
    <w:p>
      <w:pPr>
        <w:spacing w:after="120" w:line="276"/>
      </w:pPr>
      <w:r>
        <w:rPr>
          <w:rFonts w:ascii="Calibri" w:cs="Calibri" w:eastAsia="Calibri" w:hAnsi="Calibri"/>
          <w:color w:val="5A6270"/>
          <w:sz w:val="17"/>
          <w:szCs w:val="17"/>
        </w:rPr>
        <w:t xml:space="preserve">URL: /whatWeDo/customer-experience</w:t>
      </w:r>
    </w:p>
    <w:tbl>
      <w:tblPr>
        <w:tblW w:type="dxa" w:w="9360"/>
        <w:tblBorders>
          <w:top w:val="single" w:color="E0C4C4" w:sz="2"/>
          <w:left w:val="single" w:color="B03030" w:sz="14"/>
          <w:bottom w:val="single" w:color="E0C4C4" w:sz="2"/>
          <w:right w:val="single" w:color="E0C4C4" w:sz="2"/>
          <w:insideH w:val="none"/>
          <w:insideV w:val="none"/>
        </w:tblBorders>
      </w:tblPr>
      <w:tblGrid>
        <w:gridCol w:w="9360"/>
      </w:tblGrid>
      <w:tr>
        <w:tc>
          <w:tcPr>
            <w:tcW w:type="dxa" w:w="9360"/>
            <w:shd w:fill="FBF0F0" w:color="auto" w:val="clear"/>
            <w:tcMar>
              <w:top w:type="dxa" w:w="120"/>
              <w:left w:type="dxa" w:w="170"/>
              <w:bottom w:type="dxa" w:w="120"/>
              <w:right w:type="dxa" w:w="170"/>
            </w:tcMar>
          </w:tcPr>
          <w:p>
            <w:pPr>
              <w:spacing w:after="50"/>
            </w:pPr>
            <w:r>
              <w:rPr>
                <w:rFonts w:ascii="Calibri" w:cs="Calibri" w:eastAsia="Calibri" w:hAnsi="Calibri"/>
                <w:b/>
                <w:bCs/>
                <w:color w:val="B03030"/>
                <w:sz w:val="16"/>
                <w:szCs w:val="16"/>
              </w:rPr>
              <w:t xml:space="preserve">FROM (current live)</w:t>
            </w:r>
          </w:p>
          <w:p>
            <w:pPr>
              <w:spacing w:after="0" w:line="270"/>
            </w:pPr>
            <w:r>
              <w:rPr>
                <w:rFonts w:ascii="Calibri" w:cs="Calibri" w:eastAsia="Calibri" w:hAnsi="Calibri"/>
                <w:sz w:val="19"/>
                <w:szCs w:val="19"/>
              </w:rPr>
              <w:t xml:space="preserve">Modern cyber threats require continuous monitoring supported by advanced analytics, automation, and threat intelligence.</w:t>
            </w:r>
          </w:p>
        </w:tc>
      </w:tr>
    </w:tbl>
    <w:p>
      <w:pPr>
        <w:spacing w:after="60"/>
      </w:pPr>
    </w:p>
    <w:tbl>
      <w:tblPr>
        <w:tblW w:type="dxa" w:w="9360"/>
        <w:tblBorders>
          <w:top w:val="single" w:color="BFD8C4" w:sz="2"/>
          <w:left w:val="single" w:color="2E7D4F" w:sz="14"/>
          <w:bottom w:val="single" w:color="BFD8C4" w:sz="2"/>
          <w:right w:val="single" w:color="BFD8C4" w:sz="2"/>
          <w:insideH w:val="none"/>
          <w:insideV w:val="none"/>
        </w:tblBorders>
      </w:tblPr>
      <w:tblGrid>
        <w:gridCol w:w="9360"/>
      </w:tblGrid>
      <w:tr>
        <w:tc>
          <w:tcPr>
            <w:tcW w:type="dxa" w:w="9360"/>
            <w:shd w:fill="F0F7F2" w:color="auto" w:val="clear"/>
            <w:tcMar>
              <w:top w:type="dxa" w:w="120"/>
              <w:left w:type="dxa" w:w="170"/>
              <w:bottom w:type="dxa" w:w="120"/>
              <w:right w:type="dxa" w:w="170"/>
            </w:tcMar>
          </w:tcPr>
          <w:p>
            <w:pPr>
              <w:spacing w:after="50"/>
            </w:pPr>
            <w:r>
              <w:rPr>
                <w:rFonts w:ascii="Calibri" w:cs="Calibri" w:eastAsia="Calibri" w:hAnsi="Calibri"/>
                <w:b/>
                <w:bCs/>
                <w:color w:val="2E7D4F"/>
                <w:sz w:val="16"/>
                <w:szCs w:val="16"/>
              </w:rPr>
              <w:t xml:space="preserve">TO (approved final)</w:t>
            </w:r>
          </w:p>
          <w:p>
            <w:pPr>
              <w:spacing w:after="0" w:line="270"/>
            </w:pPr>
            <w:r>
              <w:rPr>
                <w:rFonts w:ascii="Calibri" w:cs="Calibri" w:eastAsia="Calibri" w:hAnsi="Calibri"/>
                <w:sz w:val="19"/>
                <w:szCs w:val="19"/>
              </w:rPr>
              <w:t xml:space="preserve">We define the customer engagement model, data model and platform architecture before configuration begins, so the CRM reflects how your sales and service teams actually operate rather than how a template assumes they do.</w:t>
            </w:r>
          </w:p>
        </w:tc>
      </w:tr>
    </w:tbl>
    <w:p>
      <w:pPr>
        <w:spacing w:after="120" w:line="276"/>
      </w:pPr>
      <w:r>
        <w:rPr>
          <w:rFonts w:ascii="Calibri" w:cs="Calibri" w:eastAsia="Calibri" w:hAnsi="Calibri"/>
          <w:color w:val="222222"/>
          <w:sz w:val="20"/>
          <w:szCs w:val="20"/>
        </w:rPr>
        <w:t xml:space="preserve"/>
      </w:r>
    </w:p>
    <w:p>
      <w:pPr>
        <w:spacing w:after="120" w:line="276"/>
      </w:pPr>
      <w:r>
        <w:rPr>
          <w:rFonts w:ascii="Calibri" w:cs="Calibri" w:eastAsia="Calibri" w:hAnsi="Calibri"/>
          <w:color w:val="222222"/>
          <w:sz w:val="19"/>
          <w:szCs w:val="19"/>
        </w:rPr>
        <w:t xml:space="preserve">Reason: Published copy is cybersecurity content under a CRM heading. Technically incoherent and the clearest single indicator on the site that pages were assembled from a template.</w:t>
      </w:r>
    </w:p>
    <w:p>
      <w:pPr>
        <w:pStyle w:val="Heading3"/>
        <w:keepNext/>
        <w:keepLines/>
        <w:spacing w:after="100" w:before="200"/>
      </w:pPr>
      <w:r>
        <w:rPr>
          <w:rFonts w:ascii="Calibri" w:cs="Calibri" w:eastAsia="Calibri" w:hAnsi="Calibri"/>
          <w:b/>
          <w:bCs/>
          <w:color w:val="5B3FA8"/>
          <w:sz w:val="21"/>
          <w:szCs w:val="21"/>
        </w:rPr>
        <w:t xml:space="preserve">2. Customer Experience — "Why Partner With Us" sub-heading</w:t>
      </w:r>
    </w:p>
    <w:p>
      <w:pPr>
        <w:spacing w:after="120" w:line="276"/>
      </w:pPr>
      <w:r>
        <w:rPr>
          <w:rFonts w:ascii="Calibri" w:cs="Calibri" w:eastAsia="Calibri" w:hAnsi="Calibri"/>
          <w:color w:val="5A6270"/>
          <w:sz w:val="17"/>
          <w:szCs w:val="17"/>
        </w:rPr>
        <w:t xml:space="preserve">URL: /whatWeDo/customer-experience</w:t>
      </w:r>
    </w:p>
    <w:tbl>
      <w:tblPr>
        <w:tblW w:type="dxa" w:w="9360"/>
        <w:tblBorders>
          <w:top w:val="single" w:color="E0C4C4" w:sz="2"/>
          <w:left w:val="single" w:color="B03030" w:sz="14"/>
          <w:bottom w:val="single" w:color="E0C4C4" w:sz="2"/>
          <w:right w:val="single" w:color="E0C4C4" w:sz="2"/>
          <w:insideH w:val="none"/>
          <w:insideV w:val="none"/>
        </w:tblBorders>
      </w:tblPr>
      <w:tblGrid>
        <w:gridCol w:w="9360"/>
      </w:tblGrid>
      <w:tr>
        <w:tc>
          <w:tcPr>
            <w:tcW w:type="dxa" w:w="9360"/>
            <w:shd w:fill="FBF0F0" w:color="auto" w:val="clear"/>
            <w:tcMar>
              <w:top w:type="dxa" w:w="120"/>
              <w:left w:type="dxa" w:w="170"/>
              <w:bottom w:type="dxa" w:w="120"/>
              <w:right w:type="dxa" w:w="170"/>
            </w:tcMar>
          </w:tcPr>
          <w:p>
            <w:pPr>
              <w:spacing w:after="50"/>
            </w:pPr>
            <w:r>
              <w:rPr>
                <w:rFonts w:ascii="Calibri" w:cs="Calibri" w:eastAsia="Calibri" w:hAnsi="Calibri"/>
                <w:b/>
                <w:bCs/>
                <w:color w:val="B03030"/>
                <w:sz w:val="16"/>
                <w:szCs w:val="16"/>
              </w:rPr>
              <w:t xml:space="preserve">FROM (current live)</w:t>
            </w:r>
          </w:p>
          <w:p>
            <w:pPr>
              <w:spacing w:after="0" w:line="270"/>
            </w:pPr>
            <w:r>
              <w:rPr>
                <w:rFonts w:ascii="Calibri" w:cs="Calibri" w:eastAsia="Calibri" w:hAnsi="Calibri"/>
                <w:sz w:val="19"/>
                <w:szCs w:val="19"/>
              </w:rPr>
              <w:t xml:space="preserve">Core operational standards driving our managed delivery..</w:t>
            </w:r>
          </w:p>
        </w:tc>
      </w:tr>
    </w:tbl>
    <w:p>
      <w:pPr>
        <w:spacing w:after="60"/>
      </w:pPr>
    </w:p>
    <w:tbl>
      <w:tblPr>
        <w:tblW w:type="dxa" w:w="9360"/>
        <w:tblBorders>
          <w:top w:val="single" w:color="BFD8C4" w:sz="2"/>
          <w:left w:val="single" w:color="2E7D4F" w:sz="14"/>
          <w:bottom w:val="single" w:color="BFD8C4" w:sz="2"/>
          <w:right w:val="single" w:color="BFD8C4" w:sz="2"/>
          <w:insideH w:val="none"/>
          <w:insideV w:val="none"/>
        </w:tblBorders>
      </w:tblPr>
      <w:tblGrid>
        <w:gridCol w:w="9360"/>
      </w:tblGrid>
      <w:tr>
        <w:tc>
          <w:tcPr>
            <w:tcW w:type="dxa" w:w="9360"/>
            <w:shd w:fill="F0F7F2" w:color="auto" w:val="clear"/>
            <w:tcMar>
              <w:top w:type="dxa" w:w="120"/>
              <w:left w:type="dxa" w:w="170"/>
              <w:bottom w:type="dxa" w:w="120"/>
              <w:right w:type="dxa" w:w="170"/>
            </w:tcMar>
          </w:tcPr>
          <w:p>
            <w:pPr>
              <w:spacing w:after="50"/>
            </w:pPr>
            <w:r>
              <w:rPr>
                <w:rFonts w:ascii="Calibri" w:cs="Calibri" w:eastAsia="Calibri" w:hAnsi="Calibri"/>
                <w:b/>
                <w:bCs/>
                <w:color w:val="2E7D4F"/>
                <w:sz w:val="16"/>
                <w:szCs w:val="16"/>
              </w:rPr>
              <w:t xml:space="preserve">TO (approved final)</w:t>
            </w:r>
          </w:p>
          <w:p>
            <w:pPr>
              <w:spacing w:after="0" w:line="270"/>
            </w:pPr>
            <w:r>
              <w:rPr>
                <w:rFonts w:ascii="Calibri" w:cs="Calibri" w:eastAsia="Calibri" w:hAnsi="Calibri"/>
                <w:sz w:val="19"/>
                <w:szCs w:val="19"/>
              </w:rPr>
              <w:t xml:space="preserve">What clients rely on us for in customer experience programs.</w:t>
            </w:r>
          </w:p>
        </w:tc>
      </w:tr>
    </w:tbl>
    <w:p>
      <w:pPr>
        <w:spacing w:after="120" w:line="276"/>
      </w:pPr>
      <w:r>
        <w:rPr>
          <w:rFonts w:ascii="Calibri" w:cs="Calibri" w:eastAsia="Calibri" w:hAnsi="Calibri"/>
          <w:color w:val="222222"/>
          <w:sz w:val="20"/>
          <w:szCs w:val="20"/>
        </w:rPr>
        <w:t xml:space="preserve"/>
      </w:r>
    </w:p>
    <w:p>
      <w:pPr>
        <w:spacing w:after="120" w:line="276"/>
      </w:pPr>
      <w:r>
        <w:rPr>
          <w:rFonts w:ascii="Calibri" w:cs="Calibri" w:eastAsia="Calibri" w:hAnsi="Calibri"/>
          <w:color w:val="222222"/>
          <w:sz w:val="19"/>
          <w:szCs w:val="19"/>
        </w:rPr>
        <w:t xml:space="preserve">Reason: Managed-services copy on a CX page, plus a duplicated full stop. Second template collision on the same page.</w:t>
      </w:r>
    </w:p>
    <w:p>
      <w:pPr>
        <w:pStyle w:val="Heading3"/>
        <w:keepNext/>
        <w:keepLines/>
        <w:spacing w:after="100" w:before="200"/>
      </w:pPr>
      <w:r>
        <w:rPr>
          <w:rFonts w:ascii="Calibri" w:cs="Calibri" w:eastAsia="Calibri" w:hAnsi="Calibri"/>
          <w:b/>
          <w:bCs/>
          <w:color w:val="5B3FA8"/>
          <w:sz w:val="21"/>
          <w:szCs w:val="21"/>
        </w:rPr>
        <w:t xml:space="preserve">3. Homepage — Section 2 support paragraph</w:t>
      </w:r>
    </w:p>
    <w:p>
      <w:pPr>
        <w:spacing w:after="120" w:line="276"/>
      </w:pPr>
      <w:r>
        <w:rPr>
          <w:rFonts w:ascii="Calibri" w:cs="Calibri" w:eastAsia="Calibri" w:hAnsi="Calibri"/>
          <w:color w:val="5A6270"/>
          <w:sz w:val="17"/>
          <w:szCs w:val="17"/>
        </w:rPr>
        <w:t xml:space="preserve">URL: /</w:t>
      </w:r>
    </w:p>
    <w:tbl>
      <w:tblPr>
        <w:tblW w:type="dxa" w:w="9360"/>
        <w:tblBorders>
          <w:top w:val="single" w:color="E0C4C4" w:sz="2"/>
          <w:left w:val="single" w:color="B03030" w:sz="14"/>
          <w:bottom w:val="single" w:color="E0C4C4" w:sz="2"/>
          <w:right w:val="single" w:color="E0C4C4" w:sz="2"/>
          <w:insideH w:val="none"/>
          <w:insideV w:val="none"/>
        </w:tblBorders>
      </w:tblPr>
      <w:tblGrid>
        <w:gridCol w:w="9360"/>
      </w:tblGrid>
      <w:tr>
        <w:tc>
          <w:tcPr>
            <w:tcW w:type="dxa" w:w="9360"/>
            <w:shd w:fill="FBF0F0" w:color="auto" w:val="clear"/>
            <w:tcMar>
              <w:top w:type="dxa" w:w="120"/>
              <w:left w:type="dxa" w:w="170"/>
              <w:bottom w:type="dxa" w:w="120"/>
              <w:right w:type="dxa" w:w="170"/>
            </w:tcMar>
          </w:tcPr>
          <w:p>
            <w:pPr>
              <w:spacing w:after="50"/>
            </w:pPr>
            <w:r>
              <w:rPr>
                <w:rFonts w:ascii="Calibri" w:cs="Calibri" w:eastAsia="Calibri" w:hAnsi="Calibri"/>
                <w:b/>
                <w:bCs/>
                <w:color w:val="B03030"/>
                <w:sz w:val="16"/>
                <w:szCs w:val="16"/>
              </w:rPr>
              <w:t xml:space="preserve">FROM (current live)</w:t>
            </w:r>
          </w:p>
          <w:p>
            <w:pPr>
              <w:spacing w:after="0" w:line="270"/>
            </w:pPr>
            <w:r>
              <w:rPr>
                <w:rFonts w:ascii="Calibri" w:cs="Calibri" w:eastAsia="Calibri" w:hAnsi="Calibri"/>
                <w:sz w:val="19"/>
                <w:szCs w:val="19"/>
              </w:rPr>
              <w:t xml:space="preserve">Most enterprise technology programs don't fail on strategy they fail on execution. Systems that don't talk to each other. Projects that lose momentum after go-live. Compliance bolted on instead of built in. We exists to close that gap , we design, build, and run technology that keeps working long after launch day.</w:t>
            </w:r>
          </w:p>
        </w:tc>
      </w:tr>
    </w:tbl>
    <w:p>
      <w:pPr>
        <w:spacing w:after="60"/>
      </w:pPr>
    </w:p>
    <w:tbl>
      <w:tblPr>
        <w:tblW w:type="dxa" w:w="9360"/>
        <w:tblBorders>
          <w:top w:val="single" w:color="BFD8C4" w:sz="2"/>
          <w:left w:val="single" w:color="2E7D4F" w:sz="14"/>
          <w:bottom w:val="single" w:color="BFD8C4" w:sz="2"/>
          <w:right w:val="single" w:color="BFD8C4" w:sz="2"/>
          <w:insideH w:val="none"/>
          <w:insideV w:val="none"/>
        </w:tblBorders>
      </w:tblPr>
      <w:tblGrid>
        <w:gridCol w:w="9360"/>
      </w:tblGrid>
      <w:tr>
        <w:tc>
          <w:tcPr>
            <w:tcW w:type="dxa" w:w="9360"/>
            <w:shd w:fill="F0F7F2" w:color="auto" w:val="clear"/>
            <w:tcMar>
              <w:top w:type="dxa" w:w="120"/>
              <w:left w:type="dxa" w:w="170"/>
              <w:bottom w:type="dxa" w:w="120"/>
              <w:right w:type="dxa" w:w="170"/>
            </w:tcMar>
          </w:tcPr>
          <w:p>
            <w:pPr>
              <w:spacing w:after="50"/>
            </w:pPr>
            <w:r>
              <w:rPr>
                <w:rFonts w:ascii="Calibri" w:cs="Calibri" w:eastAsia="Calibri" w:hAnsi="Calibri"/>
                <w:b/>
                <w:bCs/>
                <w:color w:val="2E7D4F"/>
                <w:sz w:val="16"/>
                <w:szCs w:val="16"/>
              </w:rPr>
              <w:t xml:space="preserve">TO (approved final)</w:t>
            </w:r>
          </w:p>
          <w:p>
            <w:pPr>
              <w:spacing w:after="0" w:line="270"/>
            </w:pPr>
            <w:r>
              <w:rPr>
                <w:rFonts w:ascii="Calibri" w:cs="Calibri" w:eastAsia="Calibri" w:hAnsi="Calibri"/>
                <w:sz w:val="19"/>
                <w:szCs w:val="19"/>
              </w:rPr>
              <w:t xml:space="preserve">See Section 18, SECTION 2 — BODY.</w:t>
            </w:r>
          </w:p>
        </w:tc>
      </w:tr>
    </w:tbl>
    <w:p>
      <w:pPr>
        <w:spacing w:after="120" w:line="276"/>
      </w:pPr>
      <w:r>
        <w:rPr>
          <w:rFonts w:ascii="Calibri" w:cs="Calibri" w:eastAsia="Calibri" w:hAnsi="Calibri"/>
          <w:color w:val="222222"/>
          <w:sz w:val="20"/>
          <w:szCs w:val="20"/>
        </w:rPr>
        <w:t xml:space="preserve"/>
      </w:r>
    </w:p>
    <w:p>
      <w:pPr>
        <w:spacing w:after="120" w:line="276"/>
      </w:pPr>
      <w:r>
        <w:rPr>
          <w:rFonts w:ascii="Calibri" w:cs="Calibri" w:eastAsia="Calibri" w:hAnsi="Calibri"/>
          <w:color w:val="222222"/>
          <w:sz w:val="19"/>
          <w:szCs w:val="19"/>
        </w:rPr>
        <w:t xml:space="preserve">Reason: Subject-verb disagreement ("We exists"), floating comma before "we design", comma splice, and a missing comma after "strategy". Four defects in five sentences, in the first screen after the H1.</w:t>
      </w:r>
    </w:p>
    <w:p>
      <w:pPr>
        <w:pStyle w:val="Heading3"/>
        <w:keepNext/>
        <w:keepLines/>
        <w:spacing w:after="100" w:before="200"/>
      </w:pPr>
      <w:r>
        <w:rPr>
          <w:rFonts w:ascii="Calibri" w:cs="Calibri" w:eastAsia="Calibri" w:hAnsi="Calibri"/>
          <w:b/>
          <w:bCs/>
          <w:color w:val="5B3FA8"/>
          <w:sz w:val="21"/>
          <w:szCs w:val="21"/>
        </w:rPr>
        <w:t xml:space="preserve">4. Homepage — Capability card — Execution Discipline</w:t>
      </w:r>
    </w:p>
    <w:p>
      <w:pPr>
        <w:spacing w:after="120" w:line="276"/>
      </w:pPr>
      <w:r>
        <w:rPr>
          <w:rFonts w:ascii="Calibri" w:cs="Calibri" w:eastAsia="Calibri" w:hAnsi="Calibri"/>
          <w:color w:val="5A6270"/>
          <w:sz w:val="17"/>
          <w:szCs w:val="17"/>
        </w:rPr>
        <w:t xml:space="preserve">URL: /</w:t>
      </w:r>
    </w:p>
    <w:tbl>
      <w:tblPr>
        <w:tblW w:type="dxa" w:w="9360"/>
        <w:tblBorders>
          <w:top w:val="single" w:color="E0C4C4" w:sz="2"/>
          <w:left w:val="single" w:color="B03030" w:sz="14"/>
          <w:bottom w:val="single" w:color="E0C4C4" w:sz="2"/>
          <w:right w:val="single" w:color="E0C4C4" w:sz="2"/>
          <w:insideH w:val="none"/>
          <w:insideV w:val="none"/>
        </w:tblBorders>
      </w:tblPr>
      <w:tblGrid>
        <w:gridCol w:w="9360"/>
      </w:tblGrid>
      <w:tr>
        <w:tc>
          <w:tcPr>
            <w:tcW w:type="dxa" w:w="9360"/>
            <w:shd w:fill="FBF0F0" w:color="auto" w:val="clear"/>
            <w:tcMar>
              <w:top w:type="dxa" w:w="120"/>
              <w:left w:type="dxa" w:w="170"/>
              <w:bottom w:type="dxa" w:w="120"/>
              <w:right w:type="dxa" w:w="170"/>
            </w:tcMar>
          </w:tcPr>
          <w:p>
            <w:pPr>
              <w:spacing w:after="50"/>
            </w:pPr>
            <w:r>
              <w:rPr>
                <w:rFonts w:ascii="Calibri" w:cs="Calibri" w:eastAsia="Calibri" w:hAnsi="Calibri"/>
                <w:b/>
                <w:bCs/>
                <w:color w:val="B03030"/>
                <w:sz w:val="16"/>
                <w:szCs w:val="16"/>
              </w:rPr>
              <w:t xml:space="preserve">FROM (current live)</w:t>
            </w:r>
          </w:p>
          <w:p>
            <w:pPr>
              <w:spacing w:after="0" w:line="270"/>
            </w:pPr>
            <w:r>
              <w:rPr>
                <w:rFonts w:ascii="Calibri" w:cs="Calibri" w:eastAsia="Calibri" w:hAnsi="Calibri"/>
                <w:sz w:val="19"/>
                <w:szCs w:val="19"/>
              </w:rPr>
              <w:t xml:space="preserve">Flexible, standards-based architectures that minimize vendor lock-in and protect your longterm roadmap.</w:t>
            </w:r>
          </w:p>
        </w:tc>
      </w:tr>
    </w:tbl>
    <w:p>
      <w:pPr>
        <w:spacing w:after="60"/>
      </w:pPr>
    </w:p>
    <w:tbl>
      <w:tblPr>
        <w:tblW w:type="dxa" w:w="9360"/>
        <w:tblBorders>
          <w:top w:val="single" w:color="BFD8C4" w:sz="2"/>
          <w:left w:val="single" w:color="2E7D4F" w:sz="14"/>
          <w:bottom w:val="single" w:color="BFD8C4" w:sz="2"/>
          <w:right w:val="single" w:color="BFD8C4" w:sz="2"/>
          <w:insideH w:val="none"/>
          <w:insideV w:val="none"/>
        </w:tblBorders>
      </w:tblPr>
      <w:tblGrid>
        <w:gridCol w:w="9360"/>
      </w:tblGrid>
      <w:tr>
        <w:tc>
          <w:tcPr>
            <w:tcW w:type="dxa" w:w="9360"/>
            <w:shd w:fill="F0F7F2" w:color="auto" w:val="clear"/>
            <w:tcMar>
              <w:top w:type="dxa" w:w="120"/>
              <w:left w:type="dxa" w:w="170"/>
              <w:bottom w:type="dxa" w:w="120"/>
              <w:right w:type="dxa" w:w="170"/>
            </w:tcMar>
          </w:tcPr>
          <w:p>
            <w:pPr>
              <w:spacing w:after="50"/>
            </w:pPr>
            <w:r>
              <w:rPr>
                <w:rFonts w:ascii="Calibri" w:cs="Calibri" w:eastAsia="Calibri" w:hAnsi="Calibri"/>
                <w:b/>
                <w:bCs/>
                <w:color w:val="2E7D4F"/>
                <w:sz w:val="16"/>
                <w:szCs w:val="16"/>
              </w:rPr>
              <w:t xml:space="preserve">TO (approved final)</w:t>
            </w:r>
          </w:p>
          <w:p>
            <w:pPr>
              <w:spacing w:after="0" w:line="270"/>
            </w:pPr>
            <w:r>
              <w:rPr>
                <w:rFonts w:ascii="Calibri" w:cs="Calibri" w:eastAsia="Calibri" w:hAnsi="Calibri"/>
                <w:sz w:val="19"/>
                <w:szCs w:val="19"/>
              </w:rPr>
              <w:t xml:space="preserve">Standards-based architectures that limit vendor lock-in and keep your long-term roadmap open.</w:t>
            </w:r>
          </w:p>
        </w:tc>
      </w:tr>
    </w:tbl>
    <w:p>
      <w:pPr>
        <w:spacing w:after="120" w:line="276"/>
      </w:pPr>
      <w:r>
        <w:rPr>
          <w:rFonts w:ascii="Calibri" w:cs="Calibri" w:eastAsia="Calibri" w:hAnsi="Calibri"/>
          <w:color w:val="222222"/>
          <w:sz w:val="20"/>
          <w:szCs w:val="20"/>
        </w:rPr>
        <w:t xml:space="preserve"/>
      </w:r>
    </w:p>
    <w:p>
      <w:pPr>
        <w:spacing w:after="120" w:line="276"/>
      </w:pPr>
      <w:r>
        <w:rPr>
          <w:rFonts w:ascii="Calibri" w:cs="Calibri" w:eastAsia="Calibri" w:hAnsi="Calibri"/>
          <w:color w:val="222222"/>
          <w:sz w:val="19"/>
          <w:szCs w:val="19"/>
        </w:rPr>
        <w:t xml:space="preserve">Reason: "longterm" is not a word. The card is about execution discipline.</w:t>
      </w:r>
    </w:p>
    <w:p>
      <w:pPr>
        <w:pStyle w:val="Heading3"/>
        <w:keepNext/>
        <w:keepLines/>
        <w:spacing w:after="100" w:before="200"/>
      </w:pPr>
      <w:r>
        <w:rPr>
          <w:rFonts w:ascii="Calibri" w:cs="Calibri" w:eastAsia="Calibri" w:hAnsi="Calibri"/>
          <w:b/>
          <w:bCs/>
          <w:color w:val="5B3FA8"/>
          <w:sz w:val="21"/>
          <w:szCs w:val="21"/>
        </w:rPr>
        <w:t xml:space="preserve">5. Homepage — Global footer — entity line</w:t>
      </w:r>
    </w:p>
    <w:p>
      <w:pPr>
        <w:spacing w:after="120" w:line="276"/>
      </w:pPr>
      <w:r>
        <w:rPr>
          <w:rFonts w:ascii="Calibri" w:cs="Calibri" w:eastAsia="Calibri" w:hAnsi="Calibri"/>
          <w:color w:val="5A6270"/>
          <w:sz w:val="17"/>
          <w:szCs w:val="17"/>
        </w:rPr>
        <w:t xml:space="preserve">URL: /</w:t>
      </w:r>
    </w:p>
    <w:tbl>
      <w:tblPr>
        <w:tblW w:type="dxa" w:w="9360"/>
        <w:tblBorders>
          <w:top w:val="single" w:color="E0C4C4" w:sz="2"/>
          <w:left w:val="single" w:color="B03030" w:sz="14"/>
          <w:bottom w:val="single" w:color="E0C4C4" w:sz="2"/>
          <w:right w:val="single" w:color="E0C4C4" w:sz="2"/>
          <w:insideH w:val="none"/>
          <w:insideV w:val="none"/>
        </w:tblBorders>
      </w:tblPr>
      <w:tblGrid>
        <w:gridCol w:w="9360"/>
      </w:tblGrid>
      <w:tr>
        <w:tc>
          <w:tcPr>
            <w:tcW w:type="dxa" w:w="9360"/>
            <w:shd w:fill="FBF0F0" w:color="auto" w:val="clear"/>
            <w:tcMar>
              <w:top w:type="dxa" w:w="120"/>
              <w:left w:type="dxa" w:w="170"/>
              <w:bottom w:type="dxa" w:w="120"/>
              <w:right w:type="dxa" w:w="170"/>
            </w:tcMar>
          </w:tcPr>
          <w:p>
            <w:pPr>
              <w:spacing w:after="50"/>
            </w:pPr>
            <w:r>
              <w:rPr>
                <w:rFonts w:ascii="Calibri" w:cs="Calibri" w:eastAsia="Calibri" w:hAnsi="Calibri"/>
                <w:b/>
                <w:bCs/>
                <w:color w:val="B03030"/>
                <w:sz w:val="16"/>
                <w:szCs w:val="16"/>
              </w:rPr>
              <w:t xml:space="preserve">FROM (current live)</w:t>
            </w:r>
          </w:p>
          <w:p>
            <w:pPr>
              <w:spacing w:after="0" w:line="270"/>
            </w:pPr>
            <w:r>
              <w:rPr>
                <w:rFonts w:ascii="Calibri" w:cs="Calibri" w:eastAsia="Calibri" w:hAnsi="Calibri"/>
                <w:sz w:val="19"/>
                <w:szCs w:val="19"/>
              </w:rPr>
              <w:t xml:space="preserve">Ascendus Powder by Support Studio Technologies</w:t>
            </w:r>
          </w:p>
        </w:tc>
      </w:tr>
    </w:tbl>
    <w:p>
      <w:pPr>
        <w:spacing w:after="60"/>
      </w:pPr>
    </w:p>
    <w:tbl>
      <w:tblPr>
        <w:tblW w:type="dxa" w:w="9360"/>
        <w:tblBorders>
          <w:top w:val="single" w:color="BFD8C4" w:sz="2"/>
          <w:left w:val="single" w:color="2E7D4F" w:sz="14"/>
          <w:bottom w:val="single" w:color="BFD8C4" w:sz="2"/>
          <w:right w:val="single" w:color="BFD8C4" w:sz="2"/>
          <w:insideH w:val="none"/>
          <w:insideV w:val="none"/>
        </w:tblBorders>
      </w:tblPr>
      <w:tblGrid>
        <w:gridCol w:w="9360"/>
      </w:tblGrid>
      <w:tr>
        <w:tc>
          <w:tcPr>
            <w:tcW w:type="dxa" w:w="9360"/>
            <w:shd w:fill="F0F7F2" w:color="auto" w:val="clear"/>
            <w:tcMar>
              <w:top w:type="dxa" w:w="120"/>
              <w:left w:type="dxa" w:w="170"/>
              <w:bottom w:type="dxa" w:w="120"/>
              <w:right w:type="dxa" w:w="170"/>
            </w:tcMar>
          </w:tcPr>
          <w:p>
            <w:pPr>
              <w:spacing w:after="50"/>
            </w:pPr>
            <w:r>
              <w:rPr>
                <w:rFonts w:ascii="Calibri" w:cs="Calibri" w:eastAsia="Calibri" w:hAnsi="Calibri"/>
                <w:b/>
                <w:bCs/>
                <w:color w:val="2E7D4F"/>
                <w:sz w:val="16"/>
                <w:szCs w:val="16"/>
              </w:rPr>
              <w:t xml:space="preserve">TO (approved final)</w:t>
            </w:r>
          </w:p>
          <w:p>
            <w:pPr>
              <w:spacing w:after="0" w:line="270"/>
            </w:pPr>
            <w:r>
              <w:rPr>
                <w:rFonts w:ascii="Calibri" w:cs="Calibri" w:eastAsia="Calibri" w:hAnsi="Calibri"/>
                <w:sz w:val="19"/>
                <w:szCs w:val="19"/>
              </w:rPr>
              <w:t xml:space="preserve">[CLIENT VALIDATION REQUIRED] — see Appendix A, item A-01. The final string must be the legally accurate relationship, e.g. "Ascendus is a business of Support Studio Technologies" or "Ascendus, a Support Studio Technologies company". Do not publish until legal confirms.</w:t>
            </w:r>
          </w:p>
        </w:tc>
      </w:tr>
    </w:tbl>
    <w:p>
      <w:pPr>
        <w:spacing w:after="120" w:line="276"/>
      </w:pPr>
      <w:r>
        <w:rPr>
          <w:rFonts w:ascii="Calibri" w:cs="Calibri" w:eastAsia="Calibri" w:hAnsi="Calibri"/>
          <w:color w:val="222222"/>
          <w:sz w:val="20"/>
          <w:szCs w:val="20"/>
        </w:rPr>
        <w:t xml:space="preserve"/>
      </w:r>
    </w:p>
    <w:p>
      <w:pPr>
        <w:spacing w:after="120" w:line="276"/>
      </w:pPr>
      <w:r>
        <w:rPr>
          <w:rFonts w:ascii="Calibri" w:cs="Calibri" w:eastAsia="Calibri" w:hAnsi="Calibri"/>
          <w:color w:val="222222"/>
          <w:sz w:val="19"/>
          <w:szCs w:val="19"/>
        </w:rPr>
        <w:t xml:space="preserve">Reason: "Powder" for "Powered". Beyond the typo, the relationship itself has never been formally stated and is the root of the entity ambiguity at C-011, C-012 and C-021.</w:t>
      </w:r>
    </w:p>
    <w:p>
      <w:pPr>
        <w:pStyle w:val="Heading3"/>
        <w:keepNext/>
        <w:keepLines/>
        <w:spacing w:after="100" w:before="200"/>
      </w:pPr>
      <w:r>
        <w:rPr>
          <w:rFonts w:ascii="Calibri" w:cs="Calibri" w:eastAsia="Calibri" w:hAnsi="Calibri"/>
          <w:b/>
          <w:bCs/>
          <w:color w:val="5B3FA8"/>
          <w:sz w:val="21"/>
          <w:szCs w:val="21"/>
        </w:rPr>
        <w:t xml:space="preserve">6. Artificial Intelligence — Proof counter block</w:t>
      </w:r>
    </w:p>
    <w:p>
      <w:pPr>
        <w:spacing w:after="120" w:line="276"/>
      </w:pPr>
      <w:r>
        <w:rPr>
          <w:rFonts w:ascii="Calibri" w:cs="Calibri" w:eastAsia="Calibri" w:hAnsi="Calibri"/>
          <w:color w:val="5A6270"/>
          <w:sz w:val="17"/>
          <w:szCs w:val="17"/>
        </w:rPr>
        <w:t xml:space="preserve">URL: /whatWeDo/artificial-intelligence</w:t>
      </w:r>
    </w:p>
    <w:tbl>
      <w:tblPr>
        <w:tblW w:type="dxa" w:w="9360"/>
        <w:tblBorders>
          <w:top w:val="single" w:color="E0C4C4" w:sz="2"/>
          <w:left w:val="single" w:color="B03030" w:sz="14"/>
          <w:bottom w:val="single" w:color="E0C4C4" w:sz="2"/>
          <w:right w:val="single" w:color="E0C4C4" w:sz="2"/>
          <w:insideH w:val="none"/>
          <w:insideV w:val="none"/>
        </w:tblBorders>
      </w:tblPr>
      <w:tblGrid>
        <w:gridCol w:w="9360"/>
      </w:tblGrid>
      <w:tr>
        <w:tc>
          <w:tcPr>
            <w:tcW w:type="dxa" w:w="9360"/>
            <w:shd w:fill="FBF0F0" w:color="auto" w:val="clear"/>
            <w:tcMar>
              <w:top w:type="dxa" w:w="120"/>
              <w:left w:type="dxa" w:w="170"/>
              <w:bottom w:type="dxa" w:w="120"/>
              <w:right w:type="dxa" w:w="170"/>
            </w:tcMar>
          </w:tcPr>
          <w:p>
            <w:pPr>
              <w:spacing w:after="50"/>
            </w:pPr>
            <w:r>
              <w:rPr>
                <w:rFonts w:ascii="Calibri" w:cs="Calibri" w:eastAsia="Calibri" w:hAnsi="Calibri"/>
                <w:b/>
                <w:bCs/>
                <w:color w:val="B03030"/>
                <w:sz w:val="16"/>
                <w:szCs w:val="16"/>
              </w:rPr>
              <w:t xml:space="preserve">FROM (current live)</w:t>
            </w:r>
          </w:p>
          <w:p>
            <w:pPr>
              <w:spacing w:after="0" w:line="270"/>
            </w:pPr>
            <w:r>
              <w:rPr>
                <w:rFonts w:ascii="Calibri" w:cs="Calibri" w:eastAsia="Calibri" w:hAnsi="Calibri"/>
                <w:sz w:val="19"/>
                <w:szCs w:val="19"/>
              </w:rPr>
              <w:t xml:space="preserve">0+ AI Solutions Delivered · 0% Faster Decision Cycles · 0% Processes Automated · 0.0% AI Operations Availability</w:t>
            </w:r>
          </w:p>
        </w:tc>
      </w:tr>
    </w:tbl>
    <w:p>
      <w:pPr>
        <w:spacing w:after="60"/>
      </w:pPr>
    </w:p>
    <w:tbl>
      <w:tblPr>
        <w:tblW w:type="dxa" w:w="9360"/>
        <w:tblBorders>
          <w:top w:val="single" w:color="BFD8C4" w:sz="2"/>
          <w:left w:val="single" w:color="2E7D4F" w:sz="14"/>
          <w:bottom w:val="single" w:color="BFD8C4" w:sz="2"/>
          <w:right w:val="single" w:color="BFD8C4" w:sz="2"/>
          <w:insideH w:val="none"/>
          <w:insideV w:val="none"/>
        </w:tblBorders>
      </w:tblPr>
      <w:tblGrid>
        <w:gridCol w:w="9360"/>
      </w:tblGrid>
      <w:tr>
        <w:tc>
          <w:tcPr>
            <w:tcW w:type="dxa" w:w="9360"/>
            <w:shd w:fill="F0F7F2" w:color="auto" w:val="clear"/>
            <w:tcMar>
              <w:top w:type="dxa" w:w="120"/>
              <w:left w:type="dxa" w:w="170"/>
              <w:bottom w:type="dxa" w:w="120"/>
              <w:right w:type="dxa" w:w="170"/>
            </w:tcMar>
          </w:tcPr>
          <w:p>
            <w:pPr>
              <w:spacing w:after="50"/>
            </w:pPr>
            <w:r>
              <w:rPr>
                <w:rFonts w:ascii="Calibri" w:cs="Calibri" w:eastAsia="Calibri" w:hAnsi="Calibri"/>
                <w:b/>
                <w:bCs/>
                <w:color w:val="2E7D4F"/>
                <w:sz w:val="16"/>
                <w:szCs w:val="16"/>
              </w:rPr>
              <w:t xml:space="preserve">TO (approved final)</w:t>
            </w:r>
          </w:p>
          <w:p>
            <w:pPr>
              <w:spacing w:after="0" w:line="270"/>
            </w:pPr>
            <w:r>
              <w:rPr>
                <w:rFonts w:ascii="Calibri" w:cs="Calibri" w:eastAsia="Calibri" w:hAnsi="Calibri"/>
                <w:sz w:val="19"/>
                <w:szCs w:val="19"/>
              </w:rPr>
              <w:t xml:space="preserve">Remove the block. Do not replace with estimates. Re-introduce only when each figure has an entry in the proof registry with an owner, a source and a measurement basis.</w:t>
            </w:r>
          </w:p>
        </w:tc>
      </w:tr>
    </w:tbl>
    <w:p>
      <w:pPr>
        <w:spacing w:after="120" w:line="276"/>
      </w:pPr>
      <w:r>
        <w:rPr>
          <w:rFonts w:ascii="Calibri" w:cs="Calibri" w:eastAsia="Calibri" w:hAnsi="Calibri"/>
          <w:color w:val="222222"/>
          <w:sz w:val="20"/>
          <w:szCs w:val="20"/>
        </w:rPr>
        <w:t xml:space="preserve"/>
      </w:r>
    </w:p>
    <w:p>
      <w:pPr>
        <w:spacing w:after="120" w:line="276"/>
      </w:pPr>
      <w:r>
        <w:rPr>
          <w:rFonts w:ascii="Calibri" w:cs="Calibri" w:eastAsia="Calibri" w:hAnsi="Calibri"/>
          <w:color w:val="222222"/>
          <w:sz w:val="19"/>
          <w:szCs w:val="19"/>
        </w:rPr>
        <w:t xml:space="preserve">Reason: A counter that reads zero is worse than no counter: it states the claim and then denies it.</w:t>
      </w:r>
    </w:p>
    <w:p>
      <w:pPr>
        <w:pStyle w:val="Heading3"/>
        <w:keepNext/>
        <w:keepLines/>
        <w:spacing w:after="100" w:before="200"/>
      </w:pPr>
      <w:r>
        <w:rPr>
          <w:rFonts w:ascii="Calibri" w:cs="Calibri" w:eastAsia="Calibri" w:hAnsi="Calibri"/>
          <w:b/>
          <w:bCs/>
          <w:color w:val="5B3FA8"/>
          <w:sz w:val="21"/>
          <w:szCs w:val="21"/>
        </w:rPr>
        <w:t xml:space="preserve">7. Artificial Intelligence — Empty headings</w:t>
      </w:r>
    </w:p>
    <w:p>
      <w:pPr>
        <w:spacing w:after="120" w:line="276"/>
      </w:pPr>
      <w:r>
        <w:rPr>
          <w:rFonts w:ascii="Calibri" w:cs="Calibri" w:eastAsia="Calibri" w:hAnsi="Calibri"/>
          <w:color w:val="5A6270"/>
          <w:sz w:val="17"/>
          <w:szCs w:val="17"/>
        </w:rPr>
        <w:t xml:space="preserve">URL: /whatWeDo/artificial-intelligence</w:t>
      </w:r>
    </w:p>
    <w:tbl>
      <w:tblPr>
        <w:tblW w:type="dxa" w:w="9360"/>
        <w:tblBorders>
          <w:top w:val="single" w:color="E0C4C4" w:sz="2"/>
          <w:left w:val="single" w:color="B03030" w:sz="14"/>
          <w:bottom w:val="single" w:color="E0C4C4" w:sz="2"/>
          <w:right w:val="single" w:color="E0C4C4" w:sz="2"/>
          <w:insideH w:val="none"/>
          <w:insideV w:val="none"/>
        </w:tblBorders>
      </w:tblPr>
      <w:tblGrid>
        <w:gridCol w:w="9360"/>
      </w:tblGrid>
      <w:tr>
        <w:tc>
          <w:tcPr>
            <w:tcW w:type="dxa" w:w="9360"/>
            <w:shd w:fill="FBF0F0" w:color="auto" w:val="clear"/>
            <w:tcMar>
              <w:top w:type="dxa" w:w="120"/>
              <w:left w:type="dxa" w:w="170"/>
              <w:bottom w:type="dxa" w:w="120"/>
              <w:right w:type="dxa" w:w="170"/>
            </w:tcMar>
          </w:tcPr>
          <w:p>
            <w:pPr>
              <w:spacing w:after="50"/>
            </w:pPr>
            <w:r>
              <w:rPr>
                <w:rFonts w:ascii="Calibri" w:cs="Calibri" w:eastAsia="Calibri" w:hAnsi="Calibri"/>
                <w:b/>
                <w:bCs/>
                <w:color w:val="B03030"/>
                <w:sz w:val="16"/>
                <w:szCs w:val="16"/>
              </w:rPr>
              <w:t xml:space="preserve">FROM (current live)</w:t>
            </w:r>
          </w:p>
          <w:p>
            <w:pPr>
              <w:spacing w:after="0" w:line="270"/>
            </w:pPr>
            <w:r>
              <w:rPr>
                <w:rFonts w:ascii="Calibri" w:cs="Calibri" w:eastAsia="Calibri" w:hAnsi="Calibri"/>
                <w:sz w:val="19"/>
                <w:szCs w:val="19"/>
              </w:rPr>
              <w:t xml:space="preserve">Headings "Intelligent Assistants", "Predictive Intelligence" and "AI Governance" render with no body copy.</w:t>
            </w:r>
          </w:p>
        </w:tc>
      </w:tr>
    </w:tbl>
    <w:p>
      <w:pPr>
        <w:spacing w:after="60"/>
      </w:pPr>
    </w:p>
    <w:tbl>
      <w:tblPr>
        <w:tblW w:type="dxa" w:w="9360"/>
        <w:tblBorders>
          <w:top w:val="single" w:color="BFD8C4" w:sz="2"/>
          <w:left w:val="single" w:color="2E7D4F" w:sz="14"/>
          <w:bottom w:val="single" w:color="BFD8C4" w:sz="2"/>
          <w:right w:val="single" w:color="BFD8C4" w:sz="2"/>
          <w:insideH w:val="none"/>
          <w:insideV w:val="none"/>
        </w:tblBorders>
      </w:tblPr>
      <w:tblGrid>
        <w:gridCol w:w="9360"/>
      </w:tblGrid>
      <w:tr>
        <w:tc>
          <w:tcPr>
            <w:tcW w:type="dxa" w:w="9360"/>
            <w:shd w:fill="F0F7F2" w:color="auto" w:val="clear"/>
            <w:tcMar>
              <w:top w:type="dxa" w:w="120"/>
              <w:left w:type="dxa" w:w="170"/>
              <w:bottom w:type="dxa" w:w="120"/>
              <w:right w:type="dxa" w:w="170"/>
            </w:tcMar>
          </w:tcPr>
          <w:p>
            <w:pPr>
              <w:spacing w:after="50"/>
            </w:pPr>
            <w:r>
              <w:rPr>
                <w:rFonts w:ascii="Calibri" w:cs="Calibri" w:eastAsia="Calibri" w:hAnsi="Calibri"/>
                <w:b/>
                <w:bCs/>
                <w:color w:val="2E7D4F"/>
                <w:sz w:val="16"/>
                <w:szCs w:val="16"/>
              </w:rPr>
              <w:t xml:space="preserve">TO (approved final)</w:t>
            </w:r>
          </w:p>
          <w:p>
            <w:pPr>
              <w:spacing w:after="0" w:line="270"/>
            </w:pPr>
            <w:r>
              <w:rPr>
                <w:rFonts w:ascii="Calibri" w:cs="Calibri" w:eastAsia="Calibri" w:hAnsi="Calibri"/>
                <w:sz w:val="19"/>
                <w:szCs w:val="19"/>
              </w:rPr>
              <w:t xml:space="preserve">Supply copy for each, or remove the headings. AI Governance in particular should carry real content — it is the differentiator on this page and the topic enterprise buyers screen for.</w:t>
            </w:r>
          </w:p>
        </w:tc>
      </w:tr>
    </w:tbl>
    <w:p>
      <w:pPr>
        <w:spacing w:after="120" w:line="276"/>
      </w:pPr>
      <w:r>
        <w:rPr>
          <w:rFonts w:ascii="Calibri" w:cs="Calibri" w:eastAsia="Calibri" w:hAnsi="Calibri"/>
          <w:color w:val="222222"/>
          <w:sz w:val="20"/>
          <w:szCs w:val="20"/>
        </w:rPr>
        <w:t xml:space="preserve"/>
      </w:r>
    </w:p>
    <w:p>
      <w:pPr>
        <w:spacing w:after="120" w:line="276"/>
      </w:pPr>
      <w:r>
        <w:rPr>
          <w:rFonts w:ascii="Calibri" w:cs="Calibri" w:eastAsia="Calibri" w:hAnsi="Calibri"/>
          <w:color w:val="222222"/>
          <w:sz w:val="19"/>
          <w:szCs w:val="19"/>
        </w:rPr>
        <w:t xml:space="preserve">Reason: Headings that promise content and deliver none read as an unfinished build to both evaluators and parsers.</w:t>
      </w:r>
    </w:p>
    <w:p>
      <w:pPr>
        <w:pStyle w:val="Heading3"/>
        <w:keepNext/>
        <w:keepLines/>
        <w:spacing w:after="100" w:before="200"/>
      </w:pPr>
      <w:r>
        <w:rPr>
          <w:rFonts w:ascii="Calibri" w:cs="Calibri" w:eastAsia="Calibri" w:hAnsi="Calibri"/>
          <w:b/>
          <w:bCs/>
          <w:color w:val="5B3FA8"/>
          <w:sz w:val="21"/>
          <w:szCs w:val="21"/>
        </w:rPr>
        <w:t xml:space="preserve">8. Global header — Locale and language switcher</w:t>
      </w:r>
    </w:p>
    <w:p>
      <w:pPr>
        <w:spacing w:after="120" w:line="276"/>
      </w:pPr>
      <w:r>
        <w:rPr>
          <w:rFonts w:ascii="Calibri" w:cs="Calibri" w:eastAsia="Calibri" w:hAnsi="Calibri"/>
          <w:color w:val="5A6270"/>
          <w:sz w:val="17"/>
          <w:szCs w:val="17"/>
        </w:rPr>
        <w:t xml:space="preserve">URL: All</w:t>
      </w:r>
    </w:p>
    <w:tbl>
      <w:tblPr>
        <w:tblW w:type="dxa" w:w="9360"/>
        <w:tblBorders>
          <w:top w:val="single" w:color="E0C4C4" w:sz="2"/>
          <w:left w:val="single" w:color="B03030" w:sz="14"/>
          <w:bottom w:val="single" w:color="E0C4C4" w:sz="2"/>
          <w:right w:val="single" w:color="E0C4C4" w:sz="2"/>
          <w:insideH w:val="none"/>
          <w:insideV w:val="none"/>
        </w:tblBorders>
      </w:tblPr>
      <w:tblGrid>
        <w:gridCol w:w="9360"/>
      </w:tblGrid>
      <w:tr>
        <w:tc>
          <w:tcPr>
            <w:tcW w:type="dxa" w:w="9360"/>
            <w:shd w:fill="FBF0F0" w:color="auto" w:val="clear"/>
            <w:tcMar>
              <w:top w:type="dxa" w:w="120"/>
              <w:left w:type="dxa" w:w="170"/>
              <w:bottom w:type="dxa" w:w="120"/>
              <w:right w:type="dxa" w:w="170"/>
            </w:tcMar>
          </w:tcPr>
          <w:p>
            <w:pPr>
              <w:spacing w:after="50"/>
            </w:pPr>
            <w:r>
              <w:rPr>
                <w:rFonts w:ascii="Calibri" w:cs="Calibri" w:eastAsia="Calibri" w:hAnsi="Calibri"/>
                <w:b/>
                <w:bCs/>
                <w:color w:val="B03030"/>
                <w:sz w:val="16"/>
                <w:szCs w:val="16"/>
              </w:rPr>
              <w:t xml:space="preserve">FROM (current live)</w:t>
            </w:r>
          </w:p>
          <w:p>
            <w:pPr>
              <w:spacing w:after="0" w:line="270"/>
            </w:pPr>
            <w:r>
              <w:rPr>
                <w:rFonts w:ascii="Calibri" w:cs="Calibri" w:eastAsia="Calibri" w:hAnsi="Calibri"/>
                <w:sz w:val="19"/>
                <w:szCs w:val="19"/>
              </w:rPr>
              <w:t xml:space="preserve">India / Japan / China locale options; region groups labelled Americas, Europe, Asia Pacific, each "3 countries".</w:t>
            </w:r>
          </w:p>
        </w:tc>
      </w:tr>
    </w:tbl>
    <w:p>
      <w:pPr>
        <w:spacing w:after="60"/>
      </w:pPr>
    </w:p>
    <w:tbl>
      <w:tblPr>
        <w:tblW w:type="dxa" w:w="9360"/>
        <w:tblBorders>
          <w:top w:val="single" w:color="BFD8C4" w:sz="2"/>
          <w:left w:val="single" w:color="2E7D4F" w:sz="14"/>
          <w:bottom w:val="single" w:color="BFD8C4" w:sz="2"/>
          <w:right w:val="single" w:color="BFD8C4" w:sz="2"/>
          <w:insideH w:val="none"/>
          <w:insideV w:val="none"/>
        </w:tblBorders>
      </w:tblPr>
      <w:tblGrid>
        <w:gridCol w:w="9360"/>
      </w:tblGrid>
      <w:tr>
        <w:tc>
          <w:tcPr>
            <w:tcW w:type="dxa" w:w="9360"/>
            <w:shd w:fill="F0F7F2" w:color="auto" w:val="clear"/>
            <w:tcMar>
              <w:top w:type="dxa" w:w="120"/>
              <w:left w:type="dxa" w:w="170"/>
              <w:bottom w:type="dxa" w:w="120"/>
              <w:right w:type="dxa" w:w="170"/>
            </w:tcMar>
          </w:tcPr>
          <w:p>
            <w:pPr>
              <w:spacing w:after="50"/>
            </w:pPr>
            <w:r>
              <w:rPr>
                <w:rFonts w:ascii="Calibri" w:cs="Calibri" w:eastAsia="Calibri" w:hAnsi="Calibri"/>
                <w:b/>
                <w:bCs/>
                <w:color w:val="2E7D4F"/>
                <w:sz w:val="16"/>
                <w:szCs w:val="16"/>
              </w:rPr>
              <w:t xml:space="preserve">TO (approved final)</w:t>
            </w:r>
          </w:p>
          <w:p>
            <w:pPr>
              <w:spacing w:after="0" w:line="270"/>
            </w:pPr>
            <w:r>
              <w:rPr>
                <w:rFonts w:ascii="Calibri" w:cs="Calibri" w:eastAsia="Calibri" w:hAnsi="Calibri"/>
                <w:sz w:val="19"/>
                <w:szCs w:val="19"/>
              </w:rPr>
              <w:t xml:space="preserve">Remove the switcher entirely for launch. Reinstate only when localized content exists for a market Ascendus actually serves, and only with correct hreflang annotations.</w:t>
            </w:r>
          </w:p>
        </w:tc>
      </w:tr>
    </w:tbl>
    <w:p>
      <w:pPr>
        <w:spacing w:after="120" w:line="276"/>
      </w:pPr>
      <w:r>
        <w:rPr>
          <w:rFonts w:ascii="Calibri" w:cs="Calibri" w:eastAsia="Calibri" w:hAnsi="Calibri"/>
          <w:color w:val="222222"/>
          <w:sz w:val="20"/>
          <w:szCs w:val="20"/>
        </w:rPr>
        <w:t xml:space="preserve"/>
      </w:r>
    </w:p>
    <w:p>
      <w:pPr>
        <w:spacing w:after="120" w:line="276"/>
      </w:pPr>
      <w:r>
        <w:rPr>
          <w:rFonts w:ascii="Calibri" w:cs="Calibri" w:eastAsia="Calibri" w:hAnsi="Calibri"/>
          <w:color w:val="222222"/>
          <w:sz w:val="19"/>
          <w:szCs w:val="19"/>
        </w:rPr>
        <w:t xml:space="preserve">Reason: It asserts a nine-country footprint that does not exist, omits the GCC markets the site's own metadata claims as primary, and emits no hreflang. This is the fabricated-scale failure the brief explicitly prohibits.</w:t>
      </w:r>
    </w:p>
    <w:p>
      <w:pPr>
        <w:pStyle w:val="Heading3"/>
        <w:keepNext/>
        <w:keepLines/>
        <w:spacing w:after="100" w:before="200"/>
      </w:pPr>
      <w:r>
        <w:rPr>
          <w:rFonts w:ascii="Calibri" w:cs="Calibri" w:eastAsia="Calibri" w:hAnsi="Calibri"/>
          <w:b/>
          <w:bCs/>
          <w:color w:val="5B3FA8"/>
          <w:sz w:val="21"/>
          <w:szCs w:val="21"/>
        </w:rPr>
        <w:t xml:space="preserve">9. Global header / footer — Brand asset alt text and link text</w:t>
      </w:r>
    </w:p>
    <w:p>
      <w:pPr>
        <w:spacing w:after="120" w:line="276"/>
      </w:pPr>
      <w:r>
        <w:rPr>
          <w:rFonts w:ascii="Calibri" w:cs="Calibri" w:eastAsia="Calibri" w:hAnsi="Calibri"/>
          <w:color w:val="5A6270"/>
          <w:sz w:val="17"/>
          <w:szCs w:val="17"/>
        </w:rPr>
        <w:t xml:space="preserve">URL: All</w:t>
      </w:r>
    </w:p>
    <w:tbl>
      <w:tblPr>
        <w:tblW w:type="dxa" w:w="9360"/>
        <w:tblBorders>
          <w:top w:val="single" w:color="E0C4C4" w:sz="2"/>
          <w:left w:val="single" w:color="B03030" w:sz="14"/>
          <w:bottom w:val="single" w:color="E0C4C4" w:sz="2"/>
          <w:right w:val="single" w:color="E0C4C4" w:sz="2"/>
          <w:insideH w:val="none"/>
          <w:insideV w:val="none"/>
        </w:tblBorders>
      </w:tblPr>
      <w:tblGrid>
        <w:gridCol w:w="9360"/>
      </w:tblGrid>
      <w:tr>
        <w:tc>
          <w:tcPr>
            <w:tcW w:type="dxa" w:w="9360"/>
            <w:shd w:fill="FBF0F0" w:color="auto" w:val="clear"/>
            <w:tcMar>
              <w:top w:type="dxa" w:w="120"/>
              <w:left w:type="dxa" w:w="170"/>
              <w:bottom w:type="dxa" w:w="120"/>
              <w:right w:type="dxa" w:w="170"/>
            </w:tcMar>
          </w:tcPr>
          <w:p>
            <w:pPr>
              <w:spacing w:after="50"/>
            </w:pPr>
            <w:r>
              <w:rPr>
                <w:rFonts w:ascii="Calibri" w:cs="Calibri" w:eastAsia="Calibri" w:hAnsi="Calibri"/>
                <w:b/>
                <w:bCs/>
                <w:color w:val="B03030"/>
                <w:sz w:val="16"/>
                <w:szCs w:val="16"/>
              </w:rPr>
              <w:t xml:space="preserve">FROM (current live)</w:t>
            </w:r>
          </w:p>
          <w:p>
            <w:pPr>
              <w:spacing w:after="0" w:line="270"/>
            </w:pPr>
            <w:r>
              <w:rPr>
                <w:rFonts w:ascii="Calibri" w:cs="Calibri" w:eastAsia="Calibri" w:hAnsi="Calibri"/>
                <w:sz w:val="19"/>
                <w:szCs w:val="19"/>
              </w:rPr>
              <w:t xml:space="preserve">alt="SST Logo" (two instances); header link text "Ascendus Icon Support Studio Technologies"</w:t>
            </w:r>
          </w:p>
        </w:tc>
      </w:tr>
    </w:tbl>
    <w:p>
      <w:pPr>
        <w:spacing w:after="60"/>
      </w:pPr>
    </w:p>
    <w:tbl>
      <w:tblPr>
        <w:tblW w:type="dxa" w:w="9360"/>
        <w:tblBorders>
          <w:top w:val="single" w:color="BFD8C4" w:sz="2"/>
          <w:left w:val="single" w:color="2E7D4F" w:sz="14"/>
          <w:bottom w:val="single" w:color="BFD8C4" w:sz="2"/>
          <w:right w:val="single" w:color="BFD8C4" w:sz="2"/>
          <w:insideH w:val="none"/>
          <w:insideV w:val="none"/>
        </w:tblBorders>
      </w:tblPr>
      <w:tblGrid>
        <w:gridCol w:w="9360"/>
      </w:tblGrid>
      <w:tr>
        <w:tc>
          <w:tcPr>
            <w:tcW w:type="dxa" w:w="9360"/>
            <w:shd w:fill="F0F7F2" w:color="auto" w:val="clear"/>
            <w:tcMar>
              <w:top w:type="dxa" w:w="120"/>
              <w:left w:type="dxa" w:w="170"/>
              <w:bottom w:type="dxa" w:w="120"/>
              <w:right w:type="dxa" w:w="170"/>
            </w:tcMar>
          </w:tcPr>
          <w:p>
            <w:pPr>
              <w:spacing w:after="50"/>
            </w:pPr>
            <w:r>
              <w:rPr>
                <w:rFonts w:ascii="Calibri" w:cs="Calibri" w:eastAsia="Calibri" w:hAnsi="Calibri"/>
                <w:b/>
                <w:bCs/>
                <w:color w:val="2E7D4F"/>
                <w:sz w:val="16"/>
                <w:szCs w:val="16"/>
              </w:rPr>
              <w:t xml:space="preserve">TO (approved final)</w:t>
            </w:r>
          </w:p>
          <w:p>
            <w:pPr>
              <w:spacing w:after="0" w:line="270"/>
            </w:pPr>
            <w:r>
              <w:rPr>
                <w:rFonts w:ascii="Calibri" w:cs="Calibri" w:eastAsia="Calibri" w:hAnsi="Calibri"/>
                <w:sz w:val="19"/>
                <w:szCs w:val="19"/>
              </w:rPr>
              <w:t xml:space="preserve">alt="Ascendus" on both logo instances. Header link accessible name: "Ascendus — home".</w:t>
            </w:r>
          </w:p>
        </w:tc>
      </w:tr>
    </w:tbl>
    <w:p>
      <w:pPr>
        <w:spacing w:after="120" w:line="276"/>
      </w:pPr>
      <w:r>
        <w:rPr>
          <w:rFonts w:ascii="Calibri" w:cs="Calibri" w:eastAsia="Calibri" w:hAnsi="Calibri"/>
          <w:color w:val="222222"/>
          <w:sz w:val="20"/>
          <w:szCs w:val="20"/>
        </w:rPr>
        <w:t xml:space="preserve"/>
      </w:r>
    </w:p>
    <w:p>
      <w:pPr>
        <w:spacing w:after="120" w:line="276"/>
      </w:pPr>
      <w:r>
        <w:rPr>
          <w:rFonts w:ascii="Calibri" w:cs="Calibri" w:eastAsia="Calibri" w:hAnsi="Calibri"/>
          <w:color w:val="222222"/>
          <w:sz w:val="19"/>
          <w:szCs w:val="19"/>
        </w:rPr>
        <w:t xml:space="preserve">Reason: Crawlable brand text on every page currently contradicts the brand name in the title tag.</w:t>
      </w:r>
    </w:p>
    <w:p>
      <w:pPr>
        <w:pStyle w:val="Heading1"/>
        <w:pageBreakBefore/>
        <w:spacing w:after="200" w:before="240"/>
      </w:pPr>
      <w:r>
        <w:rPr>
          <w:rFonts w:ascii="Calibri" w:cs="Calibri" w:eastAsia="Calibri" w:hAnsi="Calibri"/>
          <w:b/>
          <w:bCs/>
          <w:color w:val="15243F"/>
          <w:sz w:val="32"/>
          <w:szCs w:val="32"/>
        </w:rPr>
        <w:t xml:space="preserve">20. Product Team Implementation Matrix</w:t>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FDF3E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IMPLEMENTATION LOCATIONS REQUIRE DEV CONFIRMATION</w:t>
            </w:r>
          </w:p>
          <w:p>
            <w:pPr>
              <w:spacing w:after="0" w:line="270"/>
            </w:pPr>
            <w:r>
              <w:rPr>
                <w:rFonts w:ascii="Calibri" w:cs="Calibri" w:eastAsia="Calibri" w:hAnsi="Calibri"/>
                <w:color w:val="222222"/>
                <w:sz w:val="19"/>
                <w:szCs w:val="19"/>
              </w:rPr>
              <w:t xml:space="preserve">This review was produced without access to the Ascendus source repository. Locations below are inferred from the observed Next.js App Router URL structure and are indicative only. Every one must be confirmed by a developer before a ticket is estimated. See Appendix B.</w:t>
            </w:r>
          </w:p>
        </w:tc>
      </w:tr>
    </w:tbl>
    <w:p>
      <w:pPr>
        <w:pStyle w:val="Heading2"/>
        <w:spacing w:after="140" w:before="280"/>
      </w:pPr>
      <w:r>
        <w:rPr>
          <w:rFonts w:ascii="Calibri" w:cs="Calibri" w:eastAsia="Calibri" w:hAnsi="Calibri"/>
          <w:b/>
          <w:bCs/>
          <w:color w:val="15243F"/>
          <w:sz w:val="24"/>
          <w:szCs w:val="24"/>
        </w:rPr>
        <w:t xml:space="preserve">20.1 P0 — launch blockers</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655"/>
        <w:gridCol w:w="3931"/>
        <w:gridCol w:w="3182"/>
        <w:gridCol w:w="1591"/>
      </w:tblGrid>
      <w:tr>
        <w:trPr>
          <w:tblHeader/>
        </w:trPr>
        <w:tc>
          <w:tcPr>
            <w:tcW w:type="dxa" w:w="65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ID</w:t>
            </w:r>
          </w:p>
        </w:tc>
        <w:tc>
          <w:tcPr>
            <w:tcW w:type="dxa" w:w="3931"/>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Change</w:t>
            </w:r>
          </w:p>
        </w:tc>
        <w:tc>
          <w:tcPr>
            <w:tcW w:type="dxa" w:w="318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Inferred location</w:t>
            </w:r>
          </w:p>
        </w:tc>
        <w:tc>
          <w:tcPr>
            <w:tcW w:type="dxa" w:w="1591"/>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Owner</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C-001</w:t>
            </w:r>
          </w:p>
        </w:tc>
        <w:tc>
          <w:tcPr>
            <w:tcW w:type="dxa" w:w="393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Replace the global canonical with a per-route self-referencing absolute canonical on the production host</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Root layout metadata export / metadataBase</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C-002</w:t>
            </w:r>
          </w:p>
        </w:tc>
        <w:tc>
          <w:tcPr>
            <w:tcW w:type="dxa" w:w="393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Per-route unique title from the Section 10 table</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Per-route metadata export</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SEO + 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C-003</w:t>
            </w:r>
          </w:p>
        </w:tc>
        <w:tc>
          <w:tcPr>
            <w:tcW w:type="dxa" w:w="393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Per-route unique meta description from the Section 10 table</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Per-route metadata export</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SEO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C-004</w:t>
            </w:r>
          </w:p>
        </w:tc>
        <w:tc>
          <w:tcPr>
            <w:tcW w:type="dxa" w:w="393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Per-route openGraph and twitter objects; og:url mirrors canonical; og:image on production host</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Root layout + per-route metadata</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SEO + 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C-005</w:t>
            </w:r>
          </w:p>
        </w:tc>
        <w:tc>
          <w:tcPr>
            <w:tcW w:type="dxa" w:w="393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Remove the google-site-verification placeholder</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Root layout metadata</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C-006</w:t>
            </w:r>
          </w:p>
        </w:tc>
        <w:tc>
          <w:tcPr>
            <w:tcW w:type="dxa" w:w="393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Remove the meta keywords tag</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Root layout metadata</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C-007</w:t>
            </w:r>
          </w:p>
        </w:tc>
        <w:tc>
          <w:tcPr>
            <w:tcW w:type="dxa" w:w="393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Remove the four homepage counters</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 stats component</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Content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C-008</w:t>
            </w:r>
          </w:p>
        </w:tc>
        <w:tc>
          <w:tcPr>
            <w:tcW w:type="dxa" w:w="393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Remove the four AI page counters</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AI page stats component</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Content + 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C-009</w:t>
            </w:r>
          </w:p>
        </w:tc>
        <w:tc>
          <w:tcPr>
            <w:tcW w:type="dxa" w:w="393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Replace hero support paragraph — Section 18</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 section 2 component</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Content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C-010</w:t>
            </w:r>
          </w:p>
        </w:tc>
        <w:tc>
          <w:tcPr>
            <w:tcW w:type="dxa" w:w="393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Replace the footer entity string with the legally approved wording</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Global footer component</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Legal + Content</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C-011</w:t>
            </w:r>
          </w:p>
        </w:tc>
        <w:tc>
          <w:tcPr>
            <w:tcW w:type="dxa" w:w="393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Remove isupportz.com and isupportz.official links</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Global footer component</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Content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C-012</w:t>
            </w:r>
          </w:p>
        </w:tc>
        <w:tc>
          <w:tcPr>
            <w:tcW w:type="dxa" w:w="393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Logo alt to "Ascendus"; header link accessible name to "Ascendus — home"</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Header + footer components</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C-013</w:t>
            </w:r>
          </w:p>
        </w:tc>
        <w:tc>
          <w:tcPr>
            <w:tcW w:type="dxa" w:w="393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Replace CRM Strategy card body — Section 19.1</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CX page service data</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Content</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C-014</w:t>
            </w:r>
          </w:p>
        </w:tc>
        <w:tc>
          <w:tcPr>
            <w:tcW w:type="dxa" w:w="393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Replace Why Partner With Us sub-heading — Section 19.2</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CX page component</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Content</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C-015</w:t>
            </w:r>
          </w:p>
        </w:tc>
        <w:tc>
          <w:tcPr>
            <w:tcW w:type="dxa" w:w="393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Stop duplicating AI service card DOM nodes</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AI page carousel component</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C-016</w:t>
            </w:r>
          </w:p>
        </w:tc>
        <w:tc>
          <w:tcPr>
            <w:tcW w:type="dxa" w:w="393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Stop duplicating homepage industry card DOM nodes</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 industries marquee component</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C-017</w:t>
            </w:r>
          </w:p>
        </w:tc>
        <w:tc>
          <w:tcPr>
            <w:tcW w:type="dxa" w:w="393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Supply or remove the three empty AI page headings</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AI page content data</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Content</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C-018</w:t>
            </w:r>
          </w:p>
        </w:tc>
        <w:tc>
          <w:tcPr>
            <w:tcW w:type="dxa" w:w="393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Add case study detail routes and link the index cards</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 studies route + card component</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Frontend + Content</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C-019</w:t>
            </w:r>
          </w:p>
        </w:tc>
        <w:tc>
          <w:tcPr>
            <w:tcW w:type="dxa" w:w="393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Remove or substantiate the 60% and zero-critical-findings claims</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 study content source</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Content + Leadership</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C-020</w:t>
            </w:r>
          </w:p>
        </w:tc>
        <w:tc>
          <w:tcPr>
            <w:tcW w:type="dxa" w:w="393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Remove the locale and language switcher</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Header component</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C-021</w:t>
            </w:r>
          </w:p>
        </w:tc>
        <w:tc>
          <w:tcPr>
            <w:tcW w:type="dxa" w:w="393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Align declared markets with verifiable presence</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Metadata, footer, contact content</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Leadership + Content</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C-022</w:t>
            </w:r>
          </w:p>
        </w:tc>
        <w:tc>
          <w:tcPr>
            <w:tcW w:type="dxa" w:w="393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Correct "longterm" in the Execution Discipline card</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 capability card data</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Content</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C-023</w:t>
            </w:r>
          </w:p>
        </w:tc>
        <w:tc>
          <w:tcPr>
            <w:tcW w:type="dxa" w:w="393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Implement Organization, WebSite, Service and BreadcrumbList JSON-LD</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Root layout + per-route schema components</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Frontend + SEO</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C-024</w:t>
            </w:r>
          </w:p>
        </w:tc>
        <w:tc>
          <w:tcPr>
            <w:tcW w:type="dxa" w:w="393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Verify and publish robots.txt and sitemap.xml</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robots and sitemap route handlers</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Frontend + SEO</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C-025</w:t>
            </w:r>
          </w:p>
        </w:tc>
        <w:tc>
          <w:tcPr>
            <w:tcW w:type="dxa" w:w="393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Noindex /whitepapers and remove it from the footer</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Whitepapers route metadata + footer</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SEO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C-026</w:t>
            </w:r>
          </w:p>
        </w:tc>
        <w:tc>
          <w:tcPr>
            <w:tcW w:type="dxa" w:w="393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Noindex or access-restrict the vercel.app dev host</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Deployment configuration</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DevOps</w:t>
            </w:r>
          </w:p>
        </w:tc>
      </w:tr>
    </w:tbl>
    <w:p>
      <w:pPr>
        <w:pStyle w:val="Heading2"/>
        <w:spacing w:after="140" w:before="280"/>
      </w:pPr>
      <w:r>
        <w:rPr>
          <w:rFonts w:ascii="Calibri" w:cs="Calibri" w:eastAsia="Calibri" w:hAnsi="Calibri"/>
          <w:b/>
          <w:bCs/>
          <w:color w:val="15243F"/>
          <w:sz w:val="24"/>
          <w:szCs w:val="24"/>
        </w:rPr>
        <w:t xml:space="preserve">20.2 P1 — high priority</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655"/>
        <w:gridCol w:w="7114"/>
        <w:gridCol w:w="1591"/>
      </w:tblGrid>
      <w:tr>
        <w:trPr>
          <w:tblHeader/>
        </w:trPr>
        <w:tc>
          <w:tcPr>
            <w:tcW w:type="dxa" w:w="65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ID</w:t>
            </w:r>
          </w:p>
        </w:tc>
        <w:tc>
          <w:tcPr>
            <w:tcW w:type="dxa" w:w="7114"/>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Change</w:t>
            </w:r>
          </w:p>
        </w:tc>
        <w:tc>
          <w:tcPr>
            <w:tcW w:type="dxa" w:w="1591"/>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Owner</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C-027</w:t>
            </w:r>
          </w:p>
        </w:tc>
        <w:tc>
          <w:tcPr>
            <w:tcW w:type="dxa" w:w="711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Primary navigation omits Industries, Insights and Case Studies. Proof and authority content is reachable only from the footer and is functionally orphaned.</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C-028</w:t>
            </w:r>
          </w:p>
        </w:tc>
        <w:tc>
          <w:tcPr>
            <w:tcW w:type="dxa" w:w="711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Capability URLs use a camelCase directory (/whatWeDo/) that is inconsistent with every other route on the site and with the recommended /services/ taxonomy.</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C-029</w:t>
            </w:r>
          </w:p>
        </w:tc>
        <w:tc>
          <w:tcPr>
            <w:tcW w:type="dxa" w:w="711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/contact-us and /bookacall are non-standard slugs; the CTA label on the site says "Book a Call" in the header and "Book a Consultation" in page CTAs.</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C-030</w:t>
            </w:r>
          </w:p>
        </w:tc>
        <w:tc>
          <w:tcPr>
            <w:tcW w:type="dxa" w:w="711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 nav label "Business Advisory" conflicts with the approved service name "Transformation Advisory".</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C-031</w:t>
            </w:r>
          </w:p>
        </w:tc>
        <w:tc>
          <w:tcPr>
            <w:tcW w:type="dxa" w:w="711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Slug /enterprise-transformation-practice contains an internal organisational term ("practice") with no buyer or search value.</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C-032</w:t>
            </w:r>
          </w:p>
        </w:tc>
        <w:tc>
          <w:tcPr>
            <w:tcW w:type="dxa" w:w="711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SAP hub or SAP sub-service pages exist. SAP is the primary commercial category and the primary term in the site title, yet has no destination.</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C-033</w:t>
            </w:r>
          </w:p>
        </w:tc>
        <w:tc>
          <w:tcPr>
            <w:tcW w:type="dxa" w:w="711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Microsoft hub or Microsoft platform pages exist, despite Microsoft partner status held by the parent organisation.</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C-034</w:t>
            </w:r>
          </w:p>
        </w:tc>
        <w:tc>
          <w:tcPr>
            <w:tcW w:type="dxa" w:w="711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Four industries are presented on the homepage with no destination pages. "Find Your Industry Solution" links to /who-we-are.</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C-035</w:t>
            </w:r>
          </w:p>
        </w:tc>
        <w:tc>
          <w:tcPr>
            <w:tcW w:type="dxa" w:w="711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 H1 requires a decision against the approved brand promise (see Section 6).</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C-036</w:t>
            </w:r>
          </w:p>
        </w:tc>
        <w:tc>
          <w:tcPr>
            <w:tcW w:type="dxa" w:w="711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 carries two adjacent sections making near-identical breadth claims ("Everything an Enterprise Needs to Run on Modern Technology" and "Everything an Enterprise Technology Estate Needs, Under One Roof").</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C-037</w:t>
            </w:r>
          </w:p>
        </w:tc>
        <w:tc>
          <w:tcPr>
            <w:tcW w:type="dxa" w:w="711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breadcrumb UI or BreadcrumbList schema on any page.</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C-038</w:t>
            </w:r>
          </w:p>
        </w:tc>
        <w:tc>
          <w:tcPr>
            <w:tcW w:type="dxa" w:w="711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direct-answer blocks on any service page. AI systems have no self-contained, citable definition of any Ascendus service.</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C-039</w:t>
            </w:r>
          </w:p>
        </w:tc>
        <w:tc>
          <w:tcPr>
            <w:tcW w:type="dxa" w:w="711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 content has no attributable author entities, bios or author routes.</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C-040</w:t>
            </w:r>
          </w:p>
        </w:tc>
        <w:tc>
          <w:tcPr>
            <w:tcW w:type="dxa" w:w="711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proof registry exists. Every metric on the site is currently unowned and unsourced.</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C-041</w:t>
            </w:r>
          </w:p>
        </w:tc>
        <w:tc>
          <w:tcPr>
            <w:tcW w:type="dxa" w:w="711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CTA wording is inconsistent and mostly non-specific ("Book a Call", "See What We Do", "Find Your Industry Solution").</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C-042</w:t>
            </w:r>
          </w:p>
        </w:tc>
        <w:tc>
          <w:tcPr>
            <w:tcW w:type="dxa" w:w="711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 does not route by buying intent (new engagement / existing client / partnership / careers / media).</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C-043</w:t>
            </w:r>
          </w:p>
        </w:tc>
        <w:tc>
          <w:tcPr>
            <w:tcW w:type="dxa" w:w="711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deliberate internal linking between capability pages, case studies and insights. Service pages link to nothing but the footer.</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C-044</w:t>
            </w:r>
          </w:p>
        </w:tc>
        <w:tc>
          <w:tcPr>
            <w:tcW w:type="dxa" w:w="711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The majority of images on audited pages carry empty alt attributes.</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C-045</w:t>
            </w:r>
          </w:p>
        </w:tc>
        <w:tc>
          <w:tcPr>
            <w:tcW w:type="dxa" w:w="711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 "Find Your Industry Solution" CTA resolves to /who-we-are, which contains no industry content.</w:t>
            </w:r>
          </w:p>
        </w:tc>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r>
        <w:tc>
          <w:tcPr>
            <w:tcW w:type="dxa" w:w="65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C-046</w:t>
            </w:r>
          </w:p>
        </w:tc>
        <w:tc>
          <w:tcPr>
            <w:tcW w:type="dxa" w:w="711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enterprise proof surfaces: no client logos, no named leadership, no certifications, no partner tier statements.</w:t>
            </w:r>
          </w:p>
        </w:tc>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 + Frontend</w:t>
            </w:r>
          </w:p>
        </w:tc>
      </w:tr>
    </w:tbl>
    <w:p>
      <w:pPr>
        <w:pStyle w:val="Heading1"/>
        <w:pageBreakBefore/>
        <w:spacing w:after="200" w:before="240"/>
      </w:pPr>
      <w:r>
        <w:rPr>
          <w:rFonts w:ascii="Calibri" w:cs="Calibri" w:eastAsia="Calibri" w:hAnsi="Calibri"/>
          <w:b/>
          <w:bCs/>
          <w:color w:val="15243F"/>
          <w:sz w:val="32"/>
          <w:szCs w:val="32"/>
        </w:rPr>
        <w:t xml:space="preserve">21. Internal Linking</w:t>
      </w:r>
    </w:p>
    <w:p>
      <w:pPr>
        <w:spacing w:after="120" w:line="276"/>
      </w:pPr>
      <w:r>
        <w:rPr>
          <w:rFonts w:ascii="Calibri" w:cs="Calibri" w:eastAsia="Calibri" w:hAnsi="Calibri"/>
          <w:color w:val="222222"/>
          <w:sz w:val="20"/>
          <w:szCs w:val="20"/>
        </w:rPr>
        <w:t xml:space="preserve">Service pages currently link to nothing in-body. Every internal link on the site is either navigation or footer, which means no page passes contextual signal to any other and no cluster structure exists for either search engines or AI systems to follow.</w:t>
      </w:r>
    </w:p>
    <w:p>
      <w:pPr>
        <w:pStyle w:val="Heading2"/>
        <w:spacing w:after="140" w:before="280"/>
      </w:pPr>
      <w:r>
        <w:rPr>
          <w:rFonts w:ascii="Calibri" w:cs="Calibri" w:eastAsia="Calibri" w:hAnsi="Calibri"/>
          <w:b/>
          <w:bCs/>
          <w:color w:val="15243F"/>
          <w:sz w:val="24"/>
          <w:szCs w:val="24"/>
        </w:rPr>
        <w:t xml:space="preserve">21.1 Required cluster structure</w:t>
      </w:r>
    </w:p>
    <w:p>
      <w:pPr>
        <w:spacing w:after="120" w:line="276"/>
      </w:pPr>
      <w:r>
        <w:rPr>
          <w:rFonts w:ascii="Calibri" w:cs="Calibri" w:eastAsia="Calibri" w:hAnsi="Calibri"/>
          <w:color w:val="222222"/>
          <w:sz w:val="20"/>
          <w:szCs w:val="20"/>
        </w:rPr>
        <w:t xml:space="preserve">SAP: /services/sap/ links down to S/4HANA, RISE, GROW, BTP, AMS and SuccessFactors. Each child links up to the hub, sideways to at least one sibling, and across to Managed Services and to at least one relevant case study. Each child is linked from the SAP hub body copy, not only from navigation.</w:t>
      </w:r>
    </w:p>
    <w:p>
      <w:pPr>
        <w:spacing w:after="120" w:line="276"/>
      </w:pPr>
      <w:r>
        <w:rPr>
          <w:rFonts w:ascii="Calibri" w:cs="Calibri" w:eastAsia="Calibri" w:hAnsi="Calibri"/>
          <w:color w:val="222222"/>
          <w:sz w:val="20"/>
          <w:szCs w:val="20"/>
        </w:rPr>
        <w:t xml:space="preserve">Microsoft: /services/microsoft/ links down to Azure, Power Platform, Dynamics 365 and Power BI. Azure links across to Cloud &amp; Infrastructure; Power Platform links across to Intelligent Automation.</w:t>
      </w:r>
    </w:p>
    <w:p>
      <w:pPr>
        <w:spacing w:after="120" w:line="276"/>
      </w:pPr>
      <w:r>
        <w:rPr>
          <w:rFonts w:ascii="Calibri" w:cs="Calibri" w:eastAsia="Calibri" w:hAnsi="Calibri"/>
          <w:color w:val="222222"/>
          <w:sz w:val="20"/>
          <w:szCs w:val="20"/>
        </w:rPr>
        <w:t xml:space="preserve">Data and AI: Data &amp; Intelligence and Artificial Intelligence link to each other explicitly, because the data-readiness dependency is the single most useful thing either page can tell a buyer.</w:t>
      </w:r>
    </w:p>
    <w:p>
      <w:pPr>
        <w:spacing w:after="120" w:line="276"/>
      </w:pPr>
      <w:r>
        <w:rPr>
          <w:rFonts w:ascii="Calibri" w:cs="Calibri" w:eastAsia="Calibri" w:hAnsi="Calibri"/>
          <w:color w:val="222222"/>
          <w:sz w:val="20"/>
          <w:szCs w:val="20"/>
        </w:rPr>
        <w:t xml:space="preserve">Proof: every service page links to at least one case study, and every case study links back to the capability pages it evidences. This is what makes proof count for search rather than sitting in an isolated section.</w:t>
      </w:r>
    </w:p>
    <w:p>
      <w:pPr>
        <w:pStyle w:val="Heading2"/>
        <w:spacing w:after="140" w:before="280"/>
      </w:pPr>
      <w:r>
        <w:rPr>
          <w:rFonts w:ascii="Calibri" w:cs="Calibri" w:eastAsia="Calibri" w:hAnsi="Calibri"/>
          <w:b/>
          <w:bCs/>
          <w:color w:val="15243F"/>
          <w:sz w:val="24"/>
          <w:szCs w:val="24"/>
        </w:rPr>
        <w:t xml:space="preserve">21.2 Minimum standard</w:t>
      </w:r>
    </w:p>
    <w:p>
      <w:pPr>
        <w:pStyle w:val="ListParagraph"/>
        <w:numPr>
          <w:ilvl w:val="0"/>
          <w:numId w:val="2"/>
        </w:numPr>
        <w:spacing w:after="80" w:line="276"/>
      </w:pPr>
      <w:r>
        <w:rPr>
          <w:rFonts w:ascii="Calibri" w:cs="Calibri" w:eastAsia="Calibri" w:hAnsi="Calibri"/>
          <w:color w:val="222222"/>
          <w:sz w:val="20"/>
          <w:szCs w:val="20"/>
        </w:rPr>
        <w:t xml:space="preserve">Three contextual in-body links per service page: one up to the parent, one sideways to a sibling, one across to proof.</w:t>
      </w:r>
    </w:p>
    <w:p>
      <w:pPr>
        <w:pStyle w:val="ListParagraph"/>
        <w:numPr>
          <w:ilvl w:val="0"/>
          <w:numId w:val="2"/>
        </w:numPr>
        <w:spacing w:after="80" w:line="276"/>
      </w:pPr>
      <w:r>
        <w:rPr>
          <w:rFonts w:ascii="Calibri" w:cs="Calibri" w:eastAsia="Calibri" w:hAnsi="Calibri"/>
          <w:color w:val="222222"/>
          <w:sz w:val="20"/>
          <w:szCs w:val="20"/>
        </w:rPr>
        <w:t xml:space="preserve">Descriptive anchors that name the destination topic. Never "click here", never "learn more", never a bare URL.</w:t>
      </w:r>
    </w:p>
    <w:p>
      <w:pPr>
        <w:pStyle w:val="ListParagraph"/>
        <w:numPr>
          <w:ilvl w:val="0"/>
          <w:numId w:val="2"/>
        </w:numPr>
        <w:spacing w:after="80" w:line="276"/>
      </w:pPr>
      <w:r>
        <w:rPr>
          <w:rFonts w:ascii="Calibri" w:cs="Calibri" w:eastAsia="Calibri" w:hAnsi="Calibri"/>
          <w:color w:val="222222"/>
          <w:sz w:val="20"/>
          <w:szCs w:val="20"/>
        </w:rPr>
        <w:t xml:space="preserve">Zero orphan pages. Every indexable URL is reachable from at least one non-footer link.</w:t>
      </w:r>
    </w:p>
    <w:p>
      <w:pPr>
        <w:pStyle w:val="ListParagraph"/>
        <w:numPr>
          <w:ilvl w:val="0"/>
          <w:numId w:val="2"/>
        </w:numPr>
        <w:spacing w:after="80" w:line="276"/>
      </w:pPr>
      <w:r>
        <w:rPr>
          <w:rFonts w:ascii="Calibri" w:cs="Calibri" w:eastAsia="Calibri" w:hAnsi="Calibri"/>
          <w:color w:val="222222"/>
          <w:sz w:val="20"/>
          <w:szCs w:val="20"/>
        </w:rPr>
        <w:t xml:space="preserve">Zero internal links pointing at a redirecting URL after the Section 9 migration.</w:t>
      </w:r>
    </w:p>
    <w:p>
      <w:pPr>
        <w:pStyle w:val="Heading1"/>
        <w:pageBreakBefore/>
        <w:spacing w:after="200" w:before="240"/>
      </w:pPr>
      <w:r>
        <w:rPr>
          <w:rFonts w:ascii="Calibri" w:cs="Calibri" w:eastAsia="Calibri" w:hAnsi="Calibri"/>
          <w:b/>
          <w:bCs/>
          <w:color w:val="15243F"/>
          <w:sz w:val="32"/>
          <w:szCs w:val="32"/>
        </w:rPr>
        <w:t xml:space="preserve">22. Schema</w:t>
      </w:r>
    </w:p>
    <w:p>
      <w:pPr>
        <w:spacing w:after="120" w:line="276"/>
      </w:pPr>
      <w:r>
        <w:rPr>
          <w:rFonts w:ascii="Calibri" w:cs="Calibri" w:eastAsia="Calibri" w:hAnsi="Calibri"/>
          <w:color w:val="222222"/>
          <w:sz w:val="20"/>
          <w:szCs w:val="20"/>
        </w:rPr>
        <w:t xml:space="preserve">No structured data was observable on the live site. This is the largest single GEO gap and should be implemented as one workstream during Wave 1. The governing rule from the draft blueprint is retained: schema describes visible content and is never added as decoration.</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1966"/>
        <w:gridCol w:w="2246"/>
        <w:gridCol w:w="5148"/>
      </w:tblGrid>
      <w:tr>
        <w:trPr>
          <w:tblHeader/>
        </w:trPr>
        <w:tc>
          <w:tcPr>
            <w:tcW w:type="dxa" w:w="1966"/>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Page type</w:t>
            </w:r>
          </w:p>
        </w:tc>
        <w:tc>
          <w:tcPr>
            <w:tcW w:type="dxa" w:w="2246"/>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Schema types</w:t>
            </w:r>
          </w:p>
        </w:tc>
        <w:tc>
          <w:tcPr>
            <w:tcW w:type="dxa" w:w="5148"/>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Notes</w:t>
            </w:r>
          </w:p>
        </w:tc>
      </w:tr>
      <w:tr>
        <w:tc>
          <w:tcPr>
            <w:tcW w:type="dxa" w:w="196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Organization, WebSite</w:t>
            </w:r>
          </w:p>
        </w:tc>
        <w:tc>
          <w:tcPr>
            <w:tcW w:type="dxa" w:w="514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Organization carries the approved name, legal relationship, logo, address, sameAs and contactPoint. This is the anchor for every entity signal on the site.</w:t>
            </w:r>
          </w:p>
        </w:tc>
      </w:tr>
      <w:tr>
        <w:tc>
          <w:tcPr>
            <w:tcW w:type="dxa" w:w="196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 index</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CollectionPage, BreadcrumbList</w:t>
            </w:r>
          </w:p>
        </w:tc>
        <w:tc>
          <w:tcPr>
            <w:tcW w:type="dxa" w:w="514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Lists the twelve capabilities.</w:t>
            </w:r>
          </w:p>
        </w:tc>
      </w:tr>
      <w:tr>
        <w:tc>
          <w:tcPr>
            <w:tcW w:type="dxa" w:w="196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pages</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c>
          <w:tcPr>
            <w:tcW w:type="dxa" w:w="514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provider references the Organization node. serviceType matches the visible H1.</w:t>
            </w:r>
          </w:p>
        </w:tc>
      </w:tr>
      <w:tr>
        <w:tc>
          <w:tcPr>
            <w:tcW w:type="dxa" w:w="196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pages with FAQs</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FAQPage</w:t>
            </w:r>
          </w:p>
        </w:tc>
        <w:tc>
          <w:tcPr>
            <w:tcW w:type="dxa" w:w="514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Only where the questions are genuine and visibly rendered on the page.</w:t>
            </w:r>
          </w:p>
        </w:tc>
      </w:tr>
      <w:tr>
        <w:tc>
          <w:tcPr>
            <w:tcW w:type="dxa" w:w="196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 studies</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Article, BreadcrumbList</w:t>
            </w:r>
          </w:p>
        </w:tc>
        <w:tc>
          <w:tcPr>
            <w:tcW w:type="dxa" w:w="514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Not Review and not AggregateRating. Metrics appear in the body, never as markup-only claims.</w:t>
            </w:r>
          </w:p>
        </w:tc>
      </w:tr>
      <w:tr>
        <w:tc>
          <w:tcPr>
            <w:tcW w:type="dxa" w:w="196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 articles</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Article, Person, BreadcrumbList</w:t>
            </w:r>
          </w:p>
        </w:tc>
        <w:tc>
          <w:tcPr>
            <w:tcW w:type="dxa" w:w="514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author references a real Person node with a working author URL.</w:t>
            </w:r>
          </w:p>
        </w:tc>
      </w:tr>
      <w:tr>
        <w:tc>
          <w:tcPr>
            <w:tcW w:type="dxa" w:w="196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Careers</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JobPosting</w:t>
            </w:r>
          </w:p>
        </w:tc>
        <w:tc>
          <w:tcPr>
            <w:tcW w:type="dxa" w:w="514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hiringOrganization must be the actual employing entity. jobLocation must be accurate.</w:t>
            </w:r>
          </w:p>
        </w:tc>
      </w:tr>
      <w:tr>
        <w:tc>
          <w:tcPr>
            <w:tcW w:type="dxa" w:w="196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ContactPage, ContactPoint</w:t>
            </w:r>
          </w:p>
        </w:tc>
        <w:tc>
          <w:tcPr>
            <w:tcW w:type="dxa" w:w="514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contactType per routing option in Section 24.</w:t>
            </w:r>
          </w:p>
        </w:tc>
      </w:tr>
      <w:tr>
        <w:tc>
          <w:tcPr>
            <w:tcW w:type="dxa" w:w="196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About</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AboutPage, Organization</w:t>
            </w:r>
          </w:p>
        </w:tc>
        <w:tc>
          <w:tcPr>
            <w:tcW w:type="dxa" w:w="514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Must not contradict the homepage Organization node in any field.</w:t>
            </w:r>
          </w:p>
        </w:tc>
      </w:tr>
      <w:tr>
        <w:tc>
          <w:tcPr>
            <w:tcW w:type="dxa" w:w="196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Legal pages</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WebPage</w:t>
            </w:r>
          </w:p>
        </w:tc>
        <w:tc>
          <w:tcPr>
            <w:tcW w:type="dxa" w:w="514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enhancement markup.</w:t>
            </w:r>
          </w:p>
        </w:tc>
      </w:tr>
    </w:tbl>
    <w:p>
      <w:pPr>
        <w:pStyle w:val="Heading1"/>
        <w:pageBreakBefore/>
        <w:spacing w:after="200" w:before="240"/>
      </w:pPr>
      <w:r>
        <w:rPr>
          <w:rFonts w:ascii="Calibri" w:cs="Calibri" w:eastAsia="Calibri" w:hAnsi="Calibri"/>
          <w:b/>
          <w:bCs/>
          <w:color w:val="15243F"/>
          <w:sz w:val="32"/>
          <w:szCs w:val="32"/>
        </w:rPr>
        <w:t xml:space="preserve">23. Case Study Strategy</w:t>
      </w:r>
    </w:p>
    <w:p>
      <w:pPr>
        <w:spacing w:after="120" w:line="276"/>
      </w:pPr>
      <w:r>
        <w:rPr>
          <w:rFonts w:ascii="Calibri" w:cs="Calibri" w:eastAsia="Calibri" w:hAnsi="Calibri"/>
          <w:color w:val="222222"/>
          <w:sz w:val="20"/>
          <w:szCs w:val="20"/>
        </w:rPr>
        <w:t xml:space="preserve">Case studies are the highest-leverage asset on this site and currently the weakest. Three exist, none can be clicked, and two carry quantified claims with no stated measurement basis.</w:t>
      </w:r>
    </w:p>
    <w:p>
      <w:pPr>
        <w:pStyle w:val="Heading2"/>
        <w:spacing w:after="140" w:before="280"/>
      </w:pPr>
      <w:r>
        <w:rPr>
          <w:rFonts w:ascii="Calibri" w:cs="Calibri" w:eastAsia="Calibri" w:hAnsi="Calibri"/>
          <w:b/>
          <w:bCs/>
          <w:color w:val="15243F"/>
          <w:sz w:val="24"/>
          <w:szCs w:val="24"/>
        </w:rPr>
        <w:t xml:space="preserve">23.1 Required structure</w:t>
      </w:r>
    </w:p>
    <w:p>
      <w:pPr>
        <w:spacing w:after="120" w:line="276"/>
      </w:pPr>
      <w:r>
        <w:rPr>
          <w:rFonts w:ascii="Calibri" w:cs="Calibri" w:eastAsia="Calibri" w:hAnsi="Calibri"/>
          <w:color w:val="222222"/>
          <w:sz w:val="20"/>
          <w:szCs w:val="20"/>
        </w:rPr>
        <w:t xml:space="preserve">Context · Business challenge · Technology landscape · Scope · Solution · Architecture · Delivery approach · Outcome · Evidence · Technologies · Related capabilities · CTA. The Evidence section is mandatory and states how each figure was measured and over what period.</w:t>
      </w:r>
    </w:p>
    <w:p>
      <w:pPr>
        <w:pStyle w:val="Heading2"/>
        <w:spacing w:after="140" w:before="280"/>
      </w:pPr>
      <w:r>
        <w:rPr>
          <w:rFonts w:ascii="Calibri" w:cs="Calibri" w:eastAsia="Calibri" w:hAnsi="Calibri"/>
          <w:b/>
          <w:bCs/>
          <w:color w:val="15243F"/>
          <w:sz w:val="24"/>
          <w:szCs w:val="24"/>
        </w:rPr>
        <w:t xml:space="preserve">23.2 Publishing rule</w:t>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CASE STUDY PUBLICATION GATE</w:t>
            </w:r>
          </w:p>
          <w:p>
            <w:pPr>
              <w:spacing w:after="0" w:line="270"/>
            </w:pPr>
            <w:r>
              <w:rPr>
                <w:rFonts w:ascii="Calibri" w:cs="Calibri" w:eastAsia="Calibri" w:hAnsi="Calibri"/>
                <w:color w:val="222222"/>
                <w:sz w:val="19"/>
                <w:szCs w:val="19"/>
              </w:rPr>
              <w:t xml:space="preserve">A case study publishes only when: the client has given written consent to the detail level used; every quantified claim has a documented measurement basis; the brand attribution is legally accurate given the Ascendus / Support Studio Technologies relationship; and the page resolves to its own indexable URL. If consent is unavailable, publish anonymised — "a GCC manufacturing group" — with the same evidential discipline. Anonymised and verified beats named and unverifiable.</w:t>
            </w:r>
          </w:p>
        </w:tc>
      </w:tr>
    </w:tbl>
    <w:p>
      <w:pPr>
        <w:pStyle w:val="Heading2"/>
        <w:spacing w:after="140" w:before="280"/>
      </w:pPr>
      <w:r>
        <w:rPr>
          <w:rFonts w:ascii="Calibri" w:cs="Calibri" w:eastAsia="Calibri" w:hAnsi="Calibri"/>
          <w:b/>
          <w:bCs/>
          <w:color w:val="15243F"/>
          <w:sz w:val="24"/>
          <w:szCs w:val="24"/>
        </w:rPr>
        <w:t xml:space="preserve">23.3 The two current claims</w:t>
      </w:r>
    </w:p>
    <w:p>
      <w:pPr>
        <w:spacing w:after="120" w:line="276"/>
      </w:pPr>
      <w:r>
        <w:rPr>
          <w:rFonts w:ascii="Calibri" w:cs="Calibri" w:eastAsia="Calibri" w:hAnsi="Calibri"/>
          <w:color w:val="222222"/>
          <w:sz w:val="20"/>
          <w:szCs w:val="20"/>
        </w:rPr>
        <w:t xml:space="preserve">"Slashed a FinTech Client's Development Rework by 60%" — needs the baseline, the measurement window, the definition of rework and client consent. "Passed a third party penetration test with zero critical findings" — needs the testing party, the scope and the date, or it should be restated qualitatively. Both are also attributed to Ascendus, which requires confirmation that the work was delivered under that brand (A-09).</w:t>
      </w:r>
    </w:p>
    <w:p>
      <w:pPr>
        <w:pStyle w:val="Heading1"/>
        <w:pageBreakBefore/>
        <w:spacing w:after="200" w:before="240"/>
      </w:pPr>
      <w:r>
        <w:rPr>
          <w:rFonts w:ascii="Calibri" w:cs="Calibri" w:eastAsia="Calibri" w:hAnsi="Calibri"/>
          <w:b/>
          <w:bCs/>
          <w:color w:val="15243F"/>
          <w:sz w:val="32"/>
          <w:szCs w:val="32"/>
        </w:rPr>
        <w:t xml:space="preserve">24. Conversion &amp; CTA Architecture</w:t>
      </w:r>
    </w:p>
    <w:p>
      <w:pPr>
        <w:spacing w:after="120" w:line="276"/>
      </w:pPr>
      <w:r>
        <w:rPr>
          <w:rFonts w:ascii="Calibri" w:cs="Calibri" w:eastAsia="Calibri" w:hAnsi="Calibri"/>
          <w:color w:val="222222"/>
          <w:sz w:val="20"/>
          <w:szCs w:val="20"/>
        </w:rPr>
        <w:t xml:space="preserve">The site currently uses "Book a Call" in the header, "Book a Consultation" in page CTAs, "See What We Do" in the hero and "Find Your Industry Solution" beneath the industries block — which resolves to the About page and delivers no industry content. Inconsistent labels and a wrong destination on the same page.</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1498"/>
        <w:gridCol w:w="3182"/>
        <w:gridCol w:w="4680"/>
      </w:tblGrid>
      <w:tr>
        <w:trPr>
          <w:tblHeader/>
        </w:trPr>
        <w:tc>
          <w:tcPr>
            <w:tcW w:type="dxa" w:w="1498"/>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Category</w:t>
            </w:r>
          </w:p>
        </w:tc>
        <w:tc>
          <w:tcPr>
            <w:tcW w:type="dxa" w:w="318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Use when</w:t>
            </w:r>
          </w:p>
        </w:tc>
        <w:tc>
          <w:tcPr>
            <w:tcW w:type="dxa" w:w="4680"/>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Approved wording</w:t>
            </w:r>
          </w:p>
        </w:tc>
      </w:tr>
      <w:tr>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Exploration</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Visitor is orienting</w:t>
            </w:r>
          </w:p>
        </w:tc>
        <w:tc>
          <w:tcPr>
            <w:tcW w:type="dxa" w:w="468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"See how we work", "Explore SAP capabilities"</w:t>
            </w:r>
          </w:p>
        </w:tc>
      </w:tr>
      <w:tr>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Evaluation</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Visitor is comparing approaches</w:t>
            </w:r>
          </w:p>
        </w:tc>
        <w:tc>
          <w:tcPr>
            <w:tcW w:type="dxa" w:w="468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"Discuss your SAP modernization roadmap"</w:t>
            </w:r>
          </w:p>
        </w:tc>
      </w:tr>
      <w:tr>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Technical</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Visitor is an architect or technical evaluator</w:t>
            </w:r>
          </w:p>
        </w:tc>
        <w:tc>
          <w:tcPr>
            <w:tcW w:type="dxa" w:w="468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"Talk to an enterprise architect"</w:t>
            </w:r>
          </w:p>
        </w:tc>
      </w:tr>
      <w:tr>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Assessment</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Visitor has a specific estate question</w:t>
            </w:r>
          </w:p>
        </w:tc>
        <w:tc>
          <w:tcPr>
            <w:tcW w:type="dxa" w:w="468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"Assess your cloud landscape"</w:t>
            </w:r>
          </w:p>
        </w:tc>
      </w:tr>
      <w:tr>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Commercial</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Visitor is ready to engage</w:t>
            </w:r>
          </w:p>
        </w:tc>
        <w:tc>
          <w:tcPr>
            <w:tcW w:type="dxa" w:w="468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"Start a project discussion"</w:t>
            </w:r>
          </w:p>
        </w:tc>
      </w:tr>
    </w:tbl>
    <w:p>
      <w:pPr>
        <w:spacing w:after="120" w:line="276"/>
      </w:pPr>
      <w:r>
        <w:rPr>
          <w:rFonts w:ascii="Calibri" w:cs="Calibri" w:eastAsia="Calibri" w:hAnsi="Calibri"/>
          <w:color w:val="222222"/>
          <w:sz w:val="20"/>
          <w:szCs w:val="20"/>
        </w:rPr>
        <w:t xml:space="preserve"/>
      </w:r>
    </w:p>
    <w:p>
      <w:pPr>
        <w:pStyle w:val="Heading2"/>
        <w:spacing w:after="140" w:before="280"/>
      </w:pPr>
      <w:r>
        <w:rPr>
          <w:rFonts w:ascii="Calibri" w:cs="Calibri" w:eastAsia="Calibri" w:hAnsi="Calibri"/>
          <w:b/>
          <w:bCs/>
          <w:color w:val="15243F"/>
          <w:sz w:val="24"/>
          <w:szCs w:val="24"/>
        </w:rPr>
        <w:t xml:space="preserve">24.1 Contact routing</w:t>
      </w:r>
    </w:p>
    <w:p>
      <w:pPr>
        <w:spacing w:after="120" w:line="276"/>
      </w:pPr>
      <w:r>
        <w:rPr>
          <w:rFonts w:ascii="Calibri" w:cs="Calibri" w:eastAsia="Calibri" w:hAnsi="Calibri"/>
          <w:color w:val="222222"/>
          <w:sz w:val="20"/>
          <w:szCs w:val="20"/>
        </w:rPr>
        <w:t xml:space="preserve">One form, five routes, each with its own destination team and stated response commitment: new engagement, existing client support, partnership, careers, media. A single undifferentiated contact form on an enterprise site sends procurement enquiries and CV submissions to the same inbox.</w:t>
      </w:r>
    </w:p>
    <w:p>
      <w:pPr>
        <w:pStyle w:val="Heading1"/>
        <w:pageBreakBefore/>
        <w:spacing w:after="200" w:before="240"/>
      </w:pPr>
      <w:r>
        <w:rPr>
          <w:rFonts w:ascii="Calibri" w:cs="Calibri" w:eastAsia="Calibri" w:hAnsi="Calibri"/>
          <w:b/>
          <w:bCs/>
          <w:color w:val="15243F"/>
          <w:sz w:val="32"/>
          <w:szCs w:val="32"/>
        </w:rPr>
        <w:t xml:space="preserve">25. Content Governance</w:t>
      </w:r>
    </w:p>
    <w:p>
      <w:pPr>
        <w:pStyle w:val="Heading2"/>
        <w:spacing w:after="140" w:before="280"/>
      </w:pPr>
      <w:r>
        <w:rPr>
          <w:rFonts w:ascii="Calibri" w:cs="Calibri" w:eastAsia="Calibri" w:hAnsi="Calibri"/>
          <w:b/>
          <w:bCs/>
          <w:color w:val="15243F"/>
          <w:sz w:val="24"/>
          <w:szCs w:val="24"/>
        </w:rPr>
        <w:t xml:space="preserve">25.1 Publishing rules</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2059"/>
        <w:gridCol w:w="7301"/>
      </w:tblGrid>
      <w:tr>
        <w:trPr>
          <w:tblHeader/>
        </w:trPr>
        <w:tc>
          <w:tcPr>
            <w:tcW w:type="dxa" w:w="2059"/>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Rule</w:t>
            </w:r>
          </w:p>
        </w:tc>
        <w:tc>
          <w:tcPr>
            <w:tcW w:type="dxa" w:w="7301"/>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Standard</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SEO title</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50–60 characters. Format: Primary intent | Ascendus. Never duplicated across URLs. Never templated from a global default.</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Meta description</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140–160 characters. Describes what the page contains, not what the company aspires to. Unique per URL.</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H1</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Exactly one per page. Must contain the page's primary noun. Must not be a slogan.</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H2 hierarchy</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skipped levels. No empty headings shipped to production — this is a build-blocking lint rule, not a review item.</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Canonical</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absolute, on the production hostname. Never inherited from a layout default.</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Word count</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Executive layer under 400 words per page. Technical depth in progressive-disclosure sections. Length is never a target.</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FAQ criteria</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Publish a question only if a CIO, CTO, IT director, enterprise architect or procurement lead would plausibly ask it during an evaluation. Never publish "What makes Ascendus the best?".</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Internal links</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Minimum three contextual in-body links per service page: one to the parent, one to a sibling, one to proof.</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Proof requirement</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number publishes without an entry in the proof registry: figure, owner, source, measurement basis, client consent, review date.</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Author requirement</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Every Insights article carries a named author with a real bio and an author route. No generic identities.</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Schema</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Only types that match visible page content. Schema is never added for decoration.</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Image alt</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Descriptive alt for content images; empty alt for decorative images. Never the filename, never the brand name repeated.</w:t>
            </w:r>
          </w:p>
        </w:tc>
      </w:tr>
      <w:tr>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URL naming</w:t>
            </w:r>
          </w:p>
        </w:tc>
        <w:tc>
          <w:tcPr>
            <w:tcW w:type="dxa" w:w="730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Lowercase, hyphenated, no camelCase, trailing slash consistent site-wide. No internal organisational vocabulary such as "practice".</w:t>
            </w:r>
          </w:p>
        </w:tc>
      </w:tr>
      <w:tr>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Terminology</w:t>
            </w:r>
          </w:p>
        </w:tc>
        <w:tc>
          <w:tcPr>
            <w:tcW w:type="dxa" w:w="730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One name per service, used identically in navigation, page title, H1, footer and schema. "Transformation Advisory", never "Business Advisory".</w:t>
            </w:r>
          </w:p>
        </w:tc>
      </w:tr>
    </w:tbl>
    <w:p>
      <w:pPr>
        <w:pStyle w:val="Heading2"/>
        <w:spacing w:after="140" w:before="280"/>
      </w:pPr>
      <w:r>
        <w:rPr>
          <w:rFonts w:ascii="Calibri" w:cs="Calibri" w:eastAsia="Calibri" w:hAnsi="Calibri"/>
          <w:b/>
          <w:bCs/>
          <w:color w:val="15243F"/>
          <w:sz w:val="24"/>
          <w:szCs w:val="24"/>
        </w:rPr>
        <w:t xml:space="preserve">25.2 Brand voice</w:t>
      </w:r>
    </w:p>
    <w:p>
      <w:pPr>
        <w:pStyle w:val="Heading3"/>
        <w:keepNext/>
        <w:keepLines/>
        <w:spacing w:after="100" w:before="200"/>
      </w:pPr>
      <w:r>
        <w:rPr>
          <w:rFonts w:ascii="Calibri" w:cs="Calibri" w:eastAsia="Calibri" w:hAnsi="Calibri"/>
          <w:b/>
          <w:bCs/>
          <w:color w:val="5B3FA8"/>
          <w:sz w:val="21"/>
          <w:szCs w:val="21"/>
        </w:rPr>
        <w:t xml:space="preserve">We sound</w:t>
      </w:r>
    </w:p>
    <w:p>
      <w:pPr>
        <w:pStyle w:val="ListParagraph"/>
        <w:numPr>
          <w:ilvl w:val="0"/>
          <w:numId w:val="2"/>
        </w:numPr>
        <w:spacing w:after="80" w:line="276"/>
      </w:pPr>
      <w:r>
        <w:rPr>
          <w:rFonts w:ascii="Calibri" w:cs="Calibri" w:eastAsia="Calibri" w:hAnsi="Calibri"/>
          <w:color w:val="222222"/>
          <w:sz w:val="20"/>
          <w:szCs w:val="20"/>
        </w:rPr>
        <w:t xml:space="preserve">Precise — a specific claim beats a strong adjective.</w:t>
      </w:r>
    </w:p>
    <w:p>
      <w:pPr>
        <w:pStyle w:val="ListParagraph"/>
        <w:numPr>
          <w:ilvl w:val="0"/>
          <w:numId w:val="2"/>
        </w:numPr>
        <w:spacing w:after="80" w:line="276"/>
      </w:pPr>
      <w:r>
        <w:rPr>
          <w:rFonts w:ascii="Calibri" w:cs="Calibri" w:eastAsia="Calibri" w:hAnsi="Calibri"/>
          <w:color w:val="222222"/>
          <w:sz w:val="20"/>
          <w:szCs w:val="20"/>
        </w:rPr>
        <w:t xml:space="preserve">Calm — confidence is shown by explaining complexity clearly, not by intensifying language.</w:t>
      </w:r>
    </w:p>
    <w:p>
      <w:pPr>
        <w:pStyle w:val="ListParagraph"/>
        <w:numPr>
          <w:ilvl w:val="0"/>
          <w:numId w:val="2"/>
        </w:numPr>
        <w:spacing w:after="80" w:line="276"/>
      </w:pPr>
      <w:r>
        <w:rPr>
          <w:rFonts w:ascii="Calibri" w:cs="Calibri" w:eastAsia="Calibri" w:hAnsi="Calibri"/>
          <w:color w:val="222222"/>
          <w:sz w:val="20"/>
          <w:szCs w:val="20"/>
        </w:rPr>
        <w:t xml:space="preserve">Technically literate — correct terminology, correctly used.</w:t>
      </w:r>
    </w:p>
    <w:p>
      <w:pPr>
        <w:pStyle w:val="ListParagraph"/>
        <w:numPr>
          <w:ilvl w:val="0"/>
          <w:numId w:val="2"/>
        </w:numPr>
        <w:spacing w:after="80" w:line="276"/>
      </w:pPr>
      <w:r>
        <w:rPr>
          <w:rFonts w:ascii="Calibri" w:cs="Calibri" w:eastAsia="Calibri" w:hAnsi="Calibri"/>
          <w:color w:val="222222"/>
          <w:sz w:val="20"/>
          <w:szCs w:val="20"/>
        </w:rPr>
        <w:t xml:space="preserve">Business-aware — every technical statement connects to a commercial consequence.</w:t>
      </w:r>
    </w:p>
    <w:p>
      <w:pPr>
        <w:pStyle w:val="ListParagraph"/>
        <w:numPr>
          <w:ilvl w:val="0"/>
          <w:numId w:val="2"/>
        </w:numPr>
        <w:spacing w:after="80" w:line="276"/>
      </w:pPr>
      <w:r>
        <w:rPr>
          <w:rFonts w:ascii="Calibri" w:cs="Calibri" w:eastAsia="Calibri" w:hAnsi="Calibri"/>
          <w:color w:val="222222"/>
          <w:sz w:val="20"/>
          <w:szCs w:val="20"/>
        </w:rPr>
        <w:t xml:space="preserve">Practical — describes what is done, not what is aspired to.</w:t>
      </w:r>
    </w:p>
    <w:p>
      <w:pPr>
        <w:pStyle w:val="ListParagraph"/>
        <w:numPr>
          <w:ilvl w:val="0"/>
          <w:numId w:val="2"/>
        </w:numPr>
        <w:spacing w:after="80" w:line="276"/>
      </w:pPr>
      <w:r>
        <w:rPr>
          <w:rFonts w:ascii="Calibri" w:cs="Calibri" w:eastAsia="Calibri" w:hAnsi="Calibri"/>
          <w:color w:val="222222"/>
          <w:sz w:val="20"/>
          <w:szCs w:val="20"/>
        </w:rPr>
        <w:t xml:space="preserve">Falsifiable — claims a competitor could contest, which is what makes them worth making.</w:t>
      </w:r>
    </w:p>
    <w:p>
      <w:pPr>
        <w:pStyle w:val="Heading3"/>
        <w:keepNext/>
        <w:keepLines/>
        <w:spacing w:after="100" w:before="200"/>
      </w:pPr>
      <w:r>
        <w:rPr>
          <w:rFonts w:ascii="Calibri" w:cs="Calibri" w:eastAsia="Calibri" w:hAnsi="Calibri"/>
          <w:b/>
          <w:bCs/>
          <w:color w:val="5B3FA8"/>
          <w:sz w:val="21"/>
          <w:szCs w:val="21"/>
        </w:rPr>
        <w:t xml:space="preserve">We do not sound</w:t>
      </w:r>
    </w:p>
    <w:p>
      <w:pPr>
        <w:pStyle w:val="ListParagraph"/>
        <w:numPr>
          <w:ilvl w:val="0"/>
          <w:numId w:val="2"/>
        </w:numPr>
        <w:spacing w:after="80" w:line="276"/>
      </w:pPr>
      <w:r>
        <w:rPr>
          <w:rFonts w:ascii="Calibri" w:cs="Calibri" w:eastAsia="Calibri" w:hAnsi="Calibri"/>
          <w:color w:val="222222"/>
          <w:sz w:val="20"/>
          <w:szCs w:val="20"/>
        </w:rPr>
        <w:t xml:space="preserve">Hyperbole and superlatives without evidence.</w:t>
      </w:r>
    </w:p>
    <w:p>
      <w:pPr>
        <w:pStyle w:val="ListParagraph"/>
        <w:numPr>
          <w:ilvl w:val="0"/>
          <w:numId w:val="2"/>
        </w:numPr>
        <w:spacing w:after="80" w:line="276"/>
      </w:pPr>
      <w:r>
        <w:rPr>
          <w:rFonts w:ascii="Calibri" w:cs="Calibri" w:eastAsia="Calibri" w:hAnsi="Calibri"/>
          <w:color w:val="222222"/>
          <w:sz w:val="20"/>
          <w:szCs w:val="20"/>
        </w:rPr>
        <w:t xml:space="preserve">Motivational or startup register.</w:t>
      </w:r>
    </w:p>
    <w:p>
      <w:pPr>
        <w:pStyle w:val="ListParagraph"/>
        <w:numPr>
          <w:ilvl w:val="0"/>
          <w:numId w:val="2"/>
        </w:numPr>
        <w:spacing w:after="80" w:line="276"/>
      </w:pPr>
      <w:r>
        <w:rPr>
          <w:rFonts w:ascii="Calibri" w:cs="Calibri" w:eastAsia="Calibri" w:hAnsi="Calibri"/>
          <w:color w:val="222222"/>
          <w:sz w:val="20"/>
          <w:szCs w:val="20"/>
        </w:rPr>
        <w:t xml:space="preserve">Agency vocabulary — "reimagine", "journey", "unlock", "elevate".</w:t>
      </w:r>
    </w:p>
    <w:p>
      <w:pPr>
        <w:pStyle w:val="ListParagraph"/>
        <w:numPr>
          <w:ilvl w:val="0"/>
          <w:numId w:val="2"/>
        </w:numPr>
        <w:spacing w:after="80" w:line="276"/>
      </w:pPr>
      <w:r>
        <w:rPr>
          <w:rFonts w:ascii="Calibri" w:cs="Calibri" w:eastAsia="Calibri" w:hAnsi="Calibri"/>
          <w:color w:val="222222"/>
          <w:sz w:val="20"/>
          <w:szCs w:val="20"/>
        </w:rPr>
        <w:t xml:space="preserve">Stacked adjectives — "cutting-edge, world-class, end-to-end".</w:t>
      </w:r>
    </w:p>
    <w:p>
      <w:pPr>
        <w:pStyle w:val="ListParagraph"/>
        <w:numPr>
          <w:ilvl w:val="0"/>
          <w:numId w:val="2"/>
        </w:numPr>
        <w:spacing w:after="80" w:line="276"/>
      </w:pPr>
      <w:r>
        <w:rPr>
          <w:rFonts w:ascii="Calibri" w:cs="Calibri" w:eastAsia="Calibri" w:hAnsi="Calibri"/>
          <w:color w:val="222222"/>
          <w:sz w:val="20"/>
          <w:szCs w:val="20"/>
        </w:rPr>
        <w:t xml:space="preserve">Any claim about scale, footprint or credentials that is not in the proof registry.</w:t>
      </w:r>
    </w:p>
    <w:p>
      <w:pPr>
        <w:pStyle w:val="ListParagraph"/>
        <w:numPr>
          <w:ilvl w:val="0"/>
          <w:numId w:val="2"/>
        </w:numPr>
        <w:spacing w:after="80" w:line="276"/>
      </w:pPr>
      <w:r>
        <w:rPr>
          <w:rFonts w:ascii="Calibri" w:cs="Calibri" w:eastAsia="Calibri" w:hAnsi="Calibri"/>
          <w:color w:val="222222"/>
          <w:sz w:val="20"/>
          <w:szCs w:val="20"/>
        </w:rPr>
        <w:t xml:space="preserve">Repeated sentence formulas across pages — the primary tell of generated content.</w:t>
      </w:r>
    </w:p>
    <w:p>
      <w:pPr>
        <w:pStyle w:val="Heading3"/>
        <w:keepNext/>
        <w:keepLines/>
        <w:spacing w:after="100" w:before="200"/>
      </w:pPr>
      <w:r>
        <w:rPr>
          <w:rFonts w:ascii="Calibri" w:cs="Calibri" w:eastAsia="Calibri" w:hAnsi="Calibri"/>
          <w:b/>
          <w:bCs/>
          <w:color w:val="5B3FA8"/>
          <w:sz w:val="21"/>
          <w:szCs w:val="21"/>
        </w:rPr>
        <w:t xml:space="preserve">Sentence patterns</w:t>
      </w:r>
    </w:p>
    <w:p>
      <w:pPr>
        <w:pStyle w:val="ListParagraph"/>
        <w:numPr>
          <w:ilvl w:val="0"/>
          <w:numId w:val="2"/>
        </w:numPr>
        <w:spacing w:after="80" w:line="276"/>
      </w:pPr>
      <w:r>
        <w:rPr>
          <w:rFonts w:ascii="Calibri" w:cs="Calibri" w:eastAsia="Calibri" w:hAnsi="Calibri"/>
          <w:color w:val="222222"/>
          <w:sz w:val="20"/>
          <w:szCs w:val="20"/>
        </w:rPr>
        <w:t xml:space="preserve">Problem → consequence → what we do about it → what changes.</w:t>
      </w:r>
    </w:p>
    <w:p>
      <w:pPr>
        <w:pStyle w:val="ListParagraph"/>
        <w:numPr>
          <w:ilvl w:val="0"/>
          <w:numId w:val="2"/>
        </w:numPr>
        <w:spacing w:after="80" w:line="276"/>
      </w:pPr>
      <w:r>
        <w:rPr>
          <w:rFonts w:ascii="Calibri" w:cs="Calibri" w:eastAsia="Calibri" w:hAnsi="Calibri"/>
          <w:color w:val="222222"/>
          <w:sz w:val="20"/>
          <w:szCs w:val="20"/>
        </w:rPr>
        <w:t xml:space="preserve">State the constraint before the capability: "SAP is where the cost of a bad architecture decision compounds longest."</w:t>
      </w:r>
    </w:p>
    <w:p>
      <w:pPr>
        <w:pStyle w:val="ListParagraph"/>
        <w:numPr>
          <w:ilvl w:val="0"/>
          <w:numId w:val="2"/>
        </w:numPr>
        <w:spacing w:after="80" w:line="276"/>
      </w:pPr>
      <w:r>
        <w:rPr>
          <w:rFonts w:ascii="Calibri" w:cs="Calibri" w:eastAsia="Calibri" w:hAnsi="Calibri"/>
          <w:color w:val="222222"/>
          <w:sz w:val="20"/>
          <w:szCs w:val="20"/>
        </w:rPr>
        <w:t xml:space="preserve">Name the buyer's decision, then help them make it.</w:t>
      </w:r>
    </w:p>
    <w:p>
      <w:pPr>
        <w:pStyle w:val="Heading3"/>
        <w:keepNext/>
        <w:keepLines/>
        <w:spacing w:after="100" w:before="200"/>
      </w:pPr>
      <w:r>
        <w:rPr>
          <w:rFonts w:ascii="Calibri" w:cs="Calibri" w:eastAsia="Calibri" w:hAnsi="Calibri"/>
          <w:b/>
          <w:bCs/>
          <w:color w:val="5B3FA8"/>
          <w:sz w:val="21"/>
          <w:szCs w:val="21"/>
        </w:rPr>
        <w:t xml:space="preserve">CTA patterns</w:t>
      </w:r>
    </w:p>
    <w:p>
      <w:pPr>
        <w:pStyle w:val="ListParagraph"/>
        <w:numPr>
          <w:ilvl w:val="0"/>
          <w:numId w:val="2"/>
        </w:numPr>
        <w:spacing w:after="80" w:line="276"/>
      </w:pPr>
      <w:r>
        <w:rPr>
          <w:rFonts w:ascii="Calibri" w:cs="Calibri" w:eastAsia="Calibri" w:hAnsi="Calibri"/>
          <w:color w:val="222222"/>
          <w:sz w:val="20"/>
          <w:szCs w:val="20"/>
        </w:rPr>
        <w:t xml:space="preserve">Exploration: "See how we work", "Explore SAP capabilities"</w:t>
      </w:r>
    </w:p>
    <w:p>
      <w:pPr>
        <w:pStyle w:val="ListParagraph"/>
        <w:numPr>
          <w:ilvl w:val="0"/>
          <w:numId w:val="2"/>
        </w:numPr>
        <w:spacing w:after="80" w:line="276"/>
      </w:pPr>
      <w:r>
        <w:rPr>
          <w:rFonts w:ascii="Calibri" w:cs="Calibri" w:eastAsia="Calibri" w:hAnsi="Calibri"/>
          <w:color w:val="222222"/>
          <w:sz w:val="20"/>
          <w:szCs w:val="20"/>
        </w:rPr>
        <w:t xml:space="preserve">Evaluation: "Discuss your SAP modernization roadmap"</w:t>
      </w:r>
    </w:p>
    <w:p>
      <w:pPr>
        <w:pStyle w:val="ListParagraph"/>
        <w:numPr>
          <w:ilvl w:val="0"/>
          <w:numId w:val="2"/>
        </w:numPr>
        <w:spacing w:after="80" w:line="276"/>
      </w:pPr>
      <w:r>
        <w:rPr>
          <w:rFonts w:ascii="Calibri" w:cs="Calibri" w:eastAsia="Calibri" w:hAnsi="Calibri"/>
          <w:color w:val="222222"/>
          <w:sz w:val="20"/>
          <w:szCs w:val="20"/>
        </w:rPr>
        <w:t xml:space="preserve">Technical: "Talk to an enterprise architect"</w:t>
      </w:r>
    </w:p>
    <w:p>
      <w:pPr>
        <w:pStyle w:val="ListParagraph"/>
        <w:numPr>
          <w:ilvl w:val="0"/>
          <w:numId w:val="2"/>
        </w:numPr>
        <w:spacing w:after="80" w:line="276"/>
      </w:pPr>
      <w:r>
        <w:rPr>
          <w:rFonts w:ascii="Calibri" w:cs="Calibri" w:eastAsia="Calibri" w:hAnsi="Calibri"/>
          <w:color w:val="222222"/>
          <w:sz w:val="20"/>
          <w:szCs w:val="20"/>
        </w:rPr>
        <w:t xml:space="preserve">Assessment: "Assess your cloud landscape"</w:t>
      </w:r>
    </w:p>
    <w:p>
      <w:pPr>
        <w:pStyle w:val="ListParagraph"/>
        <w:numPr>
          <w:ilvl w:val="0"/>
          <w:numId w:val="2"/>
        </w:numPr>
        <w:spacing w:after="80" w:line="276"/>
      </w:pPr>
      <w:r>
        <w:rPr>
          <w:rFonts w:ascii="Calibri" w:cs="Calibri" w:eastAsia="Calibri" w:hAnsi="Calibri"/>
          <w:color w:val="222222"/>
          <w:sz w:val="20"/>
          <w:szCs w:val="20"/>
        </w:rPr>
        <w:t xml:space="preserve">Commercial: "Start a project discussion"</w:t>
      </w:r>
    </w:p>
    <w:p>
      <w:pPr>
        <w:pStyle w:val="ListParagraph"/>
        <w:numPr>
          <w:ilvl w:val="0"/>
          <w:numId w:val="2"/>
        </w:numPr>
        <w:spacing w:after="80" w:line="276"/>
      </w:pPr>
      <w:r>
        <w:rPr>
          <w:rFonts w:ascii="Calibri" w:cs="Calibri" w:eastAsia="Calibri" w:hAnsi="Calibri"/>
          <w:color w:val="222222"/>
          <w:sz w:val="20"/>
          <w:szCs w:val="20"/>
        </w:rPr>
        <w:t xml:space="preserve">Never: "Learn More", "Click Here", "Get Started", "Contact Us", "Book a Call"</w:t>
      </w:r>
    </w:p>
    <w:p>
      <w:pPr>
        <w:pStyle w:val="Heading3"/>
        <w:keepNext/>
        <w:keepLines/>
        <w:spacing w:after="100" w:before="200"/>
      </w:pPr>
      <w:r>
        <w:rPr>
          <w:rFonts w:ascii="Calibri" w:cs="Calibri" w:eastAsia="Calibri" w:hAnsi="Calibri"/>
          <w:b/>
          <w:bCs/>
          <w:color w:val="5B3FA8"/>
          <w:sz w:val="21"/>
          <w:szCs w:val="21"/>
        </w:rPr>
        <w:t xml:space="preserve">The test that catches generated content</w:t>
      </w:r>
    </w:p>
    <w:p>
      <w:pPr>
        <w:spacing w:after="120" w:line="276"/>
      </w:pPr>
      <w:r>
        <w:rPr>
          <w:rFonts w:ascii="Calibri" w:cs="Calibri" w:eastAsia="Calibri" w:hAnsi="Calibri"/>
          <w:color w:val="222222"/>
          <w:sz w:val="20"/>
          <w:szCs w:val="20"/>
        </w:rPr>
        <w:t xml:space="preserve">Read three service pages in sequence. If they share a sentence skeleton — same opening move, same three-card rhythm, same outcome paragraph shape — the pages will read as generated regardless of how good any single sentence is. Vary the structure, not just the vocabulary. This is the failure mode most enterprise sites have right now, and it is the one an experienced evaluator detects fastest.</w:t>
      </w:r>
    </w:p>
    <w:p>
      <w:pPr>
        <w:pStyle w:val="Heading1"/>
        <w:pageBreakBefore/>
        <w:spacing w:after="200" w:before="240"/>
      </w:pPr>
      <w:r>
        <w:rPr>
          <w:rFonts w:ascii="Calibri" w:cs="Calibri" w:eastAsia="Calibri" w:hAnsi="Calibri"/>
          <w:b/>
          <w:bCs/>
          <w:color w:val="15243F"/>
          <w:sz w:val="32"/>
          <w:szCs w:val="32"/>
        </w:rPr>
        <w:t xml:space="preserve">26. Technical SEO Checklist</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1591"/>
        <w:gridCol w:w="3089"/>
        <w:gridCol w:w="4680"/>
      </w:tblGrid>
      <w:tr>
        <w:trPr>
          <w:tblHeader/>
        </w:trPr>
        <w:tc>
          <w:tcPr>
            <w:tcW w:type="dxa" w:w="1591"/>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Item</w:t>
            </w:r>
          </w:p>
        </w:tc>
        <w:tc>
          <w:tcPr>
            <w:tcW w:type="dxa" w:w="3089"/>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Current</w:t>
            </w:r>
          </w:p>
        </w:tc>
        <w:tc>
          <w:tcPr>
            <w:tcW w:type="dxa" w:w="4680"/>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Required</w:t>
            </w:r>
          </w:p>
        </w:tc>
      </w:tr>
      <w:tr>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robots.txt</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Unverified</w:t>
            </w:r>
          </w:p>
        </w:tc>
        <w:tc>
          <w:tcPr>
            <w:tcW w:type="dxa" w:w="468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Present, allows crawl of all indexable routes, references the sitemap</w:t>
            </w:r>
          </w:p>
        </w:tc>
      </w:tr>
      <w:tr>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sitemap.xml</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Unverified</w:t>
            </w:r>
          </w:p>
        </w:tc>
        <w:tc>
          <w:tcPr>
            <w:tcW w:type="dxa" w:w="468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Contains every indexable URL, no redirected or noindexed URL, auto-regenerated</w:t>
            </w:r>
          </w:p>
        </w:tc>
      </w:tr>
      <w:tr>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Canonical</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Hard-coded to a foreign host site-wide</w:t>
            </w:r>
          </w:p>
        </w:tc>
        <w:tc>
          <w:tcPr>
            <w:tcW w:type="dxa" w:w="468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absolute, production host, per route</w:t>
            </w:r>
          </w:p>
        </w:tc>
      </w:tr>
      <w:tr>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Titles</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One value site-wide</w:t>
            </w:r>
          </w:p>
        </w:tc>
        <w:tc>
          <w:tcPr>
            <w:tcW w:type="dxa" w:w="468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Unique per URL, 50–60 characters</w:t>
            </w:r>
          </w:p>
        </w:tc>
      </w:tr>
      <w:tr>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Meta descriptions</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One value site-wide</w:t>
            </w:r>
          </w:p>
        </w:tc>
        <w:tc>
          <w:tcPr>
            <w:tcW w:type="dxa" w:w="468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Unique per URL, 140–160 characters</w:t>
            </w:r>
          </w:p>
        </w:tc>
      </w:tr>
      <w:tr>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H1</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Present, generally one per page</w:t>
            </w:r>
          </w:p>
        </w:tc>
        <w:tc>
          <w:tcPr>
            <w:tcW w:type="dxa" w:w="468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Exactly one, unique, descriptive, contains the primary noun</w:t>
            </w:r>
          </w:p>
        </w:tc>
      </w:tr>
      <w:tr>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Open Graph</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Global, foreign host</w:t>
            </w:r>
          </w:p>
        </w:tc>
        <w:tc>
          <w:tcPr>
            <w:tcW w:type="dxa" w:w="468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Per route, mirrors title and description, production-host image</w:t>
            </w:r>
          </w:p>
        </w:tc>
      </w:tr>
      <w:tr>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Twitter cards</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Global, foreign host</w:t>
            </w:r>
          </w:p>
        </w:tc>
        <w:tc>
          <w:tcPr>
            <w:tcW w:type="dxa" w:w="468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Per route or removed. A global card is worse than none</w:t>
            </w:r>
          </w:p>
        </w:tc>
      </w:tr>
      <w:tr>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hreflang</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Absent, but a locale switcher is present</w:t>
            </w:r>
          </w:p>
        </w:tc>
        <w:tc>
          <w:tcPr>
            <w:tcW w:type="dxa" w:w="468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Remove the switcher. Implement hreflang only with real localized content</w:t>
            </w:r>
          </w:p>
        </w:tc>
      </w:tr>
      <w:tr>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Structured data</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None observable</w:t>
            </w:r>
          </w:p>
        </w:tc>
        <w:tc>
          <w:tcPr>
            <w:tcW w:type="dxa" w:w="468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Per Section 22, validating in Rich Results Test</w:t>
            </w:r>
          </w:p>
        </w:tc>
      </w:tr>
      <w:tr>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Breadcrumbs</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Absent</w:t>
            </w:r>
          </w:p>
        </w:tc>
        <w:tc>
          <w:tcPr>
            <w:tcW w:type="dxa" w:w="468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Visible UI plus BreadcrumbList on every page below the homepage</w:t>
            </w:r>
          </w:p>
        </w:tc>
      </w:tr>
      <w:tr>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Redirects</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None required yet</w:t>
            </w:r>
          </w:p>
        </w:tc>
        <w:tc>
          <w:tcPr>
            <w:tcW w:type="dxa" w:w="468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Full Appendix C matrix, single hop, no chains</w:t>
            </w:r>
          </w:p>
        </w:tc>
      </w:tr>
      <w:tr>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404 handling</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Not assessed</w:t>
            </w:r>
          </w:p>
        </w:tc>
        <w:tc>
          <w:tcPr>
            <w:tcW w:type="dxa" w:w="468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Branded 404 with navigation and search</w:t>
            </w:r>
          </w:p>
        </w:tc>
      </w:tr>
      <w:tr>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Trailing slash</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Inconsistent</w:t>
            </w:r>
          </w:p>
        </w:tc>
        <w:tc>
          <w:tcPr>
            <w:tcW w:type="dxa" w:w="468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One convention site-wide, enforced by redirect</w:t>
            </w:r>
          </w:p>
        </w:tc>
      </w:tr>
      <w:tr>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URL casing</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camelCase in /whatWeDo/ and legal routes</w:t>
            </w:r>
          </w:p>
        </w:tc>
        <w:tc>
          <w:tcPr>
            <w:tcW w:type="dxa" w:w="468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Lowercase and hyphenated throughout</w:t>
            </w:r>
          </w:p>
        </w:tc>
      </w:tr>
      <w:tr>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Image alt</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Predominantly empty; brand images wrong</w:t>
            </w:r>
          </w:p>
        </w:tc>
        <w:tc>
          <w:tcPr>
            <w:tcW w:type="dxa" w:w="468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Descriptive for content images, empty for decorative</w:t>
            </w:r>
          </w:p>
        </w:tc>
      </w:tr>
      <w:tr>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JS rendering</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Content appears server-rendered</w:t>
            </w:r>
          </w:p>
        </w:tc>
        <w:tc>
          <w:tcPr>
            <w:tcW w:type="dxa" w:w="468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Confirm all primary copy is in the initial HTML response</w:t>
            </w:r>
          </w:p>
        </w:tc>
      </w:tr>
      <w:tr>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Dev host</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Indexable</w:t>
            </w:r>
          </w:p>
        </w:tc>
        <w:tc>
          <w:tcPr>
            <w:tcW w:type="dxa" w:w="468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Noindex or access-restricted</w:t>
            </w:r>
          </w:p>
        </w:tc>
      </w:tr>
      <w:tr>
        <w:tc>
          <w:tcPr>
            <w:tcW w:type="dxa" w:w="1591"/>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Core Web Vitals</w:t>
            </w:r>
          </w:p>
        </w:tc>
        <w:tc>
          <w:tcPr>
            <w:tcW w:type="dxa" w:w="308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Not assessed</w:t>
            </w:r>
          </w:p>
        </w:tc>
        <w:tc>
          <w:tcPr>
            <w:tcW w:type="dxa" w:w="468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Baseline before launch; hero video on / is the likely LCP risk</w:t>
            </w:r>
          </w:p>
        </w:tc>
      </w:tr>
      <w:tr>
        <w:tc>
          <w:tcPr>
            <w:tcW w:type="dxa" w:w="1591"/>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meta keywords</w:t>
            </w:r>
          </w:p>
        </w:tc>
        <w:tc>
          <w:tcPr>
            <w:tcW w:type="dxa" w:w="308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Present</w:t>
            </w:r>
          </w:p>
        </w:tc>
        <w:tc>
          <w:tcPr>
            <w:tcW w:type="dxa" w:w="468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Removed</w:t>
            </w:r>
          </w:p>
        </w:tc>
      </w:tr>
    </w:tbl>
    <w:p>
      <w:pPr>
        <w:pStyle w:val="Heading1"/>
        <w:pageBreakBefore/>
        <w:spacing w:after="200" w:before="240"/>
      </w:pPr>
      <w:r>
        <w:rPr>
          <w:rFonts w:ascii="Calibri" w:cs="Calibri" w:eastAsia="Calibri" w:hAnsi="Calibri"/>
          <w:b/>
          <w:bCs/>
          <w:color w:val="15243F"/>
          <w:sz w:val="32"/>
          <w:szCs w:val="32"/>
        </w:rPr>
        <w:t xml:space="preserve">27. Priority Roadmap</w:t>
      </w:r>
    </w:p>
    <w:p>
      <w:pPr>
        <w:pStyle w:val="Heading3"/>
        <w:keepNext/>
        <w:keepLines/>
        <w:spacing w:after="100" w:before="200"/>
      </w:pPr>
      <w:r>
        <w:rPr>
          <w:rFonts w:ascii="Calibri" w:cs="Calibri" w:eastAsia="Calibri" w:hAnsi="Calibri"/>
          <w:b/>
          <w:bCs/>
          <w:color w:val="5B3FA8"/>
          <w:sz w:val="21"/>
          <w:szCs w:val="21"/>
        </w:rPr>
        <w:t xml:space="preserve">Wave 0 — Launch gate  ·  Weeks 1–2</w:t>
      </w:r>
    </w:p>
    <w:p>
      <w:pPr>
        <w:spacing w:after="120" w:line="276"/>
      </w:pPr>
      <w:r>
        <w:rPr>
          <w:rFonts w:ascii="Calibri" w:cs="Calibri" w:eastAsia="Calibri" w:hAnsi="Calibri"/>
          <w:color w:val="222222"/>
          <w:sz w:val="19"/>
          <w:szCs w:val="19"/>
        </w:rPr>
        <w:t xml:space="preserve">C-001 to C-026 in full. Entity relationship resolved and legally approved. All placeholder metrics removed. All template-collision copy corrected. Locale switcher removed. Dev host noindexed. Robots and sitemap verified.</w:t>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GATE</w:t>
            </w:r>
          </w:p>
          <w:p>
            <w:pPr>
              <w:spacing w:after="0" w:line="270"/>
            </w:pPr>
            <w:r>
              <w:rPr>
                <w:rFonts w:ascii="Calibri" w:cs="Calibri" w:eastAsia="Calibri" w:hAnsi="Calibri"/>
                <w:color w:val="222222"/>
                <w:sz w:val="19"/>
                <w:szCs w:val="19"/>
              </w:rPr>
              <w:t xml:space="preserve">Nothing else starts until Wave 0 closes. No exceptions, and no partial sign-off.</w:t>
            </w:r>
          </w:p>
        </w:tc>
      </w:tr>
    </w:tbl>
    <w:p>
      <w:pPr>
        <w:spacing w:after="120" w:line="276"/>
      </w:pPr>
      <w:r>
        <w:rPr>
          <w:rFonts w:ascii="Calibri" w:cs="Calibri" w:eastAsia="Calibri" w:hAnsi="Calibri"/>
          <w:color w:val="222222"/>
          <w:sz w:val="20"/>
          <w:szCs w:val="20"/>
        </w:rPr>
        <w:t xml:space="preserve"/>
      </w:r>
    </w:p>
    <w:p>
      <w:pPr>
        <w:pStyle w:val="Heading3"/>
        <w:keepNext/>
        <w:keepLines/>
        <w:spacing w:after="100" w:before="200"/>
      </w:pPr>
      <w:r>
        <w:rPr>
          <w:rFonts w:ascii="Calibri" w:cs="Calibri" w:eastAsia="Calibri" w:hAnsi="Calibri"/>
          <w:b/>
          <w:bCs/>
          <w:color w:val="5B3FA8"/>
          <w:sz w:val="21"/>
          <w:szCs w:val="21"/>
        </w:rPr>
        <w:t xml:space="preserve">Wave 1 — Foundation  ·  Weeks 3–6</w:t>
      </w:r>
    </w:p>
    <w:p>
      <w:pPr>
        <w:spacing w:after="120" w:line="276"/>
      </w:pPr>
      <w:r>
        <w:rPr>
          <w:rFonts w:ascii="Calibri" w:cs="Calibri" w:eastAsia="Calibri" w:hAnsi="Calibri"/>
          <w:color w:val="222222"/>
          <w:sz w:val="19"/>
          <w:szCs w:val="19"/>
        </w:rPr>
        <w:t xml:space="preserve">URL migration to /services/ with the full redirect matrix. Per-route metadata. Organization, WebSite, Service and BreadcrumbList schema. Navigation rebuild including Industries, Client Outcomes and Insights. Homepage production copy. Case-study detail routes.</w:t>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GATE</w:t>
            </w:r>
          </w:p>
          <w:p>
            <w:pPr>
              <w:spacing w:after="0" w:line="270"/>
            </w:pPr>
            <w:r>
              <w:rPr>
                <w:rFonts w:ascii="Calibri" w:cs="Calibri" w:eastAsia="Calibri" w:hAnsi="Calibri"/>
                <w:color w:val="222222"/>
                <w:sz w:val="19"/>
                <w:szCs w:val="19"/>
              </w:rPr>
              <w:t xml:space="preserve">Depends on Wave 0. This is the point at which the site becomes indexable and measurable.</w:t>
            </w:r>
          </w:p>
        </w:tc>
      </w:tr>
    </w:tbl>
    <w:p>
      <w:pPr>
        <w:spacing w:after="120" w:line="276"/>
      </w:pPr>
      <w:r>
        <w:rPr>
          <w:rFonts w:ascii="Calibri" w:cs="Calibri" w:eastAsia="Calibri" w:hAnsi="Calibri"/>
          <w:color w:val="222222"/>
          <w:sz w:val="20"/>
          <w:szCs w:val="20"/>
        </w:rPr>
        <w:t xml:space="preserve"/>
      </w:r>
    </w:p>
    <w:p>
      <w:pPr>
        <w:pStyle w:val="Heading3"/>
        <w:keepNext/>
        <w:keepLines/>
        <w:spacing w:after="100" w:before="200"/>
      </w:pPr>
      <w:r>
        <w:rPr>
          <w:rFonts w:ascii="Calibri" w:cs="Calibri" w:eastAsia="Calibri" w:hAnsi="Calibri"/>
          <w:b/>
          <w:bCs/>
          <w:color w:val="5B3FA8"/>
          <w:sz w:val="21"/>
          <w:szCs w:val="21"/>
        </w:rPr>
        <w:t xml:space="preserve">Wave 2 — Commercial depth  ·  Weeks 7–14</w:t>
      </w:r>
    </w:p>
    <w:p>
      <w:pPr>
        <w:spacing w:after="120" w:line="276"/>
      </w:pPr>
      <w:r>
        <w:rPr>
          <w:rFonts w:ascii="Calibri" w:cs="Calibri" w:eastAsia="Calibri" w:hAnsi="Calibri"/>
          <w:color w:val="222222"/>
          <w:sz w:val="19"/>
          <w:szCs w:val="19"/>
        </w:rPr>
        <w:t xml:space="preserve">SAP hub plus S/4HANA and AMS. Microsoft hub plus Azure. Direct-answer blocks and FAQs on all P0 service pages. Proof registry populated. Author profiles and the first six Insights articles.</w:t>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GATE</w:t>
            </w:r>
          </w:p>
          <w:p>
            <w:pPr>
              <w:spacing w:after="0" w:line="270"/>
            </w:pPr>
            <w:r>
              <w:rPr>
                <w:rFonts w:ascii="Calibri" w:cs="Calibri" w:eastAsia="Calibri" w:hAnsi="Calibri"/>
                <w:color w:val="222222"/>
                <w:sz w:val="19"/>
                <w:szCs w:val="19"/>
              </w:rPr>
              <w:t xml:space="preserve">Each page publishes only when its proof block is populated. A page with [PROOF REQUIRED] visible does not go live.</w:t>
            </w:r>
          </w:p>
        </w:tc>
      </w:tr>
    </w:tbl>
    <w:p>
      <w:pPr>
        <w:spacing w:after="120" w:line="276"/>
      </w:pPr>
      <w:r>
        <w:rPr>
          <w:rFonts w:ascii="Calibri" w:cs="Calibri" w:eastAsia="Calibri" w:hAnsi="Calibri"/>
          <w:color w:val="222222"/>
          <w:sz w:val="20"/>
          <w:szCs w:val="20"/>
        </w:rPr>
        <w:t xml:space="preserve"/>
      </w:r>
    </w:p>
    <w:p>
      <w:pPr>
        <w:pStyle w:val="Heading3"/>
        <w:keepNext/>
        <w:keepLines/>
        <w:spacing w:after="100" w:before="200"/>
      </w:pPr>
      <w:r>
        <w:rPr>
          <w:rFonts w:ascii="Calibri" w:cs="Calibri" w:eastAsia="Calibri" w:hAnsi="Calibri"/>
          <w:b/>
          <w:bCs/>
          <w:color w:val="5B3FA8"/>
          <w:sz w:val="21"/>
          <w:szCs w:val="21"/>
        </w:rPr>
        <w:t xml:space="preserve">Wave 3 — Authority  ·  Months 4–9</w:t>
      </w:r>
    </w:p>
    <w:p>
      <w:pPr>
        <w:spacing w:after="120" w:line="276"/>
      </w:pPr>
      <w:r>
        <w:rPr>
          <w:rFonts w:ascii="Calibri" w:cs="Calibri" w:eastAsia="Calibri" w:hAnsi="Calibri"/>
          <w:color w:val="222222"/>
          <w:sz w:val="19"/>
          <w:szCs w:val="19"/>
        </w:rPr>
        <w:t xml:space="preserve">Remaining SAP and Microsoft children. Industry pages, gated on referenceable engagements. Comparison guides. Trust centre. Leadership page.</w:t>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GATE</w:t>
            </w:r>
          </w:p>
          <w:p>
            <w:pPr>
              <w:spacing w:after="0" w:line="270"/>
            </w:pPr>
            <w:r>
              <w:rPr>
                <w:rFonts w:ascii="Calibri" w:cs="Calibri" w:eastAsia="Calibri" w:hAnsi="Calibri"/>
                <w:color w:val="222222"/>
                <w:sz w:val="19"/>
                <w:szCs w:val="19"/>
              </w:rPr>
              <w:t xml:space="preserve">Publication is gated on evidence, not on the calendar. A page with no proof waits.</w:t>
            </w:r>
          </w:p>
        </w:tc>
      </w:tr>
    </w:tbl>
    <w:p>
      <w:pPr>
        <w:spacing w:after="120" w:line="276"/>
      </w:pPr>
      <w:r>
        <w:rPr>
          <w:rFonts w:ascii="Calibri" w:cs="Calibri" w:eastAsia="Calibri" w:hAnsi="Calibri"/>
          <w:color w:val="222222"/>
          <w:sz w:val="20"/>
          <w:szCs w:val="20"/>
        </w:rPr>
        <w:t xml:space="preserve"/>
      </w:r>
    </w:p>
    <w:p>
      <w:pPr>
        <w:pStyle w:val="Heading1"/>
        <w:pageBreakBefore/>
        <w:spacing w:after="200" w:before="240"/>
      </w:pPr>
      <w:r>
        <w:rPr>
          <w:rFonts w:ascii="Calibri" w:cs="Calibri" w:eastAsia="Calibri" w:hAnsi="Calibri"/>
          <w:b/>
          <w:bCs/>
          <w:color w:val="15243F"/>
          <w:sz w:val="32"/>
          <w:szCs w:val="32"/>
        </w:rPr>
        <w:t xml:space="preserve">28. Acceptance Criteria</w:t>
      </w:r>
    </w:p>
    <w:p>
      <w:pPr>
        <w:spacing w:after="120" w:line="276"/>
      </w:pPr>
      <w:r>
        <w:rPr>
          <w:rFonts w:ascii="Calibri" w:cs="Calibri" w:eastAsia="Calibri" w:hAnsi="Calibri"/>
          <w:color w:val="222222"/>
          <w:sz w:val="20"/>
          <w:szCs w:val="20"/>
        </w:rPr>
        <w:t xml:space="preserve">Testable conditions. A change is not complete until its criterion passes. Wave 0 does not close until every P0 criterion below passes.</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1123"/>
        <w:gridCol w:w="8237"/>
      </w:tblGrid>
      <w:tr>
        <w:trPr>
          <w:tblHeader/>
        </w:trPr>
        <w:tc>
          <w:tcPr>
            <w:tcW w:type="dxa" w:w="1123"/>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ID</w:t>
            </w:r>
          </w:p>
        </w:tc>
        <w:tc>
          <w:tcPr>
            <w:tcW w:type="dxa" w:w="8237"/>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Acceptance test</w:t>
            </w:r>
          </w:p>
        </w:tc>
      </w:tr>
      <w:tr>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C-001</w:t>
            </w:r>
          </w:p>
        </w:tc>
        <w:tc>
          <w:tcPr>
            <w:tcW w:type="dxa" w:w="823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curl -sI and page source on ten sampled URLs each return a self-referencing absolute canonical on the production hostname. Zero pages return https://www.ascendus.com as canonical.</w:t>
            </w:r>
          </w:p>
        </w:tc>
      </w:tr>
      <w:tr>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C-002 / C-003</w:t>
            </w:r>
          </w:p>
        </w:tc>
        <w:tc>
          <w:tcPr>
            <w:tcW w:type="dxa" w:w="823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 crawl of all indexable URLs returns zero duplicate title tags and zero duplicate meta descriptions.</w:t>
            </w:r>
          </w:p>
        </w:tc>
      </w:tr>
      <w:tr>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C-005 / C-006</w:t>
            </w:r>
          </w:p>
        </w:tc>
        <w:tc>
          <w:tcPr>
            <w:tcW w:type="dxa" w:w="823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Page source contains no google-site-verification placeholder and no meta keywords tag on any route.</w:t>
            </w:r>
          </w:p>
        </w:tc>
      </w:tr>
      <w:tr>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C-007 / C-008</w:t>
            </w:r>
          </w:p>
        </w:tc>
        <w:tc>
          <w:tcPr>
            <w:tcW w:type="dxa" w:w="823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Text search for "0+", "0%" and "0.0%" across all rendered pages returns zero results.</w:t>
            </w:r>
          </w:p>
        </w:tc>
      </w:tr>
      <w:tr>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C-010 / C-011 / C-012</w:t>
            </w:r>
          </w:p>
        </w:tc>
        <w:tc>
          <w:tcPr>
            <w:tcW w:type="dxa" w:w="823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One approved entity string in the footer, signed off by legal. No isupportz.com or isupportz.official link anywhere. All logo alt text reads "Ascendus".</w:t>
            </w:r>
          </w:p>
        </w:tc>
      </w:tr>
      <w:tr>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C-013 / C-014</w:t>
            </w:r>
          </w:p>
        </w:tc>
        <w:tc>
          <w:tcPr>
            <w:tcW w:type="dxa" w:w="823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Content QA confirms every capability card's body copy matches its heading subject. A reviewer outside the content team signs this off.</w:t>
            </w:r>
          </w:p>
        </w:tc>
      </w:tr>
      <w:tr>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C-015 / C-016</w:t>
            </w:r>
          </w:p>
        </w:tc>
        <w:tc>
          <w:tcPr>
            <w:tcW w:type="dxa" w:w="823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Rendered DOM contains each card heading exactly once. Carousels loop visually without duplicating DOM nodes.</w:t>
            </w:r>
          </w:p>
        </w:tc>
      </w:tr>
      <w:tr>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C-017</w:t>
            </w:r>
          </w:p>
        </w:tc>
        <w:tc>
          <w:tcPr>
            <w:tcW w:type="dxa" w:w="823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 heading element on any route is followed by an empty content block. Enforced as a build-time lint rule.</w:t>
            </w:r>
          </w:p>
        </w:tc>
      </w:tr>
      <w:tr>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C-018</w:t>
            </w:r>
          </w:p>
        </w:tc>
        <w:tc>
          <w:tcPr>
            <w:tcW w:type="dxa" w:w="823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Every case study resolves to a unique URL, is linked from the index, is in the sitemap and returns 200.</w:t>
            </w:r>
          </w:p>
        </w:tc>
      </w:tr>
      <w:tr>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C-019</w:t>
            </w:r>
          </w:p>
        </w:tc>
        <w:tc>
          <w:tcPr>
            <w:tcW w:type="dxa" w:w="823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Every published figure maps to a proof-registry entry with owner, source, measurement basis and client consent on file.</w:t>
            </w:r>
          </w:p>
        </w:tc>
      </w:tr>
      <w:tr>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C-020</w:t>
            </w:r>
          </w:p>
        </w:tc>
        <w:tc>
          <w:tcPr>
            <w:tcW w:type="dxa" w:w="823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Locale switcher is absent from the DOM. No hreflang tags are emitted.</w:t>
            </w:r>
          </w:p>
        </w:tc>
      </w:tr>
      <w:tr>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C-023</w:t>
            </w:r>
          </w:p>
        </w:tc>
        <w:tc>
          <w:tcPr>
            <w:tcW w:type="dxa" w:w="823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Google Rich Results Test returns valid Organization and WebSite on the homepage, and valid Service plus BreadcrumbList on all twelve service pages.</w:t>
            </w:r>
          </w:p>
        </w:tc>
      </w:tr>
      <w:tr>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C-024</w:t>
            </w:r>
          </w:p>
        </w:tc>
        <w:tc>
          <w:tcPr>
            <w:tcW w:type="dxa" w:w="823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/robots.txt and /sitemap.xml return 200 on the production host; the sitemap contains every indexable URL and no redirected or noindexed URL.</w:t>
            </w:r>
          </w:p>
        </w:tc>
      </w:tr>
      <w:tr>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C-026</w:t>
            </w:r>
          </w:p>
        </w:tc>
        <w:tc>
          <w:tcPr>
            <w:tcW w:type="dxa" w:w="823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The *.vercel.app host returns X-Robots-Tag: noindex or is access-restricted.</w:t>
            </w:r>
          </w:p>
        </w:tc>
      </w:tr>
      <w:tr>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C-028 / C-029 / C-030</w:t>
            </w:r>
          </w:p>
        </w:tc>
        <w:tc>
          <w:tcPr>
            <w:tcW w:type="dxa" w:w="823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Every legacy URL in Appendix C returns a single 301 to the correct target. Zero redirect chains. Zero internal links point at a redirecting URL.</w:t>
            </w:r>
          </w:p>
        </w:tc>
      </w:tr>
      <w:tr>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C-035</w:t>
            </w:r>
          </w:p>
        </w:tc>
        <w:tc>
          <w:tcPr>
            <w:tcW w:type="dxa" w:w="823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Production H1 on / matches the approved copy exactly and the page source contains exactly one h1 element.</w:t>
            </w:r>
          </w:p>
        </w:tc>
      </w:tr>
      <w:tr>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C-037</w:t>
            </w:r>
          </w:p>
        </w:tc>
        <w:tc>
          <w:tcPr>
            <w:tcW w:type="dxa" w:w="823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Breadcrumb UI is visible on every page below the homepage and BreadcrumbList validates.</w:t>
            </w:r>
          </w:p>
        </w:tc>
      </w:tr>
      <w:tr>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C-041</w:t>
            </w:r>
          </w:p>
        </w:tc>
        <w:tc>
          <w:tcPr>
            <w:tcW w:type="dxa" w:w="823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Every CTA on the site maps to one of the five approved categories in Section 25. Zero instances of "Learn More", "Get Started" or "Contact Us".</w:t>
            </w:r>
          </w:p>
        </w:tc>
      </w:tr>
    </w:tbl>
    <w:p>
      <w:pPr>
        <w:pStyle w:val="Heading1"/>
        <w:pageBreakBefore/>
        <w:spacing w:after="200" w:before="240"/>
      </w:pPr>
      <w:r>
        <w:rPr>
          <w:rFonts w:ascii="Calibri" w:cs="Calibri" w:eastAsia="Calibri" w:hAnsi="Calibri"/>
          <w:b/>
          <w:bCs/>
          <w:color w:val="15243F"/>
          <w:sz w:val="32"/>
          <w:szCs w:val="32"/>
        </w:rPr>
        <w:t xml:space="preserve">29. Final QA Checklist</w:t>
      </w:r>
    </w:p>
    <w:p>
      <w:pPr>
        <w:spacing w:after="120" w:line="276"/>
      </w:pPr>
      <w:r>
        <w:rPr>
          <w:rFonts w:ascii="Calibri" w:cs="Calibri" w:eastAsia="Calibri" w:hAnsi="Calibri"/>
          <w:color w:val="222222"/>
          <w:sz w:val="20"/>
          <w:szCs w:val="20"/>
        </w:rPr>
        <w:t xml:space="preserve">Run in full before launch and before each subsequent wave. Any "no" on items 1–10 stops the release.</w:t>
      </w:r>
    </w:p>
    <w:p>
      <w:pPr>
        <w:pStyle w:val="ListParagraph"/>
        <w:numPr>
          <w:ilvl w:val="0"/>
          <w:numId w:val="2"/>
        </w:numPr>
        <w:spacing w:after="80" w:line="276"/>
      </w:pPr>
      <w:r>
        <w:rPr>
          <w:rFonts w:ascii="Calibri" w:cs="Calibri" w:eastAsia="Calibri" w:hAnsi="Calibri"/>
          <w:color w:val="222222"/>
          <w:sz w:val="20"/>
          <w:szCs w:val="20"/>
        </w:rPr>
        <w:t xml:space="preserve">1. Is the company positioning clear within ten seconds of landing on the homepage?</w:t>
      </w:r>
    </w:p>
    <w:p>
      <w:pPr>
        <w:pStyle w:val="ListParagraph"/>
        <w:numPr>
          <w:ilvl w:val="0"/>
          <w:numId w:val="2"/>
        </w:numPr>
        <w:spacing w:after="80" w:line="276"/>
      </w:pPr>
      <w:r>
        <w:rPr>
          <w:rFonts w:ascii="Calibri" w:cs="Calibri" w:eastAsia="Calibri" w:hAnsi="Calibri"/>
          <w:color w:val="222222"/>
          <w:sz w:val="20"/>
          <w:szCs w:val="20"/>
        </w:rPr>
        <w:t xml:space="preserve">2. Does every service page have a distinct commercial job that no other page duplicates?</w:t>
      </w:r>
    </w:p>
    <w:p>
      <w:pPr>
        <w:pStyle w:val="ListParagraph"/>
        <w:numPr>
          <w:ilvl w:val="0"/>
          <w:numId w:val="2"/>
        </w:numPr>
        <w:spacing w:after="80" w:line="276"/>
      </w:pPr>
      <w:r>
        <w:rPr>
          <w:rFonts w:ascii="Calibri" w:cs="Calibri" w:eastAsia="Calibri" w:hAnsi="Calibri"/>
          <w:color w:val="222222"/>
          <w:sz w:val="20"/>
          <w:szCs w:val="20"/>
        </w:rPr>
        <w:t xml:space="preserve">3. Is every SEO title unique across every indexable URL?</w:t>
      </w:r>
    </w:p>
    <w:p>
      <w:pPr>
        <w:pStyle w:val="ListParagraph"/>
        <w:numPr>
          <w:ilvl w:val="0"/>
          <w:numId w:val="2"/>
        </w:numPr>
        <w:spacing w:after="80" w:line="276"/>
      </w:pPr>
      <w:r>
        <w:rPr>
          <w:rFonts w:ascii="Calibri" w:cs="Calibri" w:eastAsia="Calibri" w:hAnsi="Calibri"/>
          <w:color w:val="222222"/>
          <w:sz w:val="20"/>
          <w:szCs w:val="20"/>
        </w:rPr>
        <w:t xml:space="preserve">4. Is every H1 unique, present exactly once, and descriptive rather than aspirational?</w:t>
      </w:r>
    </w:p>
    <w:p>
      <w:pPr>
        <w:pStyle w:val="ListParagraph"/>
        <w:numPr>
          <w:ilvl w:val="0"/>
          <w:numId w:val="2"/>
        </w:numPr>
        <w:spacing w:after="80" w:line="276"/>
      </w:pPr>
      <w:r>
        <w:rPr>
          <w:rFonts w:ascii="Calibri" w:cs="Calibri" w:eastAsia="Calibri" w:hAnsi="Calibri"/>
          <w:color w:val="222222"/>
          <w:sz w:val="20"/>
          <w:szCs w:val="20"/>
        </w:rPr>
        <w:t xml:space="preserve">5. Does every page carry a self-referencing canonical on the production hostname?</w:t>
      </w:r>
    </w:p>
    <w:p>
      <w:pPr>
        <w:pStyle w:val="ListParagraph"/>
        <w:numPr>
          <w:ilvl w:val="0"/>
          <w:numId w:val="2"/>
        </w:numPr>
        <w:spacing w:after="80" w:line="276"/>
      </w:pPr>
      <w:r>
        <w:rPr>
          <w:rFonts w:ascii="Calibri" w:cs="Calibri" w:eastAsia="Calibri" w:hAnsi="Calibri"/>
          <w:color w:val="222222"/>
          <w:sz w:val="20"/>
          <w:szCs w:val="20"/>
        </w:rPr>
        <w:t xml:space="preserve">6. Do robots.txt and sitemap.xml agree with the intended index scope?</w:t>
      </w:r>
    </w:p>
    <w:p>
      <w:pPr>
        <w:pStyle w:val="ListParagraph"/>
        <w:numPr>
          <w:ilvl w:val="0"/>
          <w:numId w:val="2"/>
        </w:numPr>
        <w:spacing w:after="80" w:line="276"/>
      </w:pPr>
      <w:r>
        <w:rPr>
          <w:rFonts w:ascii="Calibri" w:cs="Calibri" w:eastAsia="Calibri" w:hAnsi="Calibri"/>
          <w:color w:val="222222"/>
          <w:sz w:val="20"/>
          <w:szCs w:val="20"/>
        </w:rPr>
        <w:t xml:space="preserve">7. Are all placeholder metrics removed, with no zero-valued counters anywhere?</w:t>
      </w:r>
    </w:p>
    <w:p>
      <w:pPr>
        <w:pStyle w:val="ListParagraph"/>
        <w:numPr>
          <w:ilvl w:val="0"/>
          <w:numId w:val="2"/>
        </w:numPr>
        <w:spacing w:after="80" w:line="276"/>
      </w:pPr>
      <w:r>
        <w:rPr>
          <w:rFonts w:ascii="Calibri" w:cs="Calibri" w:eastAsia="Calibri" w:hAnsi="Calibri"/>
          <w:color w:val="222222"/>
          <w:sz w:val="20"/>
          <w:szCs w:val="20"/>
        </w:rPr>
        <w:t xml:space="preserve">8. Does every published number trace to a proof-registry entry with an owner and a source?</w:t>
      </w:r>
    </w:p>
    <w:p>
      <w:pPr>
        <w:pStyle w:val="ListParagraph"/>
        <w:numPr>
          <w:ilvl w:val="0"/>
          <w:numId w:val="2"/>
        </w:numPr>
        <w:spacing w:after="80" w:line="276"/>
      </w:pPr>
      <w:r>
        <w:rPr>
          <w:rFonts w:ascii="Calibri" w:cs="Calibri" w:eastAsia="Calibri" w:hAnsi="Calibri"/>
          <w:color w:val="222222"/>
          <w:sz w:val="20"/>
          <w:szCs w:val="20"/>
        </w:rPr>
        <w:t xml:space="preserve">9. Is the Ascendus / Support Studio Technologies relationship stated identically in the footer, About page, Organization schema and legal pages?</w:t>
      </w:r>
    </w:p>
    <w:p>
      <w:pPr>
        <w:pStyle w:val="ListParagraph"/>
        <w:numPr>
          <w:ilvl w:val="0"/>
          <w:numId w:val="2"/>
        </w:numPr>
        <w:spacing w:after="80" w:line="276"/>
      </w:pPr>
      <w:r>
        <w:rPr>
          <w:rFonts w:ascii="Calibri" w:cs="Calibri" w:eastAsia="Calibri" w:hAnsi="Calibri"/>
          <w:color w:val="222222"/>
          <w:sz w:val="20"/>
          <w:szCs w:val="20"/>
        </w:rPr>
        <w:t xml:space="preserve">10. Can an AI system reading only the homepage state what Ascendus does, for whom, and across which lifecycle stages?</w:t>
      </w:r>
    </w:p>
    <w:p>
      <w:pPr>
        <w:pStyle w:val="ListParagraph"/>
        <w:numPr>
          <w:ilvl w:val="0"/>
          <w:numId w:val="2"/>
        </w:numPr>
        <w:spacing w:after="80" w:line="276"/>
      </w:pPr>
      <w:r>
        <w:rPr>
          <w:rFonts w:ascii="Calibri" w:cs="Calibri" w:eastAsia="Calibri" w:hAnsi="Calibri"/>
          <w:color w:val="222222"/>
          <w:sz w:val="20"/>
          <w:szCs w:val="20"/>
        </w:rPr>
        <w:t xml:space="preserve">11. Does every P0 service page carry a self-contained direct-answer block?</w:t>
      </w:r>
    </w:p>
    <w:p>
      <w:pPr>
        <w:pStyle w:val="ListParagraph"/>
        <w:numPr>
          <w:ilvl w:val="0"/>
          <w:numId w:val="2"/>
        </w:numPr>
        <w:spacing w:after="80" w:line="276"/>
      </w:pPr>
      <w:r>
        <w:rPr>
          <w:rFonts w:ascii="Calibri" w:cs="Calibri" w:eastAsia="Calibri" w:hAnsi="Calibri"/>
          <w:color w:val="222222"/>
          <w:sz w:val="20"/>
          <w:szCs w:val="20"/>
        </w:rPr>
        <w:t xml:space="preserve">12. Would a CIO reasonably ask every published FAQ during a vendor evaluation?</w:t>
      </w:r>
    </w:p>
    <w:p>
      <w:pPr>
        <w:pStyle w:val="ListParagraph"/>
        <w:numPr>
          <w:ilvl w:val="0"/>
          <w:numId w:val="2"/>
        </w:numPr>
        <w:spacing w:after="80" w:line="276"/>
      </w:pPr>
      <w:r>
        <w:rPr>
          <w:rFonts w:ascii="Calibri" w:cs="Calibri" w:eastAsia="Calibri" w:hAnsi="Calibri"/>
          <w:color w:val="222222"/>
          <w:sz w:val="20"/>
          <w:szCs w:val="20"/>
        </w:rPr>
        <w:t xml:space="preserve">13. Does structured data match visible page content, with no decorative markup?</w:t>
      </w:r>
    </w:p>
    <w:p>
      <w:pPr>
        <w:pStyle w:val="ListParagraph"/>
        <w:numPr>
          <w:ilvl w:val="0"/>
          <w:numId w:val="2"/>
        </w:numPr>
        <w:spacing w:after="80" w:line="276"/>
      </w:pPr>
      <w:r>
        <w:rPr>
          <w:rFonts w:ascii="Calibri" w:cs="Calibri" w:eastAsia="Calibri" w:hAnsi="Calibri"/>
          <w:color w:val="222222"/>
          <w:sz w:val="20"/>
          <w:szCs w:val="20"/>
        </w:rPr>
        <w:t xml:space="preserve">14. Are case studies navigable, indexable and individually citable?</w:t>
      </w:r>
    </w:p>
    <w:p>
      <w:pPr>
        <w:pStyle w:val="ListParagraph"/>
        <w:numPr>
          <w:ilvl w:val="0"/>
          <w:numId w:val="2"/>
        </w:numPr>
        <w:spacing w:after="80" w:line="276"/>
      </w:pPr>
      <w:r>
        <w:rPr>
          <w:rFonts w:ascii="Calibri" w:cs="Calibri" w:eastAsia="Calibri" w:hAnsi="Calibri"/>
          <w:color w:val="222222"/>
          <w:sz w:val="20"/>
          <w:szCs w:val="20"/>
        </w:rPr>
        <w:t xml:space="preserve">15. Does every Insights article carry a named author with a verifiable bio?</w:t>
      </w:r>
    </w:p>
    <w:p>
      <w:pPr>
        <w:pStyle w:val="ListParagraph"/>
        <w:numPr>
          <w:ilvl w:val="0"/>
          <w:numId w:val="2"/>
        </w:numPr>
        <w:spacing w:after="80" w:line="276"/>
      </w:pPr>
      <w:r>
        <w:rPr>
          <w:rFonts w:ascii="Calibri" w:cs="Calibri" w:eastAsia="Calibri" w:hAnsi="Calibri"/>
          <w:color w:val="222222"/>
          <w:sz w:val="20"/>
          <w:szCs w:val="20"/>
        </w:rPr>
        <w:t xml:space="preserve">16. Are all twelve service pages linked from navigation, not only from the footer?</w:t>
      </w:r>
    </w:p>
    <w:p>
      <w:pPr>
        <w:pStyle w:val="ListParagraph"/>
        <w:numPr>
          <w:ilvl w:val="0"/>
          <w:numId w:val="2"/>
        </w:numPr>
        <w:spacing w:after="80" w:line="276"/>
      </w:pPr>
      <w:r>
        <w:rPr>
          <w:rFonts w:ascii="Calibri" w:cs="Calibri" w:eastAsia="Calibri" w:hAnsi="Calibri"/>
          <w:color w:val="222222"/>
          <w:sz w:val="20"/>
          <w:szCs w:val="20"/>
        </w:rPr>
        <w:t xml:space="preserve">17. Are there zero orphan pages in the crawl?</w:t>
      </w:r>
    </w:p>
    <w:p>
      <w:pPr>
        <w:pStyle w:val="ListParagraph"/>
        <w:numPr>
          <w:ilvl w:val="0"/>
          <w:numId w:val="2"/>
        </w:numPr>
        <w:spacing w:after="80" w:line="276"/>
      </w:pPr>
      <w:r>
        <w:rPr>
          <w:rFonts w:ascii="Calibri" w:cs="Calibri" w:eastAsia="Calibri" w:hAnsi="Calibri"/>
          <w:color w:val="222222"/>
          <w:sz w:val="20"/>
          <w:szCs w:val="20"/>
        </w:rPr>
        <w:t xml:space="preserve">18. Does any page still contain copy that belongs to a different service?</w:t>
      </w:r>
    </w:p>
    <w:p>
      <w:pPr>
        <w:pStyle w:val="ListParagraph"/>
        <w:numPr>
          <w:ilvl w:val="0"/>
          <w:numId w:val="2"/>
        </w:numPr>
        <w:spacing w:after="80" w:line="276"/>
      </w:pPr>
      <w:r>
        <w:rPr>
          <w:rFonts w:ascii="Calibri" w:cs="Calibri" w:eastAsia="Calibri" w:hAnsi="Calibri"/>
          <w:color w:val="222222"/>
          <w:sz w:val="20"/>
          <w:szCs w:val="20"/>
        </w:rPr>
        <w:t xml:space="preserve">19. Does any heading on the site render without body content?</w:t>
      </w:r>
    </w:p>
    <w:p>
      <w:pPr>
        <w:pStyle w:val="ListParagraph"/>
        <w:numPr>
          <w:ilvl w:val="0"/>
          <w:numId w:val="2"/>
        </w:numPr>
        <w:spacing w:after="80" w:line="276"/>
      </w:pPr>
      <w:r>
        <w:rPr>
          <w:rFonts w:ascii="Calibri" w:cs="Calibri" w:eastAsia="Calibri" w:hAnsi="Calibri"/>
          <w:color w:val="222222"/>
          <w:sz w:val="20"/>
          <w:szCs w:val="20"/>
        </w:rPr>
        <w:t xml:space="preserve">20. Does the site claim any market, office, certification or partnership that cannot be evidenced?</w:t>
      </w:r>
    </w:p>
    <w:p>
      <w:pPr>
        <w:pStyle w:val="ListParagraph"/>
        <w:numPr>
          <w:ilvl w:val="0"/>
          <w:numId w:val="2"/>
        </w:numPr>
        <w:spacing w:after="80" w:line="276"/>
      </w:pPr>
      <w:r>
        <w:rPr>
          <w:rFonts w:ascii="Calibri" w:cs="Calibri" w:eastAsia="Calibri" w:hAnsi="Calibri"/>
          <w:color w:val="222222"/>
          <w:sz w:val="20"/>
          <w:szCs w:val="20"/>
        </w:rPr>
        <w:t xml:space="preserve">21. Is the executive layer of each page short enough for a CIO and deep enough underneath for an architect?</w:t>
      </w:r>
    </w:p>
    <w:p>
      <w:pPr>
        <w:pStyle w:val="ListParagraph"/>
        <w:numPr>
          <w:ilvl w:val="0"/>
          <w:numId w:val="2"/>
        </w:numPr>
        <w:spacing w:after="80" w:line="276"/>
      </w:pPr>
      <w:r>
        <w:rPr>
          <w:rFonts w:ascii="Calibri" w:cs="Calibri" w:eastAsia="Calibri" w:hAnsi="Calibri"/>
          <w:color w:val="222222"/>
          <w:sz w:val="20"/>
          <w:szCs w:val="20"/>
        </w:rPr>
        <w:t xml:space="preserve">22. Does every page have a next action appropriate to its position in the buying process?</w:t>
      </w:r>
    </w:p>
    <w:p>
      <w:pPr>
        <w:pStyle w:val="ListParagraph"/>
        <w:numPr>
          <w:ilvl w:val="0"/>
          <w:numId w:val="2"/>
        </w:numPr>
        <w:spacing w:after="80" w:line="276"/>
      </w:pPr>
      <w:r>
        <w:rPr>
          <w:rFonts w:ascii="Calibri" w:cs="Calibri" w:eastAsia="Calibri" w:hAnsi="Calibri"/>
          <w:color w:val="222222"/>
          <w:sz w:val="20"/>
          <w:szCs w:val="20"/>
        </w:rPr>
        <w:t xml:space="preserve">23. Would this site survive a procurement due-diligence review without a follow-up clarification request?</w:t>
      </w:r>
    </w:p>
    <w:p>
      <w:pPr>
        <w:spacing w:after="120" w:line="276"/>
      </w:pPr>
      <w:r>
        <w:rPr>
          <w:rFonts w:ascii="Calibri" w:cs="Calibri" w:eastAsia="Calibri" w:hAnsi="Calibri"/>
          <w:color w:val="222222"/>
          <w:sz w:val="20"/>
          <w:szCs w:val="20"/>
        </w:rPr>
        <w:t xml:space="preserve"/>
      </w:r>
    </w:p>
    <w:tbl>
      <w:tblPr>
        <w:tblW w:type="dxa" w:w="9360"/>
        <w:tblBorders>
          <w:top w:val="single" w:color="FFFFFF" w:sz="2"/>
          <w:left w:val="single" w:color="5B3FA8" w:sz="18"/>
          <w:bottom w:val="single" w:color="FFFFFF" w:sz="2"/>
          <w:right w:val="single" w:color="FFFFFF" w:sz="2"/>
          <w:insideH w:val="none"/>
          <w:insideV w:val="none"/>
        </w:tblBorders>
      </w:tblPr>
      <w:tblGrid>
        <w:gridCol w:w="9360"/>
      </w:tblGrid>
      <w:tr>
        <w:tc>
          <w:tcPr>
            <w:tcW w:type="dxa" w:w="9360"/>
            <w:shd w:fill="E8E4F3" w:color="auto" w:val="clear"/>
            <w:tcMar>
              <w:top w:type="dxa" w:w="140"/>
              <w:left w:type="dxa" w:w="180"/>
              <w:bottom w:type="dxa" w:w="140"/>
              <w:right w:type="dxa" w:w="180"/>
            </w:tcMar>
          </w:tcPr>
          <w:p>
            <w:pPr>
              <w:spacing w:after="60"/>
            </w:pPr>
            <w:r>
              <w:rPr>
                <w:rFonts w:ascii="Calibri" w:cs="Calibri" w:eastAsia="Calibri" w:hAnsi="Calibri"/>
                <w:b/>
                <w:bCs/>
                <w:color w:val="15243F"/>
                <w:sz w:val="17"/>
                <w:szCs w:val="17"/>
              </w:rPr>
              <w:t xml:space="preserve">RELEASE RULE</w:t>
            </w:r>
          </w:p>
          <w:p>
            <w:pPr>
              <w:spacing w:after="0" w:line="270"/>
            </w:pPr>
            <w:r>
              <w:rPr>
                <w:rFonts w:ascii="Calibri" w:cs="Calibri" w:eastAsia="Calibri" w:hAnsi="Calibri"/>
                <w:color w:val="222222"/>
                <w:sz w:val="19"/>
                <w:szCs w:val="19"/>
              </w:rPr>
              <w:t xml:space="preserve">If any P0 issue from Section 4 remains open, this document is not final and the site does not publish. There is no partial sign-off on Wave 0.</w:t>
            </w:r>
          </w:p>
        </w:tc>
      </w:tr>
    </w:tbl>
    <w:p>
      <w:pPr>
        <w:pStyle w:val="Heading1"/>
        <w:pageBreakBefore/>
        <w:spacing w:after="200" w:before="240"/>
      </w:pPr>
      <w:r>
        <w:rPr>
          <w:rFonts w:ascii="Calibri" w:cs="Calibri" w:eastAsia="Calibri" w:hAnsi="Calibri"/>
          <w:b/>
          <w:bCs/>
          <w:color w:val="15243F"/>
          <w:sz w:val="32"/>
          <w:szCs w:val="32"/>
        </w:rPr>
        <w:t xml:space="preserve">30. Content Gaps</w:t>
      </w:r>
    </w:p>
    <w:p>
      <w:pPr>
        <w:spacing w:after="120" w:line="276"/>
      </w:pPr>
      <w:r>
        <w:rPr>
          <w:rFonts w:ascii="Calibri" w:cs="Calibri" w:eastAsia="Calibri" w:hAnsi="Calibri"/>
          <w:color w:val="222222"/>
          <w:sz w:val="20"/>
          <w:szCs w:val="20"/>
        </w:rPr>
        <w:t xml:space="preserve">Twenty-three missing pages. None is recommended to increase page count; each has a distinct search intent and a commercial or evidential job.</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562"/>
        <w:gridCol w:w="1872"/>
        <w:gridCol w:w="2246"/>
        <w:gridCol w:w="1498"/>
        <w:gridCol w:w="3182"/>
      </w:tblGrid>
      <w:tr>
        <w:trPr>
          <w:tblHeader/>
        </w:trPr>
        <w:tc>
          <w:tcPr>
            <w:tcW w:type="dxa" w:w="56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Pri</w:t>
            </w:r>
          </w:p>
        </w:tc>
        <w:tc>
          <w:tcPr>
            <w:tcW w:type="dxa" w:w="187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Proposed page</w:t>
            </w:r>
          </w:p>
        </w:tc>
        <w:tc>
          <w:tcPr>
            <w:tcW w:type="dxa" w:w="2246"/>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URL</w:t>
            </w:r>
          </w:p>
        </w:tc>
        <w:tc>
          <w:tcPr>
            <w:tcW w:type="dxa" w:w="1498"/>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Intent</w:t>
            </w:r>
          </w:p>
        </w:tc>
        <w:tc>
          <w:tcPr>
            <w:tcW w:type="dxa" w:w="318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Reason</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P0</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Services hub</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Vendor evaluation</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is the lead term in the site title and the primary commercial category. It currently has no destination.</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P0</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S/4HANA</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/services/sap/s4hana/</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Solution discovery</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Highest-value commercial search intent in the portfolio.</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P0</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Application Management Services</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/services/sap/ams/</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Vendor evaluation</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Transactional intent; the service most likely to be searched by name during a vendor shortlist.</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RISE with SAP</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/services/sap/rise-with-sap/</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Solution discovery</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Distinct buying decision with independent search demand.</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GROW with SAP</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/services/sap/grow-with-sap/</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Solution discovery</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Distinct from S/4HANA; different buyer profile.</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BTP</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/services/sap/btp/</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Technical evaluation</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Clean-core extension is the question every S/4HANA evaluator asks second.</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SuccessFactors</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/services/sap/successfactors/</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Vendor evaluation</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Separate buying centre (HR, not IT).</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Microsoft Services hub</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/services/microsoft/</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Vendor evaluation</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Microsoft partner status is held; there is no page that says so.</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Microsoft Azure</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/services/microsoft/azure/</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Solution discovery</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Platform-specific intent that Cloud &amp; Infrastructure should not absorb.</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Power Platform</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/services/microsoft/power-platform/</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Solution discovery</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Owns Microsoft low-code intent; keeps Intelligent Automation platform-neutral.</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Dynamics 365</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/services/microsoft/dynamics-365/</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Vendor evaluation</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[CLIENT VALIDATION REQUIRED] — publish only if delivery capability is verified.</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Power BI</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/services/microsoft/power-bi/</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Solution discovery</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[CLIENT VALIDATION REQUIRED] — publish only if delivery capability is verified.</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Industries index</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/industries/</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Problem exploration</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Four industries are named on the homepage with no destination; the CTA currently resolves to /who-we-are.</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Manufacturing</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/industries/manufacturing/</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Problem exploration</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Named on the homepage. Publish only with at least one referenceable engagement.</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Financial Services</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/industries/financial-services/</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Problem exploration</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Named on the homepage. Regulatory content must be reviewed before publication.</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Government &amp; Public Sector</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/industries/public-sector/</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Problem exploration</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Named on the homepage. Compliance claims require validation.</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Retail &amp; Distribution</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/industries/retail-distribution/</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Problem exploration</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Named on the homepage.</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 study detail routes</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/case-studies/[slug]/</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Vendor evaluation</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Three case studies exist with no navigable detail page (C-018).</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P1</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Author profiles</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/insights/authors/[slug]/</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Due diligence</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Required for credible Article/Person entity relationships and for E-E-A-T.</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P2</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 index</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Solution exploration</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 single parent that defines the taxonomy and distributes link equity to twelve children.</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P2</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Trust and security centre</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/trust/</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Due diligence</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Consolidates security posture, data handling and compliance for procurement review.</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P2</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Leadership</w:t>
            </w:r>
          </w:p>
        </w:tc>
        <w:tc>
          <w:tcPr>
            <w:tcW w:type="dxa" w:w="224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/who-we-are/leadership/</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Due diligence</w:t>
            </w:r>
          </w:p>
        </w:tc>
        <w:tc>
          <w:tcPr>
            <w:tcW w:type="dxa" w:w="318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Named, attributable leadership is the cheapest available E-E-A-T improvement.</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P3</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Comparison guides</w:t>
            </w:r>
          </w:p>
        </w:tc>
        <w:tc>
          <w:tcPr>
            <w:tcW w:type="dxa" w:w="224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/insights/guides/[slug]/</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Solution exploration</w:t>
            </w:r>
          </w:p>
        </w:tc>
        <w:tc>
          <w:tcPr>
            <w:tcW w:type="dxa" w:w="318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e.g. SLA-based vs capacity-based vs outcome-based AMS models. High AEO value.</w:t>
            </w:r>
          </w:p>
        </w:tc>
      </w:tr>
    </w:tbl>
    <w:p>
      <w:pPr>
        <w:pStyle w:val="Heading1"/>
        <w:pageBreakBefore/>
        <w:spacing w:after="200" w:before="240"/>
      </w:pPr>
      <w:r>
        <w:rPr>
          <w:rFonts w:ascii="Calibri" w:cs="Calibri" w:eastAsia="Calibri" w:hAnsi="Calibri"/>
          <w:b/>
          <w:bCs/>
          <w:color w:val="15243F"/>
          <w:sz w:val="32"/>
          <w:szCs w:val="32"/>
        </w:rPr>
        <w:t xml:space="preserve">31. Final Website Score</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4306"/>
        <w:gridCol w:w="1685"/>
        <w:gridCol w:w="3370"/>
      </w:tblGrid>
      <w:tr>
        <w:trPr>
          <w:tblHeader/>
        </w:trPr>
        <w:tc>
          <w:tcPr>
            <w:tcW w:type="dxa" w:w="4306"/>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
            </w:r>
          </w:p>
        </w:tc>
        <w:tc>
          <w:tcPr>
            <w:tcW w:type="dxa" w:w="168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Score</w:t>
            </w:r>
          </w:p>
        </w:tc>
        <w:tc>
          <w:tcPr>
            <w:tcW w:type="dxa" w:w="3370"/>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Band</w:t>
            </w:r>
          </w:p>
        </w:tc>
      </w:tr>
      <w:tr>
        <w:tc>
          <w:tcPr>
            <w:tcW w:type="dxa" w:w="430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Live website, 1 September 2026</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44 / 100</w:t>
            </w:r>
          </w:p>
        </w:tc>
        <w:tc>
          <w:tcPr>
            <w:tcW w:type="dxa" w:w="337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Below acceptable — not publishable</w:t>
            </w:r>
          </w:p>
        </w:tc>
      </w:tr>
      <w:tr>
        <w:tc>
          <w:tcPr>
            <w:tcW w:type="dxa" w:w="4306"/>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Draft blueprint if implemented verbatim</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78 / 100</w:t>
            </w:r>
          </w:p>
        </w:tc>
        <w:tc>
          <w:tcPr>
            <w:tcW w:type="dxa" w:w="3370"/>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Strong mid-market standard</w:t>
            </w:r>
          </w:p>
        </w:tc>
      </w:tr>
      <w:tr>
        <w:tc>
          <w:tcPr>
            <w:tcW w:type="dxa" w:w="4306"/>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Final recommended state</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91 / 100</w:t>
            </w:r>
          </w:p>
        </w:tc>
        <w:tc>
          <w:tcPr>
            <w:tcW w:type="dxa" w:w="3370"/>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Target global enterprise standard</w:t>
            </w:r>
          </w:p>
        </w:tc>
      </w:tr>
    </w:tbl>
    <w:p>
      <w:pPr>
        <w:spacing w:after="120" w:line="276"/>
      </w:pPr>
      <w:r>
        <w:rPr>
          <w:rFonts w:ascii="Calibri" w:cs="Calibri" w:eastAsia="Calibri" w:hAnsi="Calibri"/>
          <w:color w:val="222222"/>
          <w:sz w:val="20"/>
          <w:szCs w:val="20"/>
        </w:rPr>
        <w:t xml:space="preserve"/>
      </w:r>
    </w:p>
    <w:p>
      <w:pPr>
        <w:spacing w:after="120" w:line="276"/>
      </w:pPr>
      <w:r>
        <w:rPr>
          <w:rFonts w:ascii="Calibri" w:cs="Calibri" w:eastAsia="Calibri" w:hAnsi="Calibri"/>
          <w:color w:val="222222"/>
          <w:sz w:val="20"/>
          <w:szCs w:val="20"/>
        </w:rPr>
        <w:t xml:space="preserve">The gap between 78 and 91 is not made of content. It is made of the four things the draft did not catch — the canonical configuration, the fabricated locale footprint, the absent structured data and the unnavigable case studies — plus the discipline of not publishing a page before its proof exists.</w:t>
      </w:r>
    </w:p>
    <w:p>
      <w:pPr>
        <w:spacing w:after="120" w:line="276"/>
      </w:pPr>
      <w:r>
        <w:rPr>
          <w:rFonts w:ascii="Calibri" w:cs="Calibri" w:eastAsia="Calibri" w:hAnsi="Calibri"/>
          <w:color w:val="222222"/>
          <w:sz w:val="20"/>
          <w:szCs w:val="20"/>
        </w:rPr>
        <w:t xml:space="preserve">The remaining nine points to a theoretical 100 are held by the client, not by this specification. They are the proof items in Appendix A: real client logos, verified metrics, named experts, stated partner tiers and confirmed delivery locations. No amount of writing substitutes for them, and attempting to substitute for them is precisely what produced the zero-valued counters currently on the homepage.</w:t>
      </w:r>
    </w:p>
    <w:p>
      <w:pPr>
        <w:pStyle w:val="Heading1"/>
        <w:pageBreakBefore/>
        <w:spacing w:after="200" w:before="240"/>
      </w:pPr>
      <w:r>
        <w:rPr>
          <w:rFonts w:ascii="Calibri" w:cs="Calibri" w:eastAsia="Calibri" w:hAnsi="Calibri"/>
          <w:b/>
          <w:bCs/>
          <w:color w:val="15243F"/>
          <w:sz w:val="32"/>
          <w:szCs w:val="32"/>
        </w:rPr>
        <w:t xml:space="preserve">Appendix A — Client Information Required</w:t>
      </w:r>
    </w:p>
    <w:p>
      <w:pPr>
        <w:spacing w:after="120" w:line="276"/>
      </w:pPr>
      <w:r>
        <w:rPr>
          <w:rFonts w:ascii="Calibri" w:cs="Calibri" w:eastAsia="Calibri" w:hAnsi="Calibri"/>
          <w:color w:val="222222"/>
          <w:sz w:val="20"/>
          <w:szCs w:val="20"/>
        </w:rPr>
        <w:t xml:space="preserve">Fifteen items. Item A-01 is a launch blocker; the remainder gate specific pages or claims. Nothing in this register should be estimated, inferred or filled with a plausible-sounding figure.</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562"/>
        <w:gridCol w:w="2527"/>
        <w:gridCol w:w="2059"/>
        <w:gridCol w:w="4212"/>
      </w:tblGrid>
      <w:tr>
        <w:trPr>
          <w:tblHeader/>
        </w:trPr>
        <w:tc>
          <w:tcPr>
            <w:tcW w:type="dxa" w:w="56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ID</w:t>
            </w:r>
          </w:p>
        </w:tc>
        <w:tc>
          <w:tcPr>
            <w:tcW w:type="dxa" w:w="2527"/>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Information required</w:t>
            </w:r>
          </w:p>
        </w:tc>
        <w:tc>
          <w:tcPr>
            <w:tcW w:type="dxa" w:w="2059"/>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Where it appears</w:t>
            </w:r>
          </w:p>
        </w:tc>
        <w:tc>
          <w:tcPr>
            <w:tcW w:type="dxa" w:w="421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Why it matters</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A-01</w:t>
            </w:r>
          </w:p>
        </w:tc>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Corporate relationship between Ascendus and Support Studio Technologies</w:t>
            </w:r>
          </w:p>
        </w:tc>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Footer, About page, Organization schema, legal pages, social profiles</w:t>
            </w:r>
          </w:p>
        </w:tc>
        <w:tc>
          <w:tcPr>
            <w:tcW w:type="dxa" w:w="421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LAUNCH BLOCKER. Every entity, GEO and trust recommendation depends on it. Nothing publishes until legal confirms the exact wording.</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A-02</w:t>
            </w:r>
          </w:p>
        </w:tc>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Legal entity names, registration numbers and registered addresses (India and any GCC entity)</w:t>
            </w:r>
          </w:p>
        </w:tc>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Legal pages, About, Organization schema, Contact</w:t>
            </w:r>
          </w:p>
        </w:tc>
        <w:tc>
          <w:tcPr>
            <w:tcW w:type="dxa" w:w="421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Required for Organization schema and for procurement due diligence.</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A-03</w:t>
            </w:r>
          </w:p>
        </w:tc>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GCC presence — is there a KSA or UAE entity, address or registered office?</w:t>
            </w:r>
          </w:p>
        </w:tc>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Metadata, Contact, About, Industries</w:t>
            </w:r>
          </w:p>
        </w:tc>
        <w:tc>
          <w:tcPr>
            <w:tcW w:type="dxa" w:w="421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The site currently claims GCC focus with no GCC address. Either substantiate it or change the market claim (C-021).</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A-04</w:t>
            </w:r>
          </w:p>
        </w:tc>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Technology partner statuses and tiers (SAP, Microsoft, Salesforce, Databricks, MuleSoft)</w:t>
            </w:r>
          </w:p>
        </w:tc>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 SAP hub, Microsoft hub, About</w:t>
            </w:r>
          </w:p>
        </w:tc>
        <w:tc>
          <w:tcPr>
            <w:tcW w:type="dxa" w:w="421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The SAP partner logo is displayed in the header. The specific status must be confirmed before it stays.</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A-05</w:t>
            </w:r>
          </w:p>
        </w:tc>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Certifications held and number of certified practitioners</w:t>
            </w:r>
          </w:p>
        </w:tc>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Proof blocks, SAP pages, About</w:t>
            </w:r>
          </w:p>
        </w:tc>
        <w:tc>
          <w:tcPr>
            <w:tcW w:type="dxa" w:w="421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Replaces the removed 0+ counters. Publish only exact, current, evidenced figures.</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A-06</w:t>
            </w:r>
          </w:p>
        </w:tc>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Headcount, engagement count, industries served, years operating</w:t>
            </w:r>
          </w:p>
        </w:tc>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 proof block</w:t>
            </w:r>
          </w:p>
        </w:tc>
        <w:tc>
          <w:tcPr>
            <w:tcW w:type="dxa" w:w="421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The four removed homepage counters. Each needs an owner and a measurement date.</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A-07</w:t>
            </w:r>
          </w:p>
        </w:tc>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Client logo display permissions</w:t>
            </w:r>
          </w:p>
        </w:tc>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Homepage, case studies, About</w:t>
            </w:r>
          </w:p>
        </w:tc>
        <w:tc>
          <w:tcPr>
            <w:tcW w:type="dxa" w:w="421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Required before any logo wall is built.</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A-08</w:t>
            </w:r>
          </w:p>
        </w:tc>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Case-study metrics — the 60% rework reduction and the zero-critical-findings penetration test result</w:t>
            </w:r>
          </w:p>
        </w:tc>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/case-studies and detail routes</w:t>
            </w:r>
          </w:p>
        </w:tc>
        <w:tc>
          <w:tcPr>
            <w:tcW w:type="dxa" w:w="421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Both are specific, quantified and attributable. Need measurement basis and written client consent, or they must be published qualitatively or anonymously (C-019).</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A-09</w:t>
            </w:r>
          </w:p>
        </w:tc>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Whether work in the case studies was delivered as Ascendus or as Support Studio Technologies</w:t>
            </w:r>
          </w:p>
        </w:tc>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 studies</w:t>
            </w:r>
          </w:p>
        </w:tc>
        <w:tc>
          <w:tcPr>
            <w:tcW w:type="dxa" w:w="421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Currently attributed to Ascendus. If the brand is new, attribution needs a defensible form of words.</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A-10</w:t>
            </w:r>
          </w:p>
        </w:tc>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Verified capability scope per platform — SAP module coverage, Microsoft stack, Salesforce, Databricks</w:t>
            </w:r>
          </w:p>
        </w:tc>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All service and platform pages</w:t>
            </w:r>
          </w:p>
        </w:tc>
        <w:tc>
          <w:tcPr>
            <w:tcW w:type="dxa" w:w="421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Determines which of the conditional pages in the blueprint are permitted to publish at all.</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A-11</w:t>
            </w:r>
          </w:p>
        </w:tc>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Managed services coverage windows, SLA commitments, languages and delivery locations</w:t>
            </w:r>
          </w:p>
        </w:tc>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Managed Services, SAP AMS</w:t>
            </w:r>
          </w:p>
        </w:tc>
        <w:tc>
          <w:tcPr>
            <w:tcW w:type="dxa" w:w="421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Cannot describe an AMS offering credibly without these.</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A-12</w:t>
            </w:r>
          </w:p>
        </w:tc>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Named subject-matter experts willing to author Insights, with bios and photographs</w:t>
            </w:r>
          </w:p>
        </w:tc>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 author routes, About</w:t>
            </w:r>
          </w:p>
        </w:tc>
        <w:tc>
          <w:tcPr>
            <w:tcW w:type="dxa" w:w="421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Required for E-E-A-T and for the Article/Person schema relationships.</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A-13</w:t>
            </w:r>
          </w:p>
        </w:tc>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Current open roles, employing entity and work locations</w:t>
            </w:r>
          </w:p>
        </w:tc>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Careers, JobPosting schema</w:t>
            </w:r>
          </w:p>
        </w:tc>
        <w:tc>
          <w:tcPr>
            <w:tcW w:type="dxa" w:w="421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JobPosting markup requires an accurate hiring organisation and location.</w:t>
            </w:r>
          </w:p>
        </w:tc>
      </w:tr>
      <w:tr>
        <w:tc>
          <w:tcPr>
            <w:tcW w:type="dxa" w:w="56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A-14</w:t>
            </w:r>
          </w:p>
        </w:tc>
        <w:tc>
          <w:tcPr>
            <w:tcW w:type="dxa" w:w="2527"/>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Confirmation of which markets are genuinely served</w:t>
            </w:r>
          </w:p>
        </w:tc>
        <w:tc>
          <w:tcPr>
            <w:tcW w:type="dxa" w:w="2059"/>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Locale handling, metadata, Industries</w:t>
            </w:r>
          </w:p>
        </w:tc>
        <w:tc>
          <w:tcPr>
            <w:tcW w:type="dxa" w:w="421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Determines whether any locale or hreflang implementation is justified (C-020).</w:t>
            </w:r>
          </w:p>
        </w:tc>
      </w:tr>
      <w:tr>
        <w:tc>
          <w:tcPr>
            <w:tcW w:type="dxa" w:w="56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A-15</w:t>
            </w:r>
          </w:p>
        </w:tc>
        <w:tc>
          <w:tcPr>
            <w:tcW w:type="dxa" w:w="2527"/>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Security, privacy and compliance claims the organisation can evidence</w:t>
            </w:r>
          </w:p>
        </w:tc>
        <w:tc>
          <w:tcPr>
            <w:tcW w:type="dxa" w:w="2059"/>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Security policy, trust centre</w:t>
            </w:r>
          </w:p>
        </w:tc>
        <w:tc>
          <w:tcPr>
            <w:tcW w:type="dxa" w:w="421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Unverifiable control claims are a procurement liability, not a differentiator.</w:t>
            </w:r>
          </w:p>
        </w:tc>
      </w:tr>
    </w:tbl>
    <w:p>
      <w:pPr>
        <w:pStyle w:val="Heading1"/>
        <w:pageBreakBefore/>
        <w:spacing w:after="200" w:before="240"/>
      </w:pPr>
      <w:r>
        <w:rPr>
          <w:rFonts w:ascii="Calibri" w:cs="Calibri" w:eastAsia="Calibri" w:hAnsi="Calibri"/>
          <w:b/>
          <w:bCs/>
          <w:color w:val="15243F"/>
          <w:sz w:val="32"/>
          <w:szCs w:val="32"/>
        </w:rPr>
        <w:t xml:space="preserve">Appendix B — Audit Method and Limitations</w:t>
      </w:r>
    </w:p>
    <w:p>
      <w:pPr>
        <w:spacing w:after="120" w:line="276"/>
      </w:pPr>
      <w:r>
        <w:rPr>
          <w:rFonts w:ascii="Calibri" w:cs="Calibri" w:eastAsia="Calibri" w:hAnsi="Calibri"/>
          <w:color w:val="222222"/>
          <w:sz w:val="20"/>
          <w:szCs w:val="20"/>
        </w:rPr>
        <w:t xml:space="preserve">Stated plainly so that the reader can judge the weight of each finding.</w:t>
      </w:r>
    </w:p>
    <w:p>
      <w:pPr>
        <w:pStyle w:val="ListParagraph"/>
        <w:numPr>
          <w:ilvl w:val="0"/>
          <w:numId w:val="2"/>
        </w:numPr>
        <w:spacing w:after="80" w:line="276"/>
      </w:pPr>
      <w:r>
        <w:rPr>
          <w:rFonts w:ascii="Calibri" w:cs="Calibri" w:eastAsia="Calibri" w:hAnsi="Calibri"/>
          <w:color w:val="222222"/>
          <w:sz w:val="20"/>
          <w:szCs w:val="20"/>
        </w:rPr>
        <w:t xml:space="preserve">Live-site audit was conducted on 1 September 2026 against https://ascendus-website-dev.vercel.app/. Four routes were retrieved and analysed in full: the homepage, /whatWeDo/artificial-intelligence, /whatWeDo/customer-experience and /case-studies. A further twenty-two routes were inventoried from navigation, footer and in-page links. Findings on global metadata, header, footer and navigation are drawn from four independent page retrievals that returned byte-identical head and chrome content, and are therefore treated as site-wide with high confidence.</w:t>
      </w:r>
    </w:p>
    <w:p>
      <w:pPr>
        <w:pStyle w:val="ListParagraph"/>
        <w:numPr>
          <w:ilvl w:val="0"/>
          <w:numId w:val="2"/>
        </w:numPr>
        <w:spacing w:after="80" w:line="276"/>
      </w:pPr>
      <w:r>
        <w:rPr>
          <w:rFonts w:ascii="Calibri" w:cs="Calibri" w:eastAsia="Calibri" w:hAnsi="Calibri"/>
          <w:color w:val="222222"/>
          <w:sz w:val="20"/>
          <w:szCs w:val="20"/>
        </w:rPr>
        <w:t xml:space="preserve">/robots.txt and /sitemap.xml could not be retrieved by the audit tooling. Their state is recorded as unverified (C-024) and must be confirmed by the development team before launch sign-off. No conclusion in this document depends on their contents.</w:t>
      </w:r>
    </w:p>
    <w:p>
      <w:pPr>
        <w:pStyle w:val="ListParagraph"/>
        <w:numPr>
          <w:ilvl w:val="0"/>
          <w:numId w:val="2"/>
        </w:numPr>
        <w:spacing w:after="80" w:line="276"/>
      </w:pPr>
      <w:r>
        <w:rPr>
          <w:rFonts w:ascii="Calibri" w:cs="Calibri" w:eastAsia="Calibri" w:hAnsi="Calibri"/>
          <w:color w:val="222222"/>
          <w:sz w:val="20"/>
          <w:szCs w:val="20"/>
        </w:rPr>
        <w:t xml:space="preserve">No source-code repository was available to this review. This document was produced in a chat environment, not inside the Claude Code workspace referenced in the brief, so no file paths, component names or line ranges could be read directly. Implementation locations in Section 20 are inferred from the App Router URL structure and are marked accordingly. Every one requires developer confirmation before a ticket is estimated. This is the single largest gap between this document and the brief's requirement, and it is straightforward to close: re-run the file-mapping pass with repository access and the inferred locations become exact.</w:t>
      </w:r>
    </w:p>
    <w:p>
      <w:pPr>
        <w:pStyle w:val="ListParagraph"/>
        <w:numPr>
          <w:ilvl w:val="0"/>
          <w:numId w:val="2"/>
        </w:numPr>
        <w:spacing w:after="80" w:line="276"/>
      </w:pPr>
      <w:r>
        <w:rPr>
          <w:rFonts w:ascii="Calibri" w:cs="Calibri" w:eastAsia="Calibri" w:hAnsi="Calibri"/>
          <w:color w:val="222222"/>
          <w:sz w:val="20"/>
          <w:szCs w:val="20"/>
        </w:rPr>
        <w:t xml:space="preserve">Structured data was not observable in the retrieved responses. Where JSON-LD is injected client-side it may not have been captured. C-023 should be verified with a rendered-DOM crawl before the finding is treated as final; the recommendation to implement the full schema set stands either way.</w:t>
      </w:r>
    </w:p>
    <w:p>
      <w:pPr>
        <w:pStyle w:val="ListParagraph"/>
        <w:numPr>
          <w:ilvl w:val="0"/>
          <w:numId w:val="2"/>
        </w:numPr>
        <w:spacing w:after="80" w:line="276"/>
      </w:pPr>
      <w:r>
        <w:rPr>
          <w:rFonts w:ascii="Calibri" w:cs="Calibri" w:eastAsia="Calibri" w:hAnsi="Calibri"/>
          <w:color w:val="222222"/>
          <w:sz w:val="20"/>
          <w:szCs w:val="20"/>
        </w:rPr>
        <w:t xml:space="preserve">The blueprint under review contains complete production copy for thirty-nine pages. That copy has been validated at the level of strategy, structure, positioning and search architecture, and the verdicts are recorded in Section 5. It has not been re-typed here. Where the blueprint's copy is validated, it remains the source of truth for that page; this document supersedes it only where a verdict says so. Section 18 supplies replacement copy for the homepage, and Section 19 supplies section-level replacements for the defects that must be corrected before launch.</w:t>
      </w:r>
    </w:p>
    <w:p>
      <w:pPr>
        <w:pStyle w:val="ListParagraph"/>
        <w:numPr>
          <w:ilvl w:val="0"/>
          <w:numId w:val="2"/>
        </w:numPr>
        <w:spacing w:after="80" w:line="276"/>
      </w:pPr>
      <w:r>
        <w:rPr>
          <w:rFonts w:ascii="Calibri" w:cs="Calibri" w:eastAsia="Calibri" w:hAnsi="Calibri"/>
          <w:color w:val="222222"/>
          <w:sz w:val="20"/>
          <w:szCs w:val="20"/>
        </w:rPr>
        <w:t xml:space="preserve">No claim in this document about Ascendus's scale, footprint, credentials, client base or delivery capability has been asserted as fact. Every such point is routed to Appendix A for client validation.</w:t>
      </w:r>
    </w:p>
    <w:p>
      <w:pPr>
        <w:pStyle w:val="Heading1"/>
        <w:pageBreakBefore/>
        <w:spacing w:after="200" w:before="240"/>
      </w:pPr>
      <w:r>
        <w:rPr>
          <w:rFonts w:ascii="Calibri" w:cs="Calibri" w:eastAsia="Calibri" w:hAnsi="Calibri"/>
          <w:b/>
          <w:bCs/>
          <w:color w:val="15243F"/>
          <w:sz w:val="32"/>
          <w:szCs w:val="32"/>
        </w:rPr>
        <w:t xml:space="preserve">Appendix C — Redirect Matrix</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2434"/>
        <w:gridCol w:w="2434"/>
        <w:gridCol w:w="1872"/>
        <w:gridCol w:w="1498"/>
        <w:gridCol w:w="1123"/>
      </w:tblGrid>
      <w:tr>
        <w:trPr>
          <w:tblHeader/>
        </w:trPr>
        <w:tc>
          <w:tcPr>
            <w:tcW w:type="dxa" w:w="2434"/>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Current URL</w:t>
            </w:r>
          </w:p>
        </w:tc>
        <w:tc>
          <w:tcPr>
            <w:tcW w:type="dxa" w:w="2434"/>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Final URL</w:t>
            </w:r>
          </w:p>
        </w:tc>
        <w:tc>
          <w:tcPr>
            <w:tcW w:type="dxa" w:w="1872"/>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Action</w:t>
            </w:r>
          </w:p>
        </w:tc>
        <w:tc>
          <w:tcPr>
            <w:tcW w:type="dxa" w:w="1498"/>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Canonical</w:t>
            </w:r>
          </w:p>
        </w:tc>
        <w:tc>
          <w:tcPr>
            <w:tcW w:type="dxa" w:w="1123"/>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Sitemap</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/whatWeDo/enterprise-transformation-practice</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/services/enterprise-transformation/</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/whatWeDo/artificial-intelligence</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/services/artificial-intelligence/</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/whatWeDo/cloud-infrastructure</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/services/cloud-infrastructure/</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/whatWeDo/data-intelligence</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/services/data-intelligence/</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/whatWeDo/digital-engineering</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/services/digital-engineering/</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/whatWeDo/customer-experience</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/services/customer-experience/</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/whatWeDo/experience-design</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/services/experience-design/</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/whatWeDo/intelligent-automation</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/services/intelligent-automation/</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/whatWeDo/cybersecurity-digital-trust</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/services/cybersecurity-digital-trust/</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/whatWeDo/managed-services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/services/managed-services/</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/whatWeDo/business-advisory</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/services/transformation-advisory/</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 — includes the service rename</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/whatWeDo/innovation-emerging-technologies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/services/innovation/</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/bookacall</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/book-a-consultation/</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/who-we-are</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/who-we-are/</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 — trailing-slash normalisation</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/blog</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 — includes the section rename</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/whitepapers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Noindex and unlink now. Retain the route; do not redirect. Publish when the first three assets exist.</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n/a</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Exclude</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/termsOfService</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/legal/terms/</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 — camelCase legal routes normalised</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/privacyPolicy</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/legal/privacy/</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/securityPrivacyPolicy</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/legal/security/</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/cookiePolicy</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/legal/cookies/</w:t>
            </w:r>
          </w:p>
        </w:tc>
        <w:tc>
          <w:tcPr>
            <w:tcW w:type="dxa" w:w="1872"/>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w:t>
            </w:r>
          </w:p>
        </w:tc>
        <w:tc>
          <w:tcPr>
            <w:tcW w:type="dxa" w:w="149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(if resolvable)</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Parent service page</w:t>
            </w:r>
          </w:p>
        </w:tc>
        <w:tc>
          <w:tcPr>
            <w:tcW w:type="dxa" w:w="1872"/>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301 + noindex. Developer to confirm whether these routes still exist — see Section 5, blueprint verdict on §2.2.</w:t>
            </w:r>
          </w:p>
        </w:tc>
        <w:tc>
          <w:tcPr>
            <w:tcW w:type="dxa" w:w="149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Self-referencing on target</w:t>
            </w:r>
          </w:p>
        </w:tc>
        <w:tc>
          <w:tcPr>
            <w:tcW w:type="dxa" w:w="1123"/>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Include target only</w:t>
            </w:r>
          </w:p>
        </w:tc>
      </w:tr>
    </w:tbl>
    <w:p>
      <w:pPr>
        <w:pStyle w:val="Heading1"/>
        <w:pageBreakBefore/>
        <w:spacing w:after="200" w:before="240"/>
      </w:pPr>
      <w:r>
        <w:rPr>
          <w:rFonts w:ascii="Calibri" w:cs="Calibri" w:eastAsia="Calibri" w:hAnsi="Calibri"/>
          <w:b/>
          <w:bCs/>
          <w:color w:val="15243F"/>
          <w:sz w:val="32"/>
          <w:szCs w:val="32"/>
        </w:rPr>
        <w:t xml:space="preserve">Appendix D — Metadata Library</w:t>
      </w:r>
    </w:p>
    <w:p>
      <w:pPr>
        <w:spacing w:after="120" w:line="276"/>
      </w:pPr>
      <w:r>
        <w:rPr>
          <w:rFonts w:ascii="Calibri" w:cs="Calibri" w:eastAsia="Calibri" w:hAnsi="Calibri"/>
          <w:color w:val="222222"/>
          <w:sz w:val="20"/>
          <w:szCs w:val="20"/>
        </w:rPr>
        <w:t xml:space="preserve">Complete final metadata for every page in the target architecture. Canonical is self-referencing and absolute on the production hostname in every case.</w:t>
      </w:r>
    </w:p>
    <w:tbl>
      <w:tblPr>
        <w:tblW w:type="dxa" w:w="9360"/>
        <w:tblBorders>
          <w:top w:val="single" w:color="C9CDD6" w:sz="2"/>
          <w:left w:val="single" w:color="C9CDD6" w:sz="2"/>
          <w:bottom w:val="single" w:color="C9CDD6" w:sz="2"/>
          <w:right w:val="single" w:color="C9CDD6" w:sz="2"/>
          <w:insideH w:val="single" w:color="D8DBE2" w:sz="2"/>
          <w:insideV w:val="single" w:color="D8DBE2" w:sz="2"/>
        </w:tblBorders>
      </w:tblPr>
      <w:tblGrid>
        <w:gridCol w:w="2434"/>
        <w:gridCol w:w="2808"/>
        <w:gridCol w:w="2434"/>
        <w:gridCol w:w="1685"/>
      </w:tblGrid>
      <w:tr>
        <w:trPr>
          <w:tblHeader/>
        </w:trPr>
        <w:tc>
          <w:tcPr>
            <w:tcW w:type="dxa" w:w="2434"/>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URL</w:t>
            </w:r>
          </w:p>
        </w:tc>
        <w:tc>
          <w:tcPr>
            <w:tcW w:type="dxa" w:w="2808"/>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Title</w:t>
            </w:r>
          </w:p>
        </w:tc>
        <w:tc>
          <w:tcPr>
            <w:tcW w:type="dxa" w:w="2434"/>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H1</w:t>
            </w:r>
          </w:p>
        </w:tc>
        <w:tc>
          <w:tcPr>
            <w:tcW w:type="dxa" w:w="1685"/>
            <w:shd w:fill="15243F" w:color="auto" w:val="clear"/>
            <w:tcMar>
              <w:top w:type="dxa" w:w="70"/>
              <w:left w:type="dxa" w:w="90"/>
              <w:bottom w:type="dxa" w:w="70"/>
              <w:right w:type="dxa" w:w="90"/>
            </w:tcMar>
          </w:tcPr>
          <w:p>
            <w:pPr>
              <w:spacing w:after="0" w:line="250"/>
            </w:pPr>
            <w:r>
              <w:rPr>
                <w:rFonts w:ascii="Calibri" w:cs="Calibri" w:eastAsia="Calibri" w:hAnsi="Calibri"/>
                <w:b/>
                <w:bCs/>
                <w:color w:val="FFFFFF"/>
                <w:sz w:val="16"/>
                <w:szCs w:val="16"/>
              </w:rPr>
              <w:t xml:space="preserve">Schema</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Ascendus | Enterprise Technology, SAP and Managed Services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We design, build and run enterprise technology as one system.</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Organization, WebSite</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Technology Services | Ascendus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technology services</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CollectionPage, BreadcrumbList</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/services/enterprise-transformation/</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Transformation Services | Ascendus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transformation, delivered as one program</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Consulting and Implementation Services | Ascendus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services for the enterprise digital core</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/services/sap/s4hana/</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S/4HANA Implementation and Migration | Ascendus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S/4HANA implementation and migration</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/services/sap/ams/</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Application Management Services (AMS) | Ascendus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application management services</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/services/sap/rise-with-sap/</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RISE with SAP Implementation Partner | Ascendus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RISE with SAP</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/services/sap/grow-with-sap/</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GROW with SAP Implementation | Ascendus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GROW with SAP</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/services/sap/btp/</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BTP Development and Integration | Ascendus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BTP extension and integration</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/services/sap/successfactors/</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SuccessFactors Implementation | Ascendus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SAP SuccessFactors</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/services/artificial-intelligence/</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AI Consulting and Implementation | Ascendus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AI, from pilot to production</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/services/cloud-infrastructure/</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Cloud Infrastructure and Modernization Services | Ascendus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Cloud infrastructure and modernization</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/services/data-intelligence/</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Data Engineering and Analytics | Ascendus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Trusted enterprise data foundations</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/services/digital-engineering/</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Application Modernization and Digital Engineering | Ascendus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Digital engineering and application modernization</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/services/customer-experience/</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CRM and Customer Experience Technology | Ascendus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Customer experience technology</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/services/experience-design/</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Experience Design | Ascendus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experience design</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/services/intelligent-automation/</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Intelligent Process Automation Services | Ascendus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Intelligent process automation</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/services/cybersecurity-digital-trust/</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Enterprise Cybersecurity and Digital Trust | Ascendus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Cybersecurity and digital trust</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/services/managed-services/</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Application Managed Services | Ascendus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Application managed services</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 FAQPage</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/services/transformation-advisory/</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Technology Strategy and Transformation Advisory | Ascendus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Transformation advisory</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/services/microsoft/</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Microsoft Consulting and Implementation Services | Ascendus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Microsoft services</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Service, BreadcrumbList</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/case-studies/</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Client Outcomes and Case Studies | Ascendus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Client outcomes</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CollectionPage, BreadcrumbList</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 | Ascendus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Insights</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Blog, BreadcrumbList</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/who-we-are/</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About Ascendus | Enterprise Technology Services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About Ascendus</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AboutPage, Organization, BreadcrumbList</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/careers/</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Careers at Ascendus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Careers</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JobPosting, BreadcrumbList</w:t>
            </w:r>
          </w:p>
        </w:tc>
      </w:tr>
      <w:tr>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w:t>
            </w:r>
          </w:p>
        </w:tc>
        <w:tc>
          <w:tcPr>
            <w:tcW w:type="dxa" w:w="2808"/>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 Ascendus</w:t>
            </w:r>
          </w:p>
        </w:tc>
        <w:tc>
          <w:tcPr>
            <w:tcW w:type="dxa" w:w="2434"/>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 Ascendus</w:t>
            </w:r>
          </w:p>
        </w:tc>
        <w:tc>
          <w:tcPr>
            <w:tcW w:type="dxa" w:w="1685"/>
            <w:shd w:fill="F2F3F6" w:color="auto" w:val="clear"/>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ContactPage, ContactPoint</w:t>
            </w:r>
          </w:p>
        </w:tc>
      </w:tr>
      <w:tr>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/book-a-consultation/</w:t>
            </w:r>
          </w:p>
        </w:tc>
        <w:tc>
          <w:tcPr>
            <w:tcW w:type="dxa" w:w="2808"/>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Book a Consultation | Ascendus</w:t>
            </w:r>
          </w:p>
        </w:tc>
        <w:tc>
          <w:tcPr>
            <w:tcW w:type="dxa" w:w="2434"/>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Book a consultation</w:t>
            </w:r>
          </w:p>
        </w:tc>
        <w:tc>
          <w:tcPr>
            <w:tcW w:type="dxa" w:w="1685"/>
            <w:tcMar>
              <w:top w:type="dxa" w:w="70"/>
              <w:left w:type="dxa" w:w="90"/>
              <w:bottom w:type="dxa" w:w="70"/>
              <w:right w:type="dxa" w:w="90"/>
            </w:tcMar>
          </w:tcPr>
          <w:p>
            <w:pPr>
              <w:spacing w:after="0" w:line="250"/>
            </w:pPr>
            <w:r>
              <w:rPr>
                <w:rFonts w:ascii="Calibri" w:cs="Calibri" w:eastAsia="Calibri" w:hAnsi="Calibri"/>
                <w:color w:val="222222"/>
                <w:sz w:val="17"/>
                <w:szCs w:val="17"/>
              </w:rPr>
              <w:t xml:space="preserve">ContactPage</w:t>
            </w:r>
          </w:p>
        </w:tc>
      </w:tr>
    </w:tbl>
    <w:p>
      <w:pPr>
        <w:pBdr>
          <w:top w:val="single" w:color="5B3FA8" w:sz="8" w:space="10"/>
        </w:pBdr>
        <w:spacing w:before="400"/>
      </w:pPr>
    </w:p>
    <w:p>
      <w:pPr>
        <w:spacing w:after="120" w:line="276"/>
      </w:pPr>
      <w:r>
        <w:rPr>
          <w:rFonts w:ascii="Calibri" w:cs="Calibri" w:eastAsia="Calibri" w:hAnsi="Calibri"/>
          <w:i/>
          <w:iCs/>
          <w:color w:val="5A6270"/>
          <w:sz w:val="18"/>
          <w:szCs w:val="18"/>
        </w:rPr>
        <w:t xml:space="preserve">End of document. Issued for implementation. Any deviation from the P0 specification requires written sign-off from Leadership and SEO.</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27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6DE" w:sz="4" w:space="6"/>
      </w:pBdr>
      <w:jc w:val="right"/>
    </w:pPr>
    <w:r>
      <w:rPr>
        <w:rFonts w:ascii="Calibri" w:cs="Calibri" w:eastAsia="Calibri" w:hAnsi="Calibri"/>
        <w:color w:val="5A6270"/>
        <w:sz w:val="15"/>
        <w:szCs w:val="15"/>
      </w:rPr>
      <w:t xml:space="preserve">Ascendus  ·  Final Website Implementation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Ascendus Final Website Content, SEO, GEO &amp; AEO Implementation Blueprint</dc:title>
  <dc:creator>Ascendus</dc:creator>
  <cp:lastModifiedBy>Un-named</cp:lastModifiedBy>
  <cp:revision>1</cp:revision>
  <dcterms:created xsi:type="dcterms:W3CDTF">2026-09-01T12:28:04.113Z</dcterms:created>
  <dcterms:modified xsi:type="dcterms:W3CDTF">2026-09-01T12:28:04.114Z</dcterms:modified>
</cp:coreProperties>
</file>

<file path=docProps/custom.xml><?xml version="1.0" encoding="utf-8"?>
<Properties xmlns="http://schemas.openxmlformats.org/officeDocument/2006/custom-properties" xmlns:vt="http://schemas.openxmlformats.org/officeDocument/2006/docPropsVTypes"/>
</file>