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color w:val="0061AF"/>
          <w:sz w:val="44"/>
          <w:szCs w:val="44"/>
        </w:rPr>
        <w:t xml:space="preserve">RISE with SAP in the GCC: What CIOs Should Ask Before Moving to Cloud ERP</w:t>
      </w:r>
    </w:p>
    <w:p>
      <w:pPr>
        <w:spacing w:after="320"/>
      </w:pPr>
      <w:r>
        <w:rPr>
          <w:rFonts w:ascii="Calibri" w:cs="Calibri" w:eastAsia="Calibri" w:hAnsi="Calibri"/>
          <w:i/>
          <w:iCs/>
          <w:color w:val="888888"/>
          <w:sz w:val="20"/>
          <w:szCs w:val="20"/>
        </w:rPr>
        <w:t xml:space="preserve">Ascendus Insights  |  Est. reading time: 6 minutes</w:t>
      </w:r>
    </w:p>
    <w:p>
      <w:pPr>
        <w:spacing w:after="200" w:line="300"/>
      </w:pPr>
      <w:r>
        <w:rPr>
          <w:rFonts w:ascii="Calibri" w:cs="Calibri" w:eastAsia="Calibri" w:hAnsi="Calibri"/>
          <w:b w:val="false"/>
          <w:bCs w:val="false"/>
          <w:i w:val="false"/>
          <w:iCs w:val="false"/>
          <w:color w:val="3A3A3A"/>
          <w:sz w:val="22"/>
          <w:szCs w:val="22"/>
        </w:rPr>
        <w:t xml:space="preserve">RISE with SAP bundles cloud infrastructure, an SAP S/4HANA Cloud license, and a set of transformation tools into a single subscription. For GCC enterprises weighing a move away from on-premise ECC, it has become one of the more visible paths forward. But a bundled offer is still a set of individual decisions bundled together, and each one carries its own consequences.</w:t>
      </w:r>
    </w:p>
    <w:p>
      <w:pPr>
        <w:spacing w:after="200" w:line="300"/>
      </w:pPr>
      <w:r>
        <w:rPr>
          <w:rFonts w:ascii="Calibri" w:cs="Calibri" w:eastAsia="Calibri" w:hAnsi="Calibri"/>
          <w:b w:val="false"/>
          <w:bCs w:val="false"/>
          <w:i w:val="false"/>
          <w:iCs w:val="false"/>
          <w:color w:val="3A3A3A"/>
          <w:sz w:val="22"/>
          <w:szCs w:val="22"/>
        </w:rPr>
        <w:t xml:space="preserve">Before a CIO signs, it helps to separate what RISE with SAP actually includes from what the sales conversation implies. The mandate to modernize is real. The specific shape that modernization should take is a separate question, and it deserves its own set of answers.</w:t>
      </w:r>
    </w:p>
    <w:p>
      <w:pPr>
        <w:pStyle w:val="Heading1"/>
        <w:spacing w:after="160" w:before="360"/>
      </w:pPr>
      <w:r>
        <w:rPr>
          <w:rFonts w:ascii="Calibri" w:cs="Calibri" w:eastAsia="Calibri" w:hAnsi="Calibri"/>
          <w:b/>
          <w:bCs/>
          <w:color w:val="0061AF"/>
          <w:sz w:val="30"/>
          <w:szCs w:val="30"/>
        </w:rPr>
        <w:t xml:space="preserve">Why RISE With SAP Is Gaining Traction Across the GCC</w:t>
      </w:r>
    </w:p>
    <w:p>
      <w:pPr>
        <w:spacing w:after="200" w:line="300"/>
      </w:pPr>
      <w:r>
        <w:rPr>
          <w:rFonts w:ascii="Calibri" w:cs="Calibri" w:eastAsia="Calibri" w:hAnsi="Calibri"/>
          <w:b w:val="false"/>
          <w:bCs w:val="false"/>
          <w:i w:val="false"/>
          <w:iCs w:val="false"/>
          <w:color w:val="3A3A3A"/>
          <w:sz w:val="22"/>
          <w:szCs w:val="22"/>
        </w:rPr>
        <w:t xml:space="preserve">Several regional and technical pressures are pushing enterprises toward cloud ERP at the same time.</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National strategies such as Saudi Arabia's Vision 2030 are actively encouraging cloud adoption across government and private enterprise</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Major hyperscalers now operate in-region data centers in Saudi Arabia, the UAE, and elsewhere in the GCC, easing earlier data residency concerns</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SAP's 2027 end of mainstream maintenance for ECC 6.0 is pushing enterprises to decide on a path forward</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A single subscription is easier to plan and budget for than managing infrastructure, licensing, and hosting as separate line items</w:t>
      </w:r>
    </w:p>
    <w:p>
      <w:pPr>
        <w:pStyle w:val="Heading1"/>
        <w:spacing w:after="160" w:before="360"/>
      </w:pPr>
      <w:r>
        <w:rPr>
          <w:rFonts w:ascii="Calibri" w:cs="Calibri" w:eastAsia="Calibri" w:hAnsi="Calibri"/>
          <w:b/>
          <w:bCs/>
          <w:color w:val="0061AF"/>
          <w:sz w:val="30"/>
          <w:szCs w:val="30"/>
        </w:rPr>
        <w:t xml:space="preserve">What RISE With SAP Actually Includes</w:t>
      </w:r>
    </w:p>
    <w:p>
      <w:pPr>
        <w:spacing w:after="200" w:line="300"/>
      </w:pPr>
      <w:r>
        <w:rPr>
          <w:rFonts w:ascii="Calibri" w:cs="Calibri" w:eastAsia="Calibri" w:hAnsi="Calibri"/>
          <w:b w:val="false"/>
          <w:bCs w:val="false"/>
          <w:i w:val="false"/>
          <w:iCs w:val="false"/>
          <w:color w:val="3A3A3A"/>
          <w:sz w:val="22"/>
          <w:szCs w:val="22"/>
        </w:rPr>
        <w:t xml:space="preserve">The offer typically covers:</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An SAP S/4HANA Cloud license, usually the private edition for larger enterprises</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Infrastructure hosted on a hyperscaler or through SAP's own data centers</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Business process intelligence and process mining tools to help identify where to standardize before migration</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Credits and access to SAP's Business Technology Platform for extensions</w:t>
      </w:r>
    </w:p>
    <w:p>
      <w:pPr>
        <w:pStyle w:val="ListParagraph"/>
        <w:numPr>
          <w:ilvl w:val="0"/>
          <w:numId w:val="2"/>
        </w:numPr>
        <w:spacing w:after="120" w:line="300"/>
      </w:pPr>
      <w:r>
        <w:rPr>
          <w:rFonts w:ascii="Calibri" w:cs="Calibri" w:eastAsia="Calibri" w:hAnsi="Calibri"/>
          <w:b w:val="false"/>
          <w:bCs w:val="false"/>
          <w:color w:val="3A3A3A"/>
          <w:sz w:val="22"/>
          <w:szCs w:val="22"/>
        </w:rPr>
        <w:t xml:space="preserve">A single contract and service level agreement from SAP, with day-to-day delivery often handled through a partner</w:t>
      </w:r>
    </w:p>
    <w:p>
      <w:pPr>
        <w:spacing w:after="200" w:line="300"/>
      </w:pPr>
      <w:r>
        <w:rPr>
          <w:rFonts w:ascii="Calibri" w:cs="Calibri" w:eastAsia="Calibri" w:hAnsi="Calibri"/>
          <w:b w:val="false"/>
          <w:bCs w:val="false"/>
          <w:i w:val="false"/>
          <w:iCs w:val="false"/>
          <w:color w:val="3A3A3A"/>
          <w:sz w:val="22"/>
          <w:szCs w:val="22"/>
        </w:rPr>
        <w:t xml:space="preserve">What it does not automatically include is a data migration strategy, a plan for existing customizations, or a decision about which of your current processes are worth carrying forward. Those still require a separate assessment.</w:t>
      </w:r>
    </w:p>
    <w:p>
      <w:pPr>
        <w:pStyle w:val="Heading1"/>
        <w:spacing w:after="160" w:before="360"/>
      </w:pPr>
      <w:r>
        <w:rPr>
          <w:rFonts w:ascii="Calibri" w:cs="Calibri" w:eastAsia="Calibri" w:hAnsi="Calibri"/>
          <w:b/>
          <w:bCs/>
          <w:color w:val="0061AF"/>
          <w:sz w:val="30"/>
          <w:szCs w:val="30"/>
        </w:rPr>
        <w:t xml:space="preserve">The Questions CIOs Should Ask Before Signing</w:t>
      </w:r>
    </w:p>
    <w:p>
      <w:pPr>
        <w:pStyle w:val="Heading2"/>
        <w:spacing w:after="120" w:before="240"/>
      </w:pPr>
      <w:r>
        <w:rPr>
          <w:rFonts w:ascii="Calibri" w:cs="Calibri" w:eastAsia="Calibri" w:hAnsi="Calibri"/>
          <w:b/>
          <w:bCs/>
          <w:color w:val="55595E"/>
          <w:sz w:val="25"/>
          <w:szCs w:val="25"/>
        </w:rPr>
        <w:t xml:space="preserve">1. Where will our data actually reside?</w:t>
      </w:r>
    </w:p>
    <w:p>
      <w:pPr>
        <w:spacing w:after="200" w:line="300"/>
      </w:pPr>
      <w:r>
        <w:rPr>
          <w:rFonts w:ascii="Calibri" w:cs="Calibri" w:eastAsia="Calibri" w:hAnsi="Calibri"/>
          <w:b w:val="false"/>
          <w:bCs w:val="false"/>
          <w:i w:val="false"/>
          <w:iCs w:val="false"/>
          <w:color w:val="3A3A3A"/>
          <w:sz w:val="22"/>
          <w:szCs w:val="22"/>
        </w:rPr>
        <w:t xml:space="preserve">Data residency requirements differ across the GCC, and some sectors, including government and financial services, carry additional restrictions. Confirm which specific region and data center will host the workload, and whether that satisfies your regulator, not just SAP's general commitment to regional availability.</w:t>
      </w:r>
    </w:p>
    <w:p>
      <w:pPr>
        <w:pStyle w:val="Heading2"/>
        <w:spacing w:after="120" w:before="240"/>
      </w:pPr>
      <w:r>
        <w:rPr>
          <w:rFonts w:ascii="Calibri" w:cs="Calibri" w:eastAsia="Calibri" w:hAnsi="Calibri"/>
          <w:b/>
          <w:bCs/>
          <w:color w:val="55595E"/>
          <w:sz w:val="25"/>
          <w:szCs w:val="25"/>
        </w:rPr>
        <w:t xml:space="preserve">2. What happens to our existing customizations and integrations?</w:t>
      </w:r>
    </w:p>
    <w:p>
      <w:pPr>
        <w:spacing w:after="200" w:line="300"/>
      </w:pPr>
      <w:r>
        <w:rPr>
          <w:rFonts w:ascii="Calibri" w:cs="Calibri" w:eastAsia="Calibri" w:hAnsi="Calibri"/>
          <w:b w:val="false"/>
          <w:bCs w:val="false"/>
          <w:i w:val="false"/>
          <w:iCs w:val="false"/>
          <w:color w:val="3A3A3A"/>
          <w:sz w:val="22"/>
          <w:szCs w:val="22"/>
        </w:rPr>
        <w:t xml:space="preserve">RISE with SAP is built around a clean, standardized core. Enterprises with heavy ABAP customization or complex third-party integrations need a clear plan for what gets retired, what gets re-platformed onto the Business Technology Platform, and what stays as-is.</w:t>
      </w:r>
    </w:p>
    <w:p>
      <w:pPr>
        <w:pStyle w:val="Heading2"/>
        <w:spacing w:after="120" w:before="240"/>
      </w:pPr>
      <w:r>
        <w:rPr>
          <w:rFonts w:ascii="Calibri" w:cs="Calibri" w:eastAsia="Calibri" w:hAnsi="Calibri"/>
          <w:b/>
          <w:bCs/>
          <w:color w:val="55595E"/>
          <w:sz w:val="25"/>
          <w:szCs w:val="25"/>
        </w:rPr>
        <w:t xml:space="preserve">3. What is the real total cost of ownership over five years?</w:t>
      </w:r>
    </w:p>
    <w:p>
      <w:pPr>
        <w:spacing w:after="200" w:line="300"/>
      </w:pPr>
      <w:r>
        <w:rPr>
          <w:rFonts w:ascii="Calibri" w:cs="Calibri" w:eastAsia="Calibri" w:hAnsi="Calibri"/>
          <w:b w:val="false"/>
          <w:bCs w:val="false"/>
          <w:i w:val="false"/>
          <w:iCs w:val="false"/>
          <w:color w:val="3A3A3A"/>
          <w:sz w:val="22"/>
          <w:szCs w:val="22"/>
        </w:rPr>
        <w:t xml:space="preserve">The subscription simplifies the headline number, but total cost still depends on data volumes, the extensions you build, the partner services you need for implementation and ongoing support, and how your usage grows. Ask for a five-year model, not a first-year quote.</w:t>
      </w:r>
    </w:p>
    <w:p>
      <w:pPr>
        <w:pStyle w:val="Heading2"/>
        <w:spacing w:after="120" w:before="240"/>
      </w:pPr>
      <w:r>
        <w:rPr>
          <w:rFonts w:ascii="Calibri" w:cs="Calibri" w:eastAsia="Calibri" w:hAnsi="Calibri"/>
          <w:b/>
          <w:bCs/>
          <w:color w:val="55595E"/>
          <w:sz w:val="25"/>
          <w:szCs w:val="25"/>
        </w:rPr>
        <w:t xml:space="preserve">4. Where does SAP's responsibility end and our partner's begin?</w:t>
      </w:r>
    </w:p>
    <w:p>
      <w:pPr>
        <w:spacing w:after="200" w:line="300"/>
      </w:pPr>
      <w:r>
        <w:rPr>
          <w:rFonts w:ascii="Calibri" w:cs="Calibri" w:eastAsia="Calibri" w:hAnsi="Calibri"/>
          <w:b w:val="false"/>
          <w:bCs w:val="false"/>
          <w:i w:val="false"/>
          <w:iCs w:val="false"/>
          <w:color w:val="3A3A3A"/>
          <w:sz w:val="22"/>
          <w:szCs w:val="22"/>
        </w:rPr>
        <w:t xml:space="preserve">SAP owns the infrastructure and platform SLA. Your implementation partner typically owns configuration, data migration, localization, and change management. Get this boundary written down before go-live, not discovered during an incident.</w:t>
      </w:r>
    </w:p>
    <w:p>
      <w:pPr>
        <w:pStyle w:val="Heading2"/>
        <w:spacing w:after="120" w:before="240"/>
      </w:pPr>
      <w:r>
        <w:rPr>
          <w:rFonts w:ascii="Calibri" w:cs="Calibri" w:eastAsia="Calibri" w:hAnsi="Calibri"/>
          <w:b/>
          <w:bCs/>
          <w:color w:val="55595E"/>
          <w:sz w:val="25"/>
          <w:szCs w:val="25"/>
        </w:rPr>
        <w:t xml:space="preserve">5. What is the exit strategy if we need to leave the arrangement later?</w:t>
      </w:r>
    </w:p>
    <w:p>
      <w:pPr>
        <w:spacing w:after="200" w:line="300"/>
      </w:pPr>
      <w:r>
        <w:rPr>
          <w:rFonts w:ascii="Calibri" w:cs="Calibri" w:eastAsia="Calibri" w:hAnsi="Calibri"/>
          <w:b w:val="false"/>
          <w:bCs w:val="false"/>
          <w:i w:val="false"/>
          <w:iCs w:val="false"/>
          <w:color w:val="3A3A3A"/>
          <w:sz w:val="22"/>
          <w:szCs w:val="22"/>
        </w:rPr>
        <w:t xml:space="preserve">Understand what happens to your data, your configuration, and your extensions if you decide to move to a different hosting model in the future. A subscription that's easy to enter should still be evaluated for how difficult it is to leave.</w:t>
      </w:r>
    </w:p>
    <w:p>
      <w:pPr>
        <w:pStyle w:val="Heading1"/>
        <w:spacing w:after="160" w:before="360"/>
      </w:pPr>
      <w:r>
        <w:rPr>
          <w:rFonts w:ascii="Calibri" w:cs="Calibri" w:eastAsia="Calibri" w:hAnsi="Calibri"/>
          <w:b/>
          <w:bCs/>
          <w:color w:val="0061AF"/>
          <w:sz w:val="30"/>
          <w:szCs w:val="30"/>
        </w:rPr>
        <w:t xml:space="preserve">RISE With SAP vs Traditional On-Premise: The Real Trade-off</w:t>
      </w:r>
    </w:p>
    <w:p>
      <w:pPr>
        <w:spacing w:after="200" w:line="300"/>
      </w:pPr>
      <w:r>
        <w:rPr>
          <w:rFonts w:ascii="Calibri" w:cs="Calibri" w:eastAsia="Calibri" w:hAnsi="Calibri"/>
          <w:b w:val="false"/>
          <w:bCs w:val="false"/>
          <w:i w:val="false"/>
          <w:iCs w:val="false"/>
          <w:color w:val="3A3A3A"/>
          <w:sz w:val="22"/>
          <w:szCs w:val="22"/>
        </w:rPr>
        <w:t xml:space="preserve">There is no universally correct answer here. RISE with SAP generally offers a more predictable cost curve and less operational burden on internal IT teams. Traditional on-premise or private cloud hosting generally offers more direct control, which matters more for enterprises in regulated sectors such as oil and gas, government, or financial services, where data residency and audit requirements are stricter.</w:t>
      </w:r>
    </w:p>
    <w:p>
      <w:pPr>
        <w:pStyle w:val="Heading1"/>
        <w:spacing w:after="160" w:before="360"/>
      </w:pPr>
      <w:r>
        <w:rPr>
          <w:rFonts w:ascii="Calibri" w:cs="Calibri" w:eastAsia="Calibri" w:hAnsi="Calibri"/>
          <w:b/>
          <w:bCs/>
          <w:color w:val="0061AF"/>
          <w:sz w:val="30"/>
          <w:szCs w:val="30"/>
        </w:rPr>
        <w:t xml:space="preserve">A Simple Framework for Evaluating Fit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600"/>
        <w:gridCol w:w="3460"/>
        <w:gridCol w:w="3460"/>
      </w:tblGrid>
      <w:tr>
        <w:tc>
          <w:tcPr>
            <w:tcW w:type="dxa" w:w="2600"/>
            <w:shd w:fill="0061A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Factor</w:t>
            </w:r>
          </w:p>
        </w:tc>
        <w:tc>
          <w:tcPr>
            <w:tcW w:type="dxa" w:w="3460"/>
            <w:shd w:fill="0061A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RISE with SAP fits well when</w:t>
            </w:r>
          </w:p>
        </w:tc>
        <w:tc>
          <w:tcPr>
            <w:tcW w:type="dxa" w:w="3460"/>
            <w:shd w:fill="0061A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On-premise or private cloud fits better when</w:t>
            </w:r>
          </w:p>
        </w:tc>
      </w:tr>
      <w:tr>
        <w:tc>
          <w:tcPr>
            <w:tcW w:type="dxa" w:w="2600"/>
            <w:shd w:fill="F2F2F2" w:val="clear"/>
            <w:tcMar>
              <w:top w:type="dxa" w:w="100"/>
              <w:left w:type="dxa" w:w="120"/>
              <w:bottom w:type="dxa" w:w="100"/>
              <w:right w:type="dxa" w:w="120"/>
            </w:tcMar>
            <w:vAlign w:val="center"/>
          </w:tcPr>
          <w:p>
            <w:r>
              <w:rPr>
                <w:rFonts w:ascii="Calibri" w:cs="Calibri" w:eastAsia="Calibri" w:hAnsi="Calibri"/>
                <w:color w:val="3A3A3A"/>
                <w:sz w:val="20"/>
                <w:szCs w:val="20"/>
              </w:rPr>
              <w:t xml:space="preserve">Data residency</w:t>
            </w:r>
          </w:p>
        </w:tc>
        <w:tc>
          <w:tcPr>
            <w:tcW w:type="dxa" w:w="3460"/>
            <w:shd w:fill="F2F2F2" w:val="clear"/>
            <w:tcMar>
              <w:top w:type="dxa" w:w="100"/>
              <w:left w:type="dxa" w:w="120"/>
              <w:bottom w:type="dxa" w:w="100"/>
              <w:right w:type="dxa" w:w="120"/>
            </w:tcMar>
            <w:vAlign w:val="center"/>
          </w:tcPr>
          <w:p>
            <w:r>
              <w:rPr>
                <w:rFonts w:ascii="Calibri" w:cs="Calibri" w:eastAsia="Calibri" w:hAnsi="Calibri"/>
                <w:color w:val="3A3A3A"/>
                <w:sz w:val="20"/>
                <w:szCs w:val="20"/>
              </w:rPr>
              <w:t xml:space="preserve">A GCC hyperscaler region meets your regulatory requirements</w:t>
            </w:r>
          </w:p>
        </w:tc>
        <w:tc>
          <w:tcPr>
            <w:tcW w:type="dxa" w:w="3460"/>
            <w:shd w:fill="F2F2F2" w:val="clear"/>
            <w:tcMar>
              <w:top w:type="dxa" w:w="100"/>
              <w:left w:type="dxa" w:w="120"/>
              <w:bottom w:type="dxa" w:w="100"/>
              <w:right w:type="dxa" w:w="120"/>
            </w:tcMar>
            <w:vAlign w:val="center"/>
          </w:tcPr>
          <w:p>
            <w:r>
              <w:rPr>
                <w:rFonts w:ascii="Calibri" w:cs="Calibri" w:eastAsia="Calibri" w:hAnsi="Calibri"/>
                <w:color w:val="3A3A3A"/>
                <w:sz w:val="20"/>
                <w:szCs w:val="20"/>
              </w:rPr>
              <w:t xml:space="preserve">Regulations require in-country, sector-specific, or government-controlled hosting</w:t>
            </w:r>
          </w:p>
        </w:tc>
      </w:tr>
      <w:tr>
        <w:tc>
          <w:tcPr>
            <w:tcW w:type="dxa" w:w="2600"/>
            <w:tcMar>
              <w:top w:type="dxa" w:w="100"/>
              <w:left w:type="dxa" w:w="120"/>
              <w:bottom w:type="dxa" w:w="100"/>
              <w:right w:type="dxa" w:w="120"/>
            </w:tcMar>
            <w:vAlign w:val="center"/>
          </w:tcPr>
          <w:p>
            <w:r>
              <w:rPr>
                <w:rFonts w:ascii="Calibri" w:cs="Calibri" w:eastAsia="Calibri" w:hAnsi="Calibri"/>
                <w:color w:val="3A3A3A"/>
                <w:sz w:val="20"/>
                <w:szCs w:val="20"/>
              </w:rPr>
              <w:t xml:space="preserve">Custom code</w:t>
            </w:r>
          </w:p>
        </w:tc>
        <w:tc>
          <w:tcPr>
            <w:tcW w:type="dxa" w:w="3460"/>
            <w:tcMar>
              <w:top w:type="dxa" w:w="100"/>
              <w:left w:type="dxa" w:w="120"/>
              <w:bottom w:type="dxa" w:w="100"/>
              <w:right w:type="dxa" w:w="120"/>
            </w:tcMar>
            <w:vAlign w:val="center"/>
          </w:tcPr>
          <w:p>
            <w:r>
              <w:rPr>
                <w:rFonts w:ascii="Calibri" w:cs="Calibri" w:eastAsia="Calibri" w:hAnsi="Calibri"/>
                <w:color w:val="3A3A3A"/>
                <w:sz w:val="20"/>
                <w:szCs w:val="20"/>
              </w:rPr>
              <w:t xml:space="preserve">The landscape is close to standard, or you're willing to reduce customization</w:t>
            </w:r>
          </w:p>
        </w:tc>
        <w:tc>
          <w:tcPr>
            <w:tcW w:type="dxa" w:w="3460"/>
            <w:tcMar>
              <w:top w:type="dxa" w:w="100"/>
              <w:left w:type="dxa" w:w="120"/>
              <w:bottom w:type="dxa" w:w="100"/>
              <w:right w:type="dxa" w:w="120"/>
            </w:tcMar>
            <w:vAlign w:val="center"/>
          </w:tcPr>
          <w:p>
            <w:r>
              <w:rPr>
                <w:rFonts w:ascii="Calibri" w:cs="Calibri" w:eastAsia="Calibri" w:hAnsi="Calibri"/>
                <w:color w:val="3A3A3A"/>
                <w:sz w:val="20"/>
                <w:szCs w:val="20"/>
              </w:rPr>
              <w:t xml:space="preserve">The business depends on deep, hard-to-replace customizations</w:t>
            </w:r>
          </w:p>
        </w:tc>
      </w:tr>
      <w:tr>
        <w:tc>
          <w:tcPr>
            <w:tcW w:type="dxa" w:w="2600"/>
            <w:shd w:fill="F2F2F2" w:val="clear"/>
            <w:tcMar>
              <w:top w:type="dxa" w:w="100"/>
              <w:left w:type="dxa" w:w="120"/>
              <w:bottom w:type="dxa" w:w="100"/>
              <w:right w:type="dxa" w:w="120"/>
            </w:tcMar>
            <w:vAlign w:val="center"/>
          </w:tcPr>
          <w:p>
            <w:r>
              <w:rPr>
                <w:rFonts w:ascii="Calibri" w:cs="Calibri" w:eastAsia="Calibri" w:hAnsi="Calibri"/>
                <w:color w:val="3A3A3A"/>
                <w:sz w:val="20"/>
                <w:szCs w:val="20"/>
              </w:rPr>
              <w:t xml:space="preserve">IT capacity</w:t>
            </w:r>
          </w:p>
        </w:tc>
        <w:tc>
          <w:tcPr>
            <w:tcW w:type="dxa" w:w="3460"/>
            <w:shd w:fill="F2F2F2" w:val="clear"/>
            <w:tcMar>
              <w:top w:type="dxa" w:w="100"/>
              <w:left w:type="dxa" w:w="120"/>
              <w:bottom w:type="dxa" w:w="100"/>
              <w:right w:type="dxa" w:w="120"/>
            </w:tcMar>
            <w:vAlign w:val="center"/>
          </w:tcPr>
          <w:p>
            <w:r>
              <w:rPr>
                <w:rFonts w:ascii="Calibri" w:cs="Calibri" w:eastAsia="Calibri" w:hAnsi="Calibri"/>
                <w:color w:val="3A3A3A"/>
                <w:sz w:val="20"/>
                <w:szCs w:val="20"/>
              </w:rPr>
              <w:t xml:space="preserve">The internal team wants to shift infrastructure management to SAP and its partners</w:t>
            </w:r>
          </w:p>
        </w:tc>
        <w:tc>
          <w:tcPr>
            <w:tcW w:type="dxa" w:w="3460"/>
            <w:shd w:fill="F2F2F2" w:val="clear"/>
            <w:tcMar>
              <w:top w:type="dxa" w:w="100"/>
              <w:left w:type="dxa" w:w="120"/>
              <w:bottom w:type="dxa" w:w="100"/>
              <w:right w:type="dxa" w:w="120"/>
            </w:tcMar>
            <w:vAlign w:val="center"/>
          </w:tcPr>
          <w:p>
            <w:r>
              <w:rPr>
                <w:rFonts w:ascii="Calibri" w:cs="Calibri" w:eastAsia="Calibri" w:hAnsi="Calibri"/>
                <w:color w:val="3A3A3A"/>
                <w:sz w:val="20"/>
                <w:szCs w:val="20"/>
              </w:rPr>
              <w:t xml:space="preserve">The organization wants to retain direct control over infrastructure and hosting</w:t>
            </w:r>
          </w:p>
        </w:tc>
      </w:tr>
      <w:tr>
        <w:tc>
          <w:tcPr>
            <w:tcW w:type="dxa" w:w="2600"/>
            <w:tcMar>
              <w:top w:type="dxa" w:w="100"/>
              <w:left w:type="dxa" w:w="120"/>
              <w:bottom w:type="dxa" w:w="100"/>
              <w:right w:type="dxa" w:w="120"/>
            </w:tcMar>
            <w:vAlign w:val="center"/>
          </w:tcPr>
          <w:p>
            <w:r>
              <w:rPr>
                <w:rFonts w:ascii="Calibri" w:cs="Calibri" w:eastAsia="Calibri" w:hAnsi="Calibri"/>
                <w:color w:val="3A3A3A"/>
                <w:sz w:val="20"/>
                <w:szCs w:val="20"/>
              </w:rPr>
              <w:t xml:space="preserve">Cost structure</w:t>
            </w:r>
          </w:p>
        </w:tc>
        <w:tc>
          <w:tcPr>
            <w:tcW w:type="dxa" w:w="3460"/>
            <w:tcMar>
              <w:top w:type="dxa" w:w="100"/>
              <w:left w:type="dxa" w:w="120"/>
              <w:bottom w:type="dxa" w:w="100"/>
              <w:right w:type="dxa" w:w="120"/>
            </w:tcMar>
            <w:vAlign w:val="center"/>
          </w:tcPr>
          <w:p>
            <w:r>
              <w:rPr>
                <w:rFonts w:ascii="Calibri" w:cs="Calibri" w:eastAsia="Calibri" w:hAnsi="Calibri"/>
                <w:color w:val="3A3A3A"/>
                <w:sz w:val="20"/>
                <w:szCs w:val="20"/>
              </w:rPr>
              <w:t xml:space="preserve">Predictable subscription costs are preferred over capital investment</w:t>
            </w:r>
          </w:p>
        </w:tc>
        <w:tc>
          <w:tcPr>
            <w:tcW w:type="dxa" w:w="3460"/>
            <w:tcMar>
              <w:top w:type="dxa" w:w="100"/>
              <w:left w:type="dxa" w:w="120"/>
              <w:bottom w:type="dxa" w:w="100"/>
              <w:right w:type="dxa" w:w="120"/>
            </w:tcMar>
            <w:vAlign w:val="center"/>
          </w:tcPr>
          <w:p>
            <w:r>
              <w:rPr>
                <w:rFonts w:ascii="Calibri" w:cs="Calibri" w:eastAsia="Calibri" w:hAnsi="Calibri"/>
                <w:color w:val="3A3A3A"/>
                <w:sz w:val="20"/>
                <w:szCs w:val="20"/>
              </w:rPr>
              <w:t xml:space="preserve">Existing infrastructure investment still has useful life to depreciate</w:t>
            </w:r>
          </w:p>
        </w:tc>
      </w:tr>
    </w:tbl>
    <w:p>
      <w:pPr>
        <w:spacing w:after="200" w:line="300"/>
      </w:pPr>
      <w:r>
        <w:rPr>
          <w:rFonts w:ascii="Calibri" w:cs="Calibri" w:eastAsia="Calibri" w:hAnsi="Calibri"/>
          <w:b w:val="false"/>
          <w:bCs w:val="false"/>
          <w:i w:val="false"/>
          <w:iCs w:val="false"/>
          <w:color w:val="3A3A3A"/>
          <w:sz w:val="22"/>
          <w:szCs w:val="22"/>
        </w:rPr>
        <w:t xml:space="preserve"/>
      </w:r>
    </w:p>
    <w:p>
      <w:pPr>
        <w:pStyle w:val="Heading1"/>
        <w:spacing w:after="160" w:before="360"/>
      </w:pPr>
      <w:r>
        <w:rPr>
          <w:rFonts w:ascii="Calibri" w:cs="Calibri" w:eastAsia="Calibri" w:hAnsi="Calibri"/>
          <w:b/>
          <w:bCs/>
          <w:color w:val="0061AF"/>
          <w:sz w:val="30"/>
          <w:szCs w:val="30"/>
        </w:rPr>
        <w:t xml:space="preserve">Making the Decision Deliberately</w:t>
      </w:r>
    </w:p>
    <w:p>
      <w:pPr>
        <w:spacing w:after="200" w:line="300"/>
      </w:pPr>
      <w:r>
        <w:rPr>
          <w:rFonts w:ascii="Calibri" w:cs="Calibri" w:eastAsia="Calibri" w:hAnsi="Calibri"/>
          <w:b w:val="false"/>
          <w:bCs w:val="false"/>
          <w:i w:val="false"/>
          <w:iCs w:val="false"/>
          <w:color w:val="3A3A3A"/>
          <w:sz w:val="22"/>
          <w:szCs w:val="22"/>
        </w:rPr>
        <w:t xml:space="preserve">RISE with SAP is a reasonable path for many GCC enterprises, but it works best when it's chosen deliberately, against a clear picture of data residency requirements, existing customizations, and long-term cost, rather than adopted as the default because it's the most visible option in the market.</w:t>
      </w:r>
    </w:p>
    <w:p>
      <w:pPr>
        <w:spacing w:after="200" w:line="300"/>
      </w:pPr>
      <w:r>
        <w:rPr>
          <w:rFonts w:ascii="Calibri" w:cs="Calibri" w:eastAsia="Calibri" w:hAnsi="Calibri"/>
          <w:b w:val="false"/>
          <w:bCs w:val="false"/>
          <w:i w:val="false"/>
          <w:iCs w:val="false"/>
          <w:color w:val="3A3A3A"/>
          <w:sz w:val="22"/>
          <w:szCs w:val="22"/>
        </w:rPr>
        <w:t xml:space="preserve">Ascendus helps GCC enterprises evaluate cloud ERP options against their actual regulatory and operational constraints, not just the vendor's pitch. If a cloud ERP decision is on your roadmap, it's worth working through these questions before the contract is on the table.</w:t>
      </w:r>
    </w:p>
    <w:p>
      <w:pPr>
        <w:pBdr>
          <w:bottom w:val="single" w:color="CCCCCC" w:sz="6" w:space="4"/>
        </w:pBdr>
        <w:spacing w:after="200" w:before="200"/>
      </w:pPr>
      <w:r>
        <w:t xml:space="preserve"/>
      </w:r>
    </w:p>
    <w:p>
      <w:pPr>
        <w:pStyle w:val="Heading1"/>
        <w:spacing w:after="160" w:before="360"/>
      </w:pPr>
      <w:r>
        <w:rPr>
          <w:rFonts w:ascii="Calibri" w:cs="Calibri" w:eastAsia="Calibri" w:hAnsi="Calibri"/>
          <w:b/>
          <w:bCs/>
          <w:color w:val="0061AF"/>
          <w:sz w:val="30"/>
          <w:szCs w:val="30"/>
        </w:rPr>
        <w:t xml:space="preserve">FAQ's</w:t>
      </w:r>
    </w:p>
    <w:p>
      <w:pPr>
        <w:spacing w:after="60" w:before="200"/>
      </w:pPr>
      <w:r>
        <w:rPr>
          <w:rFonts w:ascii="Calibri" w:cs="Calibri" w:eastAsia="Calibri" w:hAnsi="Calibri"/>
          <w:b/>
          <w:bCs/>
          <w:color w:val="55595E"/>
          <w:sz w:val="22"/>
          <w:szCs w:val="22"/>
        </w:rPr>
        <w:t xml:space="preserve">1. Is RISE with SAP mandatory for moving to SAP S/4HANA?</w:t>
      </w:r>
    </w:p>
    <w:p>
      <w:pPr>
        <w:spacing w:after="160" w:line="300"/>
      </w:pPr>
      <w:r>
        <w:rPr>
          <w:rFonts w:ascii="Calibri" w:cs="Calibri" w:eastAsia="Calibri" w:hAnsi="Calibri"/>
          <w:color w:val="3A3A3A"/>
          <w:sz w:val="22"/>
          <w:szCs w:val="22"/>
        </w:rPr>
        <w:t xml:space="preserve">No. Enterprises can migrate to SAP S/4HANA on-premise, on a hyperscaler independently of RISE, or through RISE with SAP. RISE is one path to the same underlying platform, not the only one.</w:t>
      </w:r>
    </w:p>
    <w:p>
      <w:pPr>
        <w:spacing w:after="60" w:before="200"/>
      </w:pPr>
      <w:r>
        <w:rPr>
          <w:rFonts w:ascii="Calibri" w:cs="Calibri" w:eastAsia="Calibri" w:hAnsi="Calibri"/>
          <w:b/>
          <w:bCs/>
          <w:color w:val="55595E"/>
          <w:sz w:val="22"/>
          <w:szCs w:val="22"/>
        </w:rPr>
        <w:t xml:space="preserve">2. Can RISE with SAP be hosted in a GCC region for data residency compliance?</w:t>
      </w:r>
    </w:p>
    <w:p>
      <w:pPr>
        <w:spacing w:after="160" w:line="300"/>
      </w:pPr>
      <w:r>
        <w:rPr>
          <w:rFonts w:ascii="Calibri" w:cs="Calibri" w:eastAsia="Calibri" w:hAnsi="Calibri"/>
          <w:color w:val="3A3A3A"/>
          <w:sz w:val="22"/>
          <w:szCs w:val="22"/>
        </w:rPr>
        <w:t xml:space="preserve">In many cases yes, depending on hyperscaler availability in the specific country and sector requirements. This needs to be confirmed directly for the enterprise's regulatory context rather than assumed from general regional coverage.</w:t>
      </w:r>
    </w:p>
    <w:p>
      <w:pPr>
        <w:spacing w:after="60" w:before="200"/>
      </w:pPr>
      <w:r>
        <w:rPr>
          <w:rFonts w:ascii="Calibri" w:cs="Calibri" w:eastAsia="Calibri" w:hAnsi="Calibri"/>
          <w:b/>
          <w:bCs/>
          <w:color w:val="55595E"/>
          <w:sz w:val="22"/>
          <w:szCs w:val="22"/>
        </w:rPr>
        <w:t xml:space="preserve">3. Does RISE with SAP eliminate the need for an implementation partner?</w:t>
      </w:r>
    </w:p>
    <w:p>
      <w:pPr>
        <w:spacing w:after="160" w:line="300"/>
      </w:pPr>
      <w:r>
        <w:rPr>
          <w:rFonts w:ascii="Calibri" w:cs="Calibri" w:eastAsia="Calibri" w:hAnsi="Calibri"/>
          <w:color w:val="3A3A3A"/>
          <w:sz w:val="22"/>
          <w:szCs w:val="22"/>
        </w:rPr>
        <w:t xml:space="preserve">No. RISE with SAP provides the platform and infrastructure, but configuration, data migration, localization, and change management still require an experienced implementation partner.</w:t>
      </w:r>
    </w:p>
    <w:p>
      <w:pPr>
        <w:spacing w:after="60" w:before="200"/>
      </w:pPr>
      <w:r>
        <w:rPr>
          <w:rFonts w:ascii="Calibri" w:cs="Calibri" w:eastAsia="Calibri" w:hAnsi="Calibri"/>
          <w:b/>
          <w:bCs/>
          <w:color w:val="55595E"/>
          <w:sz w:val="22"/>
          <w:szCs w:val="22"/>
        </w:rPr>
        <w:t xml:space="preserve">4. Can an enterprise move away from RISE with SAP later if needed?</w:t>
      </w:r>
    </w:p>
    <w:p>
      <w:pPr>
        <w:spacing w:after="160" w:line="300"/>
      </w:pPr>
      <w:r>
        <w:rPr>
          <w:rFonts w:ascii="Calibri" w:cs="Calibri" w:eastAsia="Calibri" w:hAnsi="Calibri"/>
          <w:color w:val="3A3A3A"/>
          <w:sz w:val="22"/>
          <w:szCs w:val="22"/>
        </w:rPr>
        <w:t xml:space="preserve">Yes, though the practical effort depends on how the migration was structured and how tightly extensions are tied to the platform. This is why the exit strategy should be discussed before signing, not after.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2026-08-29T17:43:02.130Z</dcterms:created>
  <dcterms:modified xsi:type="dcterms:W3CDTF">2026-08-29T17:43:02.131Z</dcterms:modified>
</cp:coreProperties>
</file>

<file path=docProps/custom.xml><?xml version="1.0" encoding="utf-8"?>
<Properties xmlns="http://schemas.openxmlformats.org/officeDocument/2006/custom-properties" xmlns:vt="http://schemas.openxmlformats.org/officeDocument/2006/docPropsVTypes"/>
</file>