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2"/>
          <w:szCs w:val="32"/>
        </w:rPr>
        <w:t xml:space="preserve">Sales Forecasting &amp; Demand Intelligence — Executive Summary</w:t>
      </w:r>
    </w:p>
    <w:p>
      <w:pPr>
        <w:spacing w:after="240"/>
      </w:pPr>
      <w:r>
        <w:rPr>
          <w:i/>
          <w:iCs/>
          <w:color w:val="555555"/>
          <w:sz w:val="20"/>
          <w:szCs w:val="20"/>
        </w:rPr>
        <w:t xml:space="preserve">Prepared for: Head of Supply Chain &amp; CFO   |   Data: 4 years of company sales (2015–2018), Kaggle Superstore Sales Dataset   |   Date: July 2026</w:t>
      </w:r>
    </w:p>
    <w:p>
      <w:pPr>
        <w:pStyle w:val="Heading1"/>
        <w:spacing w:after="120" w:before="240"/>
      </w:pPr>
      <w:r>
        <w:t xml:space="preserve">Executive Summary</w:t>
      </w:r>
    </w:p>
    <w:p>
      <w:pPr>
        <w:spacing w:after="120"/>
      </w:pPr>
      <w:r>
        <w:t xml:space="preserve">We built a system that studies four years of our sales history to predict demand, flag unusual sales weeks, and group our products by how they behave in the market. The short version: our business is growing steadily year over year, sales spike predictably every November and December, and we can now forecast next quarter's sales with a typical error of about 19-22% depending on the model — good enough to guide purchasing and staffing decisions, though not precise enough to be treated as a guarantee. We also found that our products naturally fall into four demand groups, each of which should be stocked differently, and we identified specific weeks in our sales history that were unusually high or low so managers can understand what drove them.</w:t>
      </w:r>
    </w:p>
    <w:p>
      <w:pPr>
        <w:pStyle w:val="Heading1"/>
        <w:spacing w:after="120" w:before="240"/>
      </w:pPr>
      <w:r>
        <w:t xml:space="preserve">Key Findings from Exploration &amp; Forecasting</w:t>
      </w:r>
    </w:p>
    <w:p>
      <w:pPr>
        <w:pStyle w:val="ListParagraph"/>
        <w:numPr>
          <w:ilvl w:val="0"/>
          <w:numId w:val="1"/>
        </w:numPr>
        <w:spacing w:after="80"/>
      </w:pPr>
      <w:r>
        <w:t xml:space="preserve">Technology is our top revenue category, narrowly ahead of Furniture and Office Supplies.</w:t>
      </w:r>
    </w:p>
    <w:p>
      <w:pPr>
        <w:pStyle w:val="ListParagraph"/>
        <w:numPr>
          <w:ilvl w:val="0"/>
          <w:numId w:val="1"/>
        </w:numPr>
        <w:spacing w:after="80"/>
      </w:pPr>
      <w:r>
        <w:t xml:space="preserve">The East region grows the most consistently year over year, while West grows fastest on average but with more ups and downs.</w:t>
      </w:r>
    </w:p>
    <w:p>
      <w:pPr>
        <w:pStyle w:val="ListParagraph"/>
        <w:numPr>
          <w:ilvl w:val="0"/>
          <w:numId w:val="1"/>
        </w:numPr>
        <w:spacing w:after="80"/>
      </w:pPr>
      <w:r>
        <w:t xml:space="preserve">Order-to-ship time is steady at about 4 days company-wide and does not vary meaningfully by region — fulfillment speed is not a regional weak point.</w:t>
      </w:r>
    </w:p>
    <w:p>
      <w:pPr>
        <w:pStyle w:val="ListParagraph"/>
        <w:numPr>
          <w:ilvl w:val="0"/>
          <w:numId w:val="1"/>
        </w:numPr>
        <w:spacing w:after="80"/>
      </w:pPr>
      <w:r>
        <w:t xml:space="preserve">Sales spike every November, December, and September, and dip every January and February — a reliable, repeatable pattern across all 4 years, not a one-time event.</w:t>
      </w:r>
    </w:p>
    <w:p>
      <w:pPr>
        <w:pStyle w:val="ListParagraph"/>
        <w:numPr>
          <w:ilvl w:val="0"/>
          <w:numId w:val="1"/>
        </w:numPr>
        <w:spacing w:after="80"/>
      </w:pPr>
      <w:r>
        <w:t xml:space="preserve">We tested three different forecasting approaches (a classical statistical model, an industry-standard tool, and a machine-learning model) side by side; results are summarized below.</w:t>
      </w:r>
    </w:p>
    <w:p>
      <w:pPr>
        <w:pStyle w:val="Heading2"/>
        <w:spacing w:after="100" w:before="200"/>
      </w:pPr>
      <w:r>
        <w:t xml:space="preserve">Model Comparison</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2260"/>
      </w:tblGrid>
      <w:tr>
        <w:tc>
          <w:tcPr>
            <w:tcW w:type="dxa" w:w="2200"/>
            <w:shd w:fill="2F5496" w:val="clear"/>
          </w:tcPr>
          <w:p>
            <w:r>
              <w:rPr>
                <w:b/>
                <w:bCs/>
                <w:color w:val="FFFFFF"/>
              </w:rPr>
              <w:t xml:space="preserve">Model</w:t>
            </w:r>
          </w:p>
        </w:tc>
        <w:tc>
          <w:tcPr>
            <w:tcW w:type="dxa" w:w="2000"/>
            <w:shd w:fill="2F5496" w:val="clear"/>
          </w:tcPr>
          <w:p>
            <w:r>
              <w:rPr>
                <w:b/>
                <w:bCs/>
                <w:color w:val="FFFFFF"/>
              </w:rPr>
              <w:t xml:space="preserve">MAE ($)</w:t>
            </w:r>
          </w:p>
        </w:tc>
        <w:tc>
          <w:tcPr>
            <w:tcW w:type="dxa" w:w="2000"/>
            <w:shd w:fill="2F5496" w:val="clear"/>
          </w:tcPr>
          <w:p>
            <w:r>
              <w:rPr>
                <w:b/>
                <w:bCs/>
                <w:color w:val="FFFFFF"/>
              </w:rPr>
              <w:t xml:space="preserve">RMSE ($)</w:t>
            </w:r>
          </w:p>
        </w:tc>
        <w:tc>
          <w:tcPr>
            <w:tcW w:type="dxa" w:w="2000"/>
            <w:shd w:fill="2F5496" w:val="clear"/>
          </w:tcPr>
          <w:p>
            <w:r>
              <w:rPr>
                <w:b/>
                <w:bCs/>
                <w:color w:val="FFFFFF"/>
              </w:rPr>
              <w:t xml:space="preserve">MAPE (%)</w:t>
            </w:r>
          </w:p>
        </w:tc>
        <w:tc>
          <w:tcPr>
            <w:tcW w:type="dxa" w:w="2260"/>
            <w:shd w:fill="2F5496" w:val="clear"/>
          </w:tcPr>
          <w:p>
            <w:r>
              <w:rPr>
                <w:b/>
                <w:bCs/>
                <w:color w:val="FFFFFF"/>
              </w:rPr>
              <w:t xml:space="preserve">Recommended?</w:t>
            </w:r>
          </w:p>
        </w:tc>
      </w:tr>
      <w:tr>
        <w:tc>
          <w:tcPr>
            <w:tcW w:type="dxa" w:w="2200"/>
          </w:tcPr>
          <w:p>
            <w:r>
              <w:rPr>
                <w:b w:val="false"/>
                <w:bCs w:val="false"/>
                <w:color w:val="000000"/>
              </w:rPr>
              <w:t xml:space="preserve">SARIMA</w:t>
            </w:r>
          </w:p>
        </w:tc>
        <w:tc>
          <w:tcPr>
            <w:tcW w:type="dxa" w:w="2000"/>
          </w:tcPr>
          <w:p>
            <w:r>
              <w:rPr>
                <w:b w:val="false"/>
                <w:bCs w:val="false"/>
                <w:color w:val="000000"/>
              </w:rPr>
              <w:t xml:space="preserve">20,581</w:t>
            </w:r>
          </w:p>
        </w:tc>
        <w:tc>
          <w:tcPr>
            <w:tcW w:type="dxa" w:w="2000"/>
          </w:tcPr>
          <w:p>
            <w:r>
              <w:rPr>
                <w:b w:val="false"/>
                <w:bCs w:val="false"/>
                <w:color w:val="000000"/>
              </w:rPr>
              <w:t xml:space="preserve">22,191</w:t>
            </w:r>
          </w:p>
        </w:tc>
        <w:tc>
          <w:tcPr>
            <w:tcW w:type="dxa" w:w="2000"/>
          </w:tcPr>
          <w:p>
            <w:r>
              <w:rPr>
                <w:b w:val="false"/>
                <w:bCs w:val="false"/>
                <w:color w:val="000000"/>
              </w:rPr>
              <w:t xml:space="preserve">21.9%</w:t>
            </w:r>
          </w:p>
        </w:tc>
        <w:tc>
          <w:tcPr>
            <w:tcW w:type="dxa" w:w="2260"/>
          </w:tcPr>
          <w:p>
            <w:r>
              <w:rPr>
                <w:b w:val="false"/>
                <w:bCs w:val="false"/>
                <w:color w:val="000000"/>
              </w:rPr>
              <w:t xml:space="preserve">No</w:t>
            </w:r>
          </w:p>
        </w:tc>
      </w:tr>
      <w:tr>
        <w:tc>
          <w:tcPr>
            <w:tcW w:type="dxa" w:w="2200"/>
          </w:tcPr>
          <w:p>
            <w:r>
              <w:rPr>
                <w:b w:val="false"/>
                <w:bCs w:val="false"/>
                <w:color w:val="000000"/>
              </w:rPr>
              <w:t xml:space="preserve">Prophet</w:t>
            </w:r>
          </w:p>
        </w:tc>
        <w:tc>
          <w:tcPr>
            <w:tcW w:type="dxa" w:w="2000"/>
          </w:tcPr>
          <w:p>
            <w:r>
              <w:rPr>
                <w:b w:val="false"/>
                <w:bCs w:val="false"/>
                <w:color w:val="000000"/>
              </w:rPr>
              <w:t xml:space="preserve">20,296</w:t>
            </w:r>
          </w:p>
        </w:tc>
        <w:tc>
          <w:tcPr>
            <w:tcW w:type="dxa" w:w="2000"/>
          </w:tcPr>
          <w:p>
            <w:r>
              <w:rPr>
                <w:b w:val="false"/>
                <w:bCs w:val="false"/>
                <w:color w:val="000000"/>
              </w:rPr>
              <w:t xml:space="preserve">22,487</w:t>
            </w:r>
          </w:p>
        </w:tc>
        <w:tc>
          <w:tcPr>
            <w:tcW w:type="dxa" w:w="2000"/>
          </w:tcPr>
          <w:p>
            <w:r>
              <w:rPr>
                <w:b w:val="false"/>
                <w:bCs w:val="false"/>
                <w:color w:val="000000"/>
              </w:rPr>
              <w:t xml:space="preserve">21.9%</w:t>
            </w:r>
          </w:p>
        </w:tc>
        <w:tc>
          <w:tcPr>
            <w:tcW w:type="dxa" w:w="2260"/>
          </w:tcPr>
          <w:p>
            <w:r>
              <w:rPr>
                <w:b w:val="false"/>
                <w:bCs w:val="false"/>
                <w:color w:val="000000"/>
              </w:rPr>
              <w:t xml:space="preserve">No</w:t>
            </w:r>
          </w:p>
        </w:tc>
      </w:tr>
      <w:tr>
        <w:tc>
          <w:tcPr>
            <w:tcW w:type="dxa" w:w="2200"/>
          </w:tcPr>
          <w:p>
            <w:r>
              <w:rPr>
                <w:b w:val="false"/>
                <w:bCs w:val="false"/>
                <w:color w:val="000000"/>
              </w:rPr>
              <w:t xml:space="preserve">XGBoost</w:t>
            </w:r>
          </w:p>
        </w:tc>
        <w:tc>
          <w:tcPr>
            <w:tcW w:type="dxa" w:w="2000"/>
          </w:tcPr>
          <w:p>
            <w:r>
              <w:rPr>
                <w:b w:val="false"/>
                <w:bCs w:val="false"/>
                <w:color w:val="000000"/>
              </w:rPr>
              <w:t xml:space="preserve">18,883</w:t>
            </w:r>
          </w:p>
        </w:tc>
        <w:tc>
          <w:tcPr>
            <w:tcW w:type="dxa" w:w="2000"/>
          </w:tcPr>
          <w:p>
            <w:r>
              <w:rPr>
                <w:b w:val="false"/>
                <w:bCs w:val="false"/>
                <w:color w:val="000000"/>
              </w:rPr>
              <w:t xml:space="preserve">20,994</w:t>
            </w:r>
          </w:p>
        </w:tc>
        <w:tc>
          <w:tcPr>
            <w:tcW w:type="dxa" w:w="2000"/>
          </w:tcPr>
          <w:p>
            <w:r>
              <w:rPr>
                <w:b w:val="false"/>
                <w:bCs w:val="false"/>
                <w:color w:val="000000"/>
              </w:rPr>
              <w:t xml:space="preserve">19.3%</w:t>
            </w:r>
          </w:p>
        </w:tc>
        <w:tc>
          <w:tcPr>
            <w:tcW w:type="dxa" w:w="2260"/>
          </w:tcPr>
          <w:p>
            <w:r>
              <w:rPr>
                <w:b w:val="false"/>
                <w:bCs w:val="false"/>
                <w:color w:val="000000"/>
              </w:rPr>
              <w:t xml:space="preserve">Yes — lowest error</w:t>
            </w:r>
          </w:p>
        </w:tc>
      </w:tr>
    </w:tbl>
    <w:p>
      <w:pPr>
        <w:spacing w:after="160"/>
      </w:pPr>
    </w:p>
    <w:p>
      <w:pPr>
        <w:spacing w:after="120"/>
      </w:pPr>
      <w:r>
        <w:t xml:space="preserve">All three models were evaluated on the same 3-month holdout window (Oct-Dec 2018). The machine-learning model (XGBoost) has the lowest error on every metric and is our production recommendation.</w:t>
      </w:r>
    </w:p>
    <w:p>
      <w:pPr>
        <w:pStyle w:val="Heading1"/>
        <w:spacing w:after="120" w:before="240"/>
      </w:pPr>
      <w:r>
        <w:t xml:space="preserve">3-Month Sales Forecast (Plain Language)</w:t>
      </w:r>
    </w:p>
    <w:p>
      <w:pPr>
        <w:spacing w:after="120"/>
      </w:pPr>
      <w:r>
        <w:t xml:space="preserve">Using our recommended model trained on all available history through December 2018, here is what we project for the first quarter of next year. January and February are historically our weakest months, so this dip is expected seasonal behavior, not a warning sign — March typically begins the recovery.</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60"/>
      </w:tblGrid>
      <w:tr>
        <w:tc>
          <w:tcPr>
            <w:tcW w:type="dxa" w:w="2600"/>
            <w:shd w:fill="2F5496" w:val="clear"/>
          </w:tcPr>
          <w:p>
            <w:r>
              <w:rPr>
                <w:b/>
                <w:bCs/>
                <w:color w:val="FFFFFF"/>
              </w:rPr>
              <w:t xml:space="preserve">Month</w:t>
            </w:r>
          </w:p>
        </w:tc>
        <w:tc>
          <w:tcPr>
            <w:tcW w:type="dxa" w:w="2600"/>
            <w:shd w:fill="2F5496" w:val="clear"/>
          </w:tcPr>
          <w:p>
            <w:r>
              <w:rPr>
                <w:b/>
                <w:bCs/>
                <w:color w:val="FFFFFF"/>
              </w:rPr>
              <w:t xml:space="preserve">Forecast (XGBoost)</w:t>
            </w:r>
          </w:p>
        </w:tc>
        <w:tc>
          <w:tcPr>
            <w:tcW w:type="dxa" w:w="2600"/>
            <w:shd w:fill="2F5496" w:val="clear"/>
          </w:tcPr>
          <w:p>
            <w:r>
              <w:rPr>
                <w:b/>
                <w:bCs/>
                <w:color w:val="FFFFFF"/>
              </w:rPr>
              <w:t xml:space="preserve">Optimistic range</w:t>
            </w:r>
          </w:p>
        </w:tc>
        <w:tc>
          <w:tcPr>
            <w:tcW w:type="dxa" w:w="2660"/>
            <w:shd w:fill="2F5496" w:val="clear"/>
          </w:tcPr>
          <w:p>
            <w:r>
              <w:rPr>
                <w:b/>
                <w:bCs/>
                <w:color w:val="FFFFFF"/>
              </w:rPr>
              <w:t xml:space="preserve">Conservative range</w:t>
            </w:r>
          </w:p>
        </w:tc>
      </w:tr>
      <w:tr>
        <w:tc>
          <w:tcPr>
            <w:tcW w:type="dxa" w:w="2600"/>
          </w:tcPr>
          <w:p>
            <w:r>
              <w:rPr>
                <w:b w:val="false"/>
                <w:bCs w:val="false"/>
                <w:color w:val="000000"/>
              </w:rPr>
              <w:t xml:space="preserve">January 2019</w:t>
            </w:r>
          </w:p>
        </w:tc>
        <w:tc>
          <w:tcPr>
            <w:tcW w:type="dxa" w:w="2600"/>
          </w:tcPr>
          <w:p>
            <w:r>
              <w:rPr>
                <w:b w:val="false"/>
                <w:bCs w:val="false"/>
                <w:color w:val="000000"/>
              </w:rPr>
              <w:t xml:space="preserve">~$45,000</w:t>
            </w:r>
          </w:p>
        </w:tc>
        <w:tc>
          <w:tcPr>
            <w:tcW w:type="dxa" w:w="2600"/>
          </w:tcPr>
          <w:p>
            <w:r>
              <w:rPr>
                <w:b w:val="false"/>
                <w:bCs w:val="false"/>
                <w:color w:val="000000"/>
              </w:rPr>
              <w:t xml:space="preserve">~$54,000</w:t>
            </w:r>
          </w:p>
        </w:tc>
        <w:tc>
          <w:tcPr>
            <w:tcW w:type="dxa" w:w="2660"/>
          </w:tcPr>
          <w:p>
            <w:r>
              <w:rPr>
                <w:b w:val="false"/>
                <w:bCs w:val="false"/>
                <w:color w:val="000000"/>
              </w:rPr>
              <w:t xml:space="preserve">~$36,000</w:t>
            </w:r>
          </w:p>
        </w:tc>
      </w:tr>
      <w:tr>
        <w:tc>
          <w:tcPr>
            <w:tcW w:type="dxa" w:w="2600"/>
          </w:tcPr>
          <w:p>
            <w:r>
              <w:rPr>
                <w:b w:val="false"/>
                <w:bCs w:val="false"/>
                <w:color w:val="000000"/>
              </w:rPr>
              <w:t xml:space="preserve">February 2019</w:t>
            </w:r>
          </w:p>
        </w:tc>
        <w:tc>
          <w:tcPr>
            <w:tcW w:type="dxa" w:w="2600"/>
          </w:tcPr>
          <w:p>
            <w:r>
              <w:rPr>
                <w:b w:val="false"/>
                <w:bCs w:val="false"/>
                <w:color w:val="000000"/>
              </w:rPr>
              <w:t xml:space="preserve">~$26,000</w:t>
            </w:r>
          </w:p>
        </w:tc>
        <w:tc>
          <w:tcPr>
            <w:tcW w:type="dxa" w:w="2600"/>
          </w:tcPr>
          <w:p>
            <w:r>
              <w:rPr>
                <w:b w:val="false"/>
                <w:bCs w:val="false"/>
                <w:color w:val="000000"/>
              </w:rPr>
              <w:t xml:space="preserve">~$35,000</w:t>
            </w:r>
          </w:p>
        </w:tc>
        <w:tc>
          <w:tcPr>
            <w:tcW w:type="dxa" w:w="2660"/>
          </w:tcPr>
          <w:p>
            <w:r>
              <w:rPr>
                <w:b w:val="false"/>
                <w:bCs w:val="false"/>
                <w:color w:val="000000"/>
              </w:rPr>
              <w:t xml:space="preserve">~$17,000</w:t>
            </w:r>
          </w:p>
        </w:tc>
      </w:tr>
      <w:tr>
        <w:tc>
          <w:tcPr>
            <w:tcW w:type="dxa" w:w="2600"/>
          </w:tcPr>
          <w:p>
            <w:r>
              <w:rPr>
                <w:b w:val="false"/>
                <w:bCs w:val="false"/>
                <w:color w:val="000000"/>
              </w:rPr>
              <w:t xml:space="preserve">March 2019</w:t>
            </w:r>
          </w:p>
        </w:tc>
        <w:tc>
          <w:tcPr>
            <w:tcW w:type="dxa" w:w="2600"/>
          </w:tcPr>
          <w:p>
            <w:r>
              <w:rPr>
                <w:b w:val="false"/>
                <w:bCs w:val="false"/>
                <w:color w:val="000000"/>
              </w:rPr>
              <w:t xml:space="preserve">~$55,000</w:t>
            </w:r>
          </w:p>
        </w:tc>
        <w:tc>
          <w:tcPr>
            <w:tcW w:type="dxa" w:w="2600"/>
          </w:tcPr>
          <w:p>
            <w:r>
              <w:rPr>
                <w:b w:val="false"/>
                <w:bCs w:val="false"/>
                <w:color w:val="000000"/>
              </w:rPr>
              <w:t xml:space="preserve">~$64,000</w:t>
            </w:r>
          </w:p>
        </w:tc>
        <w:tc>
          <w:tcPr>
            <w:tcW w:type="dxa" w:w="2660"/>
          </w:tcPr>
          <w:p>
            <w:r>
              <w:rPr>
                <w:b w:val="false"/>
                <w:bCs w:val="false"/>
                <w:color w:val="000000"/>
              </w:rPr>
              <w:t xml:space="preserve">~$46,000</w:t>
            </w:r>
          </w:p>
        </w:tc>
      </w:tr>
    </w:tbl>
    <w:p>
      <w:pPr>
        <w:spacing w:after="160"/>
      </w:pPr>
    </w:p>
    <w:p>
      <w:pPr>
        <w:spacing w:after="120"/>
      </w:pPr>
      <w:r>
        <w:t xml:space="preserve">In short: expect a steep seasonal drop from the December peak into January and February, with partial recovery by March. Treat these numbers as planning ranges, not precise commitments — the model's typical error on recent history is about $19,000/month.</w:t>
      </w:r>
    </w:p>
    <w:p>
      <w:pPr>
        <w:pStyle w:val="Heading1"/>
        <w:spacing w:after="120" w:before="240"/>
      </w:pPr>
      <w:r>
        <w:t xml:space="preserve">Top 3 Anomalies Detected &amp; Likely Cause</w:t>
      </w:r>
    </w:p>
    <w:p>
      <w:pPr>
        <w:pStyle w:val="ListParagraph"/>
        <w:numPr>
          <w:ilvl w:val="0"/>
          <w:numId w:val="1"/>
        </w:numPr>
        <w:spacing w:after="80"/>
      </w:pPr>
      <w:r>
        <w:t xml:space="preserve">Mid-March 2015 — an unusually high sales week flagged by both detection methods; consistent with a one-off large order or an early-season promotion.</w:t>
      </w:r>
    </w:p>
    <w:p>
      <w:pPr>
        <w:pStyle w:val="ListParagraph"/>
        <w:numPr>
          <w:ilvl w:val="0"/>
          <w:numId w:val="1"/>
        </w:numPr>
        <w:spacing w:after="80"/>
      </w:pPr>
      <w:r>
        <w:t xml:space="preserve">Early December 2018 — a sharp spike likely tied to year-end budget-flush purchasing, common in corporate/office-supply accounts closing out their fiscal year.</w:t>
      </w:r>
    </w:p>
    <w:p>
      <w:pPr>
        <w:pStyle w:val="ListParagraph"/>
        <w:numPr>
          <w:ilvl w:val="0"/>
          <w:numId w:val="1"/>
        </w:numPr>
        <w:spacing w:after="80"/>
      </w:pPr>
      <w:r>
        <w:t xml:space="preserve">Mid-November weeks across multiple years (2016, 2018) — consistent with Black Friday / Cyber Monday-driven bulk ordering.</w:t>
      </w:r>
    </w:p>
    <w:p>
      <w:pPr>
        <w:spacing w:after="120"/>
      </w:pPr>
      <w:r>
        <w:t xml:space="preserve">We used two different anomaly-detection methods and they agreed on only about 1 in 10 flagged weeks. That's expected: one method looks for weeks that are unusual compared to the whole year, the other looks for sudden local jumps — together they give a more complete early-warning picture than either alone.</w:t>
      </w:r>
    </w:p>
    <w:p>
      <w:pPr>
        <w:pStyle w:val="Heading1"/>
        <w:spacing w:after="120" w:before="240"/>
      </w:pPr>
      <w:r>
        <w:t xml:space="preserve">Product Demand Segmentation &amp; Stocking Strategy</w:t>
      </w:r>
    </w:p>
    <w:p>
      <w:pPr>
        <w:spacing w:after="120"/>
      </w:pPr>
      <w:r>
        <w:t xml:space="preserve">We grouped our 17 product sub-categories into four demand patterns based on sales volume, growth, and volatility:</w:t>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500"/>
      </w:tblGrid>
      <w:tr>
        <w:tc>
          <w:tcPr>
            <w:tcW w:type="dxa" w:w="3480"/>
            <w:shd w:fill="2F5496" w:val="clear"/>
          </w:tcPr>
          <w:p>
            <w:r>
              <w:rPr>
                <w:b/>
                <w:bCs/>
                <w:color w:val="FFFFFF"/>
              </w:rPr>
              <w:t xml:space="preserve">Demand Cluster</w:t>
            </w:r>
          </w:p>
        </w:tc>
        <w:tc>
          <w:tcPr>
            <w:tcW w:type="dxa" w:w="3480"/>
            <w:shd w:fill="2F5496" w:val="clear"/>
          </w:tcPr>
          <w:p>
            <w:r>
              <w:rPr>
                <w:b/>
                <w:bCs/>
                <w:color w:val="FFFFFF"/>
              </w:rPr>
              <w:t xml:space="preserve">Sub-Categories</w:t>
            </w:r>
          </w:p>
        </w:tc>
        <w:tc>
          <w:tcPr>
            <w:tcW w:type="dxa" w:w="3500"/>
            <w:shd w:fill="2F5496" w:val="clear"/>
          </w:tcPr>
          <w:p>
            <w:r>
              <w:rPr>
                <w:b/>
                <w:bCs/>
                <w:color w:val="FFFFFF"/>
              </w:rPr>
              <w:t xml:space="preserve">Stocking Strategy</w:t>
            </w:r>
          </w:p>
        </w:tc>
      </w:tr>
      <w:tr>
        <w:tc>
          <w:tcPr>
            <w:tcW w:type="dxa" w:w="3480"/>
          </w:tcPr>
          <w:p>
            <w:r>
              <w:rPr>
                <w:b w:val="false"/>
                <w:bCs w:val="false"/>
                <w:color w:val="000000"/>
              </w:rPr>
              <w:t xml:space="preserve">High Volume, Stable Demand</w:t>
            </w:r>
          </w:p>
        </w:tc>
        <w:tc>
          <w:tcPr>
            <w:tcW w:type="dxa" w:w="3480"/>
          </w:tcPr>
          <w:p>
            <w:r>
              <w:rPr>
                <w:b w:val="false"/>
                <w:bCs w:val="false"/>
                <w:color w:val="000000"/>
              </w:rPr>
              <w:t xml:space="preserve">Accessories, Binders, Chairs, Phones, Storage, Tables</w:t>
            </w:r>
          </w:p>
        </w:tc>
        <w:tc>
          <w:tcPr>
            <w:tcW w:type="dxa" w:w="3500"/>
          </w:tcPr>
          <w:p>
            <w:r>
              <w:rPr>
                <w:b w:val="false"/>
                <w:bCs w:val="false"/>
                <w:color w:val="000000"/>
              </w:rPr>
              <w:t xml:space="preserve">Maintain steady safety stock; lean, predictable replenishment.</w:t>
            </w:r>
          </w:p>
        </w:tc>
      </w:tr>
      <w:tr>
        <w:tc>
          <w:tcPr>
            <w:tcW w:type="dxa" w:w="3480"/>
          </w:tcPr>
          <w:p>
            <w:r>
              <w:rPr>
                <w:b w:val="false"/>
                <w:bCs w:val="false"/>
                <w:color w:val="000000"/>
              </w:rPr>
              <w:t xml:space="preserve">Growing Demand</w:t>
            </w:r>
          </w:p>
        </w:tc>
        <w:tc>
          <w:tcPr>
            <w:tcW w:type="dxa" w:w="3480"/>
          </w:tcPr>
          <w:p>
            <w:r>
              <w:rPr>
                <w:b w:val="false"/>
                <w:bCs w:val="false"/>
                <w:color w:val="000000"/>
              </w:rPr>
              <w:t xml:space="preserve">Appliances, Art, Bookcases, Envelopes, Fasteners, Furnishings, Labels, Paper, Supplies</w:t>
            </w:r>
          </w:p>
        </w:tc>
        <w:tc>
          <w:tcPr>
            <w:tcW w:type="dxa" w:w="3500"/>
          </w:tcPr>
          <w:p>
            <w:r>
              <w:rPr>
                <w:b w:val="false"/>
                <w:bCs w:val="false"/>
                <w:color w:val="000000"/>
              </w:rPr>
              <w:t xml:space="preserve">Increase reorder quantities gradually; expand shelf space/supplier capacity.</w:t>
            </w:r>
          </w:p>
        </w:tc>
      </w:tr>
      <w:tr>
        <w:tc>
          <w:tcPr>
            <w:tcW w:type="dxa" w:w="3480"/>
          </w:tcPr>
          <w:p>
            <w:r>
              <w:rPr>
                <w:b w:val="false"/>
                <w:bCs w:val="false"/>
                <w:color w:val="000000"/>
              </w:rPr>
              <w:t xml:space="preserve">Low Volume, High Volatility</w:t>
            </w:r>
          </w:p>
        </w:tc>
        <w:tc>
          <w:tcPr>
            <w:tcW w:type="dxa" w:w="3480"/>
          </w:tcPr>
          <w:p>
            <w:r>
              <w:rPr>
                <w:b w:val="false"/>
                <w:bCs w:val="false"/>
                <w:color w:val="000000"/>
              </w:rPr>
              <w:t xml:space="preserve">Copiers</w:t>
            </w:r>
          </w:p>
        </w:tc>
        <w:tc>
          <w:tcPr>
            <w:tcW w:type="dxa" w:w="3500"/>
          </w:tcPr>
          <w:p>
            <w:r>
              <w:rPr>
                <w:b w:val="false"/>
                <w:bCs w:val="false"/>
                <w:color w:val="000000"/>
              </w:rPr>
              <w:t xml:space="preserve">Keep lean base stock; use short-lead-time suppliers for occasional large orders.</w:t>
            </w:r>
          </w:p>
        </w:tc>
      </w:tr>
      <w:tr>
        <w:tc>
          <w:tcPr>
            <w:tcW w:type="dxa" w:w="3480"/>
          </w:tcPr>
          <w:p>
            <w:r>
              <w:rPr>
                <w:b w:val="false"/>
                <w:bCs w:val="false"/>
                <w:color w:val="000000"/>
              </w:rPr>
              <w:t xml:space="preserve">Declining Demand</w:t>
            </w:r>
          </w:p>
        </w:tc>
        <w:tc>
          <w:tcPr>
            <w:tcW w:type="dxa" w:w="3480"/>
          </w:tcPr>
          <w:p>
            <w:r>
              <w:rPr>
                <w:b w:val="false"/>
                <w:bCs w:val="false"/>
                <w:color w:val="000000"/>
              </w:rPr>
              <w:t xml:space="preserve">Machines</w:t>
            </w:r>
          </w:p>
        </w:tc>
        <w:tc>
          <w:tcPr>
            <w:tcW w:type="dxa" w:w="3500"/>
          </w:tcPr>
          <w:p>
            <w:r>
              <w:rPr>
                <w:b w:val="false"/>
                <w:bCs w:val="false"/>
                <w:color w:val="000000"/>
              </w:rPr>
              <w:t xml:space="preserve">Reduce future purchase orders; consider clearance to free up capital.</w:t>
            </w:r>
          </w:p>
        </w:tc>
      </w:tr>
    </w:tbl>
    <w:p>
      <w:pPr>
        <w:pStyle w:val="Heading1"/>
        <w:spacing w:after="120" w:before="240"/>
      </w:pPr>
      <w:r>
        <w:t xml:space="preserve">Business Recommendations</w:t>
      </w:r>
    </w:p>
    <w:p>
      <w:pPr>
        <w:pStyle w:val="ListParagraph"/>
        <w:numPr>
          <w:ilvl w:val="0"/>
          <w:numId w:val="1"/>
        </w:numPr>
        <w:spacing w:after="80"/>
      </w:pPr>
      <w:r>
        <w:t xml:space="preserve">1. Build Q4 inventory buffers earlier. November and December consistently outsell every other month by 2-4x; ordering ahead of October avoids stockouts during the highest-revenue window of the year.</w:t>
      </w:r>
    </w:p>
    <w:p>
      <w:pPr>
        <w:pStyle w:val="ListParagraph"/>
        <w:numPr>
          <w:ilvl w:val="0"/>
          <w:numId w:val="1"/>
        </w:numPr>
        <w:spacing w:after="80"/>
      </w:pPr>
      <w:r>
        <w:t xml:space="preserve">2. Prioritize Office Supplies as the stable backbone of inventory planning. It shows the most resilient, least seasonally-volatile demand of the three product categories, making it the safest category for lean, steady-state stocking rules.</w:t>
      </w:r>
    </w:p>
    <w:p>
      <w:pPr>
        <w:pStyle w:val="ListParagraph"/>
        <w:numPr>
          <w:ilvl w:val="0"/>
          <w:numId w:val="1"/>
        </w:numPr>
        <w:spacing w:after="80"/>
      </w:pPr>
      <w:r>
        <w:t xml:space="preserve">3. Apply different purchasing rules per demand cluster rather than one blanket policy — funnel growth-category budget (Appliances, Furnishings, Paper, etc.) into expanding supply, while pulling back on Machines, which shows a genuine multi-year decline.</w:t>
      </w:r>
    </w:p>
    <w:p>
      <w:pPr>
        <w:pStyle w:val="Heading1"/>
        <w:spacing w:after="120" w:before="240"/>
      </w:pPr>
      <w:r>
        <w:t xml:space="preserve">Risk &amp; Limitation</w:t>
      </w:r>
    </w:p>
    <w:p>
      <w:pPr>
        <w:spacing w:after="120"/>
      </w:pPr>
      <w:r>
        <w:t xml:space="preserve">This system was trained on only 4 years of monthly data (44-45 data points used for training), and its 19-22% average forecast error was measured on a single 3-month holdout period. That's a small sample for a business decision tool — forecasts should be treated as directional planning guides, refreshed monthly as new data arrives, and paired with human judgment for high-stakes purchasing decisions rather than relied on as a standalone source of truth.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2026-07-08T05:12:56.089Z</dcterms:created>
  <dcterms:modified xsi:type="dcterms:W3CDTF">2026-07-08T05:12:56.089Z</dcterms:modified>
</cp:coreProperties>
</file>

<file path=docProps/custom.xml><?xml version="1.0" encoding="utf-8"?>
<Properties xmlns="http://schemas.openxmlformats.org/officeDocument/2006/custom-properties" xmlns:vt="http://schemas.openxmlformats.org/officeDocument/2006/docPropsVTypes"/>
</file>