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432cd1fe3517297004ccccb41cd136bd7953cb4"/>
    <w:p>
      <w:pPr>
        <w:pStyle w:val="Heading1"/>
      </w:pPr>
      <w:r>
        <w:t xml:space="preserve">Reflective Summary — Bank Marketing Distributed ML Project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rPr>
          <w:i/>
          <w:iCs/>
        </w:rPr>
        <w:t xml:space="preserve">Your Name Here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t xml:space="preserve">Distributed Machine Learning — AlmaBetter end-course capstone</w:t>
      </w:r>
    </w:p>
    <w:p>
      <w:r>
        <w:pict>
          <v:rect style="width:0;height:1.5pt" o:hralign="center" o:hrstd="t" o:hr="t"/>
        </w:pict>
      </w:r>
    </w:p>
    <w:bookmarkStart w:id="9" w:name="X90e67ed9f4d37b0d82e1723d84691a9fa6e2079"/>
    <w:p>
      <w:pPr>
        <w:pStyle w:val="Heading2"/>
      </w:pPr>
      <w:r>
        <w:t xml:space="preserve">1. What I set out to build</w:t>
      </w:r>
    </w:p>
    <w:p>
      <w:pPr>
        <w:pStyle w:val="FirstParagraph"/>
      </w:pPr>
      <w:r>
        <w:t xml:space="preserve">A single, reproducible project that exercises every major primitive of the modern distributed-ML stack — Hadoop-style storage, Hive</w:t>
      </w:r>
      <w:r>
        <w:t xml:space="preserve"> </w:t>
      </w:r>
      <w:r>
        <w:t xml:space="preserve">warehousing, Spark batch analytics, Spark ML, Spark Structured Streaming, and explicit parallelism tuning — on a realistic banking use case</w:t>
      </w:r>
      <w:r>
        <w:t xml:space="preserve"> </w:t>
      </w:r>
      <w:r>
        <w:t xml:space="preserve">(term-deposit subscription prediction on the UCI bank-marketing dataset).</w:t>
      </w:r>
    </w:p>
    <w:p>
      <w:pPr>
        <w:pStyle w:val="BodyText"/>
      </w:pPr>
      <w:r>
        <w:t xml:space="preserve">The deliverable was scoped to be</w:t>
      </w:r>
      <w:r>
        <w:t xml:space="preserve"> </w:t>
      </w:r>
      <w:r>
        <w:rPr>
          <w:b/>
          <w:bCs/>
        </w:rPr>
        <w:t xml:space="preserve">runnable on a single laptop or one-click in Colab</w:t>
      </w:r>
      <w:r>
        <w:t xml:space="preserve">, while remaining architecturally identical to what a</w:t>
      </w:r>
      <w:r>
        <w:t xml:space="preserve"> </w:t>
      </w:r>
      <w:r>
        <w:t xml:space="preserve">production bank would deploy on a real cluster. Every line of code in the notebook is something a senior data engineer would actually write —</w:t>
      </w:r>
      <w:r>
        <w:t xml:space="preserve"> </w:t>
      </w:r>
      <w:r>
        <w:t xml:space="preserve">nothing was scaled down for the sake of the assignment.</w:t>
      </w:r>
    </w:p>
    <w:p>
      <w:r>
        <w:pict>
          <v:rect style="width:0;height:1.5pt" o:hralign="center" o:hrstd="t" o:hr="t"/>
        </w:pict>
      </w:r>
    </w:p>
    <w:bookmarkEnd w:id="9"/>
    <w:bookmarkStart w:id="17" w:name="X486866f37ec17fa6d229d76e87c9364f6350660"/>
    <w:p>
      <w:pPr>
        <w:pStyle w:val="Heading2"/>
      </w:pPr>
      <w:r>
        <w:t xml:space="preserve">2. Challenges faced</w:t>
      </w:r>
    </w:p>
    <w:bookmarkStart w:id="10" w:name="Xcd77e225eea7c0d758575d26357d37a5d61c644"/>
    <w:p>
      <w:pPr>
        <w:pStyle w:val="Heading3"/>
      </w:pPr>
      <w:r>
        <w:t xml:space="preserve">2.1 No real Hadoop cluster on a Windows laptop</w:t>
      </w:r>
    </w:p>
    <w:p>
      <w:pPr>
        <w:pStyle w:val="FirstParagraph"/>
      </w:pPr>
      <w:r>
        <w:t xml:space="preserve">The most obvious challenge. Setting up real HDFS + Hive on Windows is genuinely painful (WinUtils, Cygwin paths, Derby locks, Hive server boot</w:t>
      </w:r>
      <w:r>
        <w:t xml:space="preserve"> </w:t>
      </w:r>
      <w:r>
        <w:t xml:space="preserve">times…), and even when it works, no grader can reasonably reproduce it. I deliberately chose to</w:t>
      </w:r>
      <w:r>
        <w:t xml:space="preserve"> </w:t>
      </w:r>
      <w:r>
        <w:rPr>
          <w:b/>
          <w:bCs/>
        </w:rPr>
        <w:t xml:space="preserve">simulate the storage and warehousing layer</w:t>
      </w:r>
      <w:r>
        <w:t xml:space="preserve"> </w:t>
      </w:r>
      <w:r>
        <w:t xml:space="preserve">using PySpark's</w:t>
      </w:r>
      <w:r>
        <w:t xml:space="preserve"> </w:t>
      </w:r>
      <w:r>
        <w:rPr>
          <w:rStyle w:val="VerbatimChar"/>
        </w:rPr>
        <w:t xml:space="preserve">enableHiveSupport()</w:t>
      </w:r>
      <w:r>
        <w:t xml:space="preserve"> </w:t>
      </w:r>
      <w:r>
        <w:t xml:space="preserve">with partitioned Parquet under</w:t>
      </w:r>
      <w:r>
        <w:t xml:space="preserve"> </w:t>
      </w:r>
      <w:r>
        <w:rPr>
          <w:rStyle w:val="VerbatimChar"/>
        </w:rPr>
        <w:t xml:space="preserve">warehouse/bank_parquet/</w:t>
      </w:r>
      <w:r>
        <w:t xml:space="preserve">. The semantics are identical to a real</w:t>
      </w:r>
      <w:r>
        <w:t xml:space="preserve"> </w:t>
      </w:r>
      <w:r>
        <w:t xml:space="preserve">HDFS+Hive deployment: same directory layout, same</w:t>
      </w:r>
      <w:r>
        <w:t xml:space="preserve"> </w:t>
      </w:r>
      <w:r>
        <w:rPr>
          <w:rStyle w:val="VerbatimChar"/>
        </w:rPr>
        <w:t xml:space="preserve">MSCK REPAIR TABLE</w:t>
      </w:r>
      <w:r>
        <w:t xml:space="preserve">, same HiveQL. To prove this, I shipped real</w:t>
      </w:r>
      <w:r>
        <w:t xml:space="preserve"> </w:t>
      </w:r>
      <w:r>
        <w:rPr>
          <w:rStyle w:val="VerbatimChar"/>
        </w:rPr>
        <w:t xml:space="preserve">.hql</w:t>
      </w:r>
      <w:r>
        <w:t xml:space="preserve"> </w:t>
      </w:r>
      <w:r>
        <w:t xml:space="preserve">scripts in</w:t>
      </w:r>
      <w:r>
        <w:t xml:space="preserve"> </w:t>
      </w:r>
      <w:r>
        <w:rPr>
          <w:rStyle w:val="VerbatimChar"/>
        </w:rPr>
        <w:t xml:space="preserve">src/hive/</w:t>
      </w:r>
      <w:r>
        <w:t xml:space="preserve"> </w:t>
      </w:r>
      <w:r>
        <w:t xml:space="preserve">that would run unchanged on a real Hive engine.</w:t>
      </w:r>
    </w:p>
    <w:p>
      <w:pPr>
        <w:pStyle w:val="BodyText"/>
      </w:pPr>
      <w:r>
        <w:rPr>
          <w:b/>
          <w:bCs/>
        </w:rPr>
        <w:t xml:space="preserve">Trade-off accepted:</w:t>
      </w:r>
      <w:r>
        <w:t xml:space="preserve"> </w:t>
      </w:r>
      <w:r>
        <w:t xml:space="preserve">the demo is not "true Hadoop" but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faithful to Hadoop+Hive semantics and is reproducible by anyone with Python.</w:t>
      </w:r>
    </w:p>
    <w:bookmarkEnd w:id="10"/>
    <w:bookmarkStart w:id="11" w:name="X2e132c92060e84c12f514168eb3419e972f39ad"/>
    <w:p>
      <w:pPr>
        <w:pStyle w:val="Heading3"/>
      </w:pPr>
      <w:r>
        <w:t xml:space="preserve">2.2 Data leakage hidden in plain sight</w:t>
      </w:r>
    </w:p>
    <w:p>
      <w:pPr>
        <w:pStyle w:val="FirstParagraph"/>
      </w:pPr>
      <w:r>
        <w:rPr>
          <w:rStyle w:val="VerbatimChar"/>
        </w:rPr>
        <w:t xml:space="preserve">duration</w:t>
      </w:r>
      <w:r>
        <w:t xml:space="preserve"> </w:t>
      </w:r>
      <w:r>
        <w:t xml:space="preserve">is the strongest correlate of the target (r ≈ +0.40), but it is</w:t>
      </w:r>
      <w:r>
        <w:t xml:space="preserve"> </w:t>
      </w:r>
      <w:r>
        <w:rPr>
          <w:b/>
          <w:bCs/>
        </w:rPr>
        <w:t xml:space="preserve">known only after the call has ended</w:t>
      </w:r>
      <w:r>
        <w:t xml:space="preserve"> </w:t>
      </w:r>
      <w:r>
        <w:t xml:space="preserve">— so using it as a</w:t>
      </w:r>
      <w:r>
        <w:t xml:space="preserve"> </w:t>
      </w:r>
      <w:r>
        <w:rPr>
          <w:i/>
          <w:iCs/>
        </w:rPr>
        <w:t xml:space="preserve">pre-call</w:t>
      </w:r>
      <w:r>
        <w:t xml:space="preserve"> </w:t>
      </w:r>
      <w:r>
        <w:t xml:space="preserve">lead-scoring feature is data leakage. It would have been the easy path to leave it in and brag about a 0.92 ROC-AUC; instead I</w:t>
      </w:r>
      <w:r>
        <w:t xml:space="preserve"> </w:t>
      </w:r>
      <w:r>
        <w:t xml:space="preserve">removed it from the feature set, kept the EDA discussion of its predictive power for a</w:t>
      </w:r>
      <w:r>
        <w:t xml:space="preserve"> </w:t>
      </w:r>
      <w:r>
        <w:rPr>
          <w:i/>
          <w:iCs/>
        </w:rPr>
        <w:t xml:space="preserve">call-quality</w:t>
      </w:r>
      <w:r>
        <w:t xml:space="preserve"> </w:t>
      </w:r>
      <w:r>
        <w:t xml:space="preserve">model, and accepted a more honest</w:t>
      </w:r>
      <w:r>
        <w:t xml:space="preserve"> </w:t>
      </w:r>
      <w:r>
        <w:t xml:space="preserve">ROC-AUC around 0.85.</w:t>
      </w:r>
    </w:p>
    <w:p>
      <w:pPr>
        <w:pStyle w:val="BodyText"/>
      </w:pPr>
      <w:r>
        <w:t xml:space="preserve">This was the single most important modelling decision in the project and one of the easiest to get wrong.</w:t>
      </w:r>
    </w:p>
    <w:bookmarkEnd w:id="11"/>
    <w:bookmarkStart w:id="12" w:name="X7b2639b260f29383e9f18062c76078de7c61a8d"/>
    <w:p>
      <w:pPr>
        <w:pStyle w:val="Heading3"/>
      </w:pPr>
      <w:r>
        <w:t xml:space="preserve">2.3 Class imbalance</w:t>
      </w:r>
    </w:p>
    <w:p>
      <w:pPr>
        <w:pStyle w:val="FirstParagraph"/>
      </w:pPr>
      <w:r>
        <w:t xml:space="preserve">The positive class is ~11.5%. Accuracy is a useless metric here — a constant-</w:t>
      </w:r>
      <w:r>
        <w:rPr>
          <w:rStyle w:val="VerbatimChar"/>
        </w:rPr>
        <w:t xml:space="preserve">no</w:t>
      </w:r>
      <w:r>
        <w:t xml:space="preserve"> </w:t>
      </w:r>
      <w:r>
        <w:t xml:space="preserve">classifier scores 88.5%. I leaned hard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ROC-AUC + F1 + weighted precision/recall</w:t>
      </w:r>
      <w:r>
        <w:t xml:space="preserve"> </w:t>
      </w:r>
      <w:r>
        <w:t xml:space="preserve">as the headline metric suite.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weights</w:t>
      </w:r>
      <w:r>
        <w:t xml:space="preserve"> </w:t>
      </w:r>
      <w:r>
        <w:t xml:space="preserve">in Logistic Regression rather than SMOTE/oversampling, because weights are deterministic and don't inflate shuffle volume.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Tree ensembles unweighted</w:t>
      </w:r>
      <w:r>
        <w:t xml:space="preserve"> </w:t>
      </w:r>
      <w:r>
        <w:t xml:space="preserve">for comparison — they handle imbalance reasonably well natively.</w:t>
      </w:r>
    </w:p>
    <w:p>
      <w:pPr>
        <w:pStyle w:val="FirstParagraph"/>
      </w:pPr>
      <w:r>
        <w:t xml:space="preserve">Choosing the metric and writing about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was as much work as fitting the models.</w:t>
      </w:r>
    </w:p>
    <w:bookmarkEnd w:id="12"/>
    <w:bookmarkStart w:id="13" w:name="Xca78633e252077058ea6a05514dc4c7f6b89038"/>
    <w:p>
      <w:pPr>
        <w:pStyle w:val="Heading3"/>
      </w:pPr>
      <w:r>
        <w:t xml:space="preserve">2.4 Streaming inside a notebook</w:t>
      </w:r>
    </w:p>
    <w:p>
      <w:pPr>
        <w:pStyle w:val="FirstParagraph"/>
      </w:pPr>
      <w:r>
        <w:t xml:space="preserve">Structured Streaming wants to run forever. A notebook wants to terminate cleanly. The compromise: a</w:t>
      </w:r>
      <w:r>
        <w:t xml:space="preserve"> </w:t>
      </w:r>
      <w:r>
        <w:rPr>
          <w:rStyle w:val="VerbatimChar"/>
        </w:rPr>
        <w:t xml:space="preserve">format("memory")</w:t>
      </w:r>
      <w:r>
        <w:t xml:space="preserve"> </w:t>
      </w:r>
      <w:r>
        <w:t xml:space="preserve">sink + a short</w:t>
      </w:r>
      <w:r>
        <w:t xml:space="preserve"> </w:t>
      </w:r>
      <w:r>
        <w:rPr>
          <w:rStyle w:val="VerbatimChar"/>
        </w:rPr>
        <w:t xml:space="preserve">time.sleep</w:t>
      </w:r>
      <w:r>
        <w:t xml:space="preserve"> </w:t>
      </w:r>
      <w:r>
        <w:t xml:space="preserve">+ an explicit</w:t>
      </w:r>
      <w:r>
        <w:t xml:space="preserve"> </w:t>
      </w:r>
      <w:r>
        <w:rPr>
          <w:rStyle w:val="VerbatimChar"/>
        </w:rPr>
        <w:t xml:space="preserve">query.stop()</w:t>
      </w:r>
      <w:r>
        <w:t xml:space="preserve">. The standalone consumer in</w:t>
      </w:r>
      <w:r>
        <w:t xml:space="preserve"> </w:t>
      </w:r>
      <w:r>
        <w:rPr>
          <w:rStyle w:val="VerbatimChar"/>
        </w:rPr>
        <w:t xml:space="preserve">src/streaming/streaming_consumer.py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--forever</w:t>
      </w:r>
      <w:r>
        <w:t xml:space="preserve"> </w:t>
      </w:r>
      <w:r>
        <w:t xml:space="preserve">for the</w:t>
      </w:r>
      <w:r>
        <w:t xml:space="preserve"> </w:t>
      </w:r>
      <w:r>
        <w:t xml:space="preserve">real-world use case. This pattern took several iterations to get right because</w:t>
      </w:r>
      <w:r>
        <w:t xml:space="preserve"> </w:t>
      </w:r>
      <w:r>
        <w:rPr>
          <w:rStyle w:val="VerbatimChar"/>
        </w:rPr>
        <w:t xml:space="preserve">outputMode("complete")</w:t>
      </w:r>
      <w:r>
        <w:t xml:space="preserve"> </w:t>
      </w:r>
      <w:r>
        <w:t xml:space="preserve">does not play well with arbitrary</w:t>
      </w:r>
      <w:r>
        <w:t xml:space="preserve"> </w:t>
      </w:r>
      <w:r>
        <w:t xml:space="preserve">windows on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-only data unless you set up the watermark correctly.</w:t>
      </w:r>
    </w:p>
    <w:bookmarkEnd w:id="13"/>
    <w:bookmarkStart w:id="14" w:name="Xc7681c5c326bfc61894711becf9260dc93c5ee6"/>
    <w:p>
      <w:pPr>
        <w:pStyle w:val="Heading3"/>
      </w:pPr>
      <w:r>
        <w:t xml:space="preserve">2.5 Reproducibility across Colab and local Jupyter</w:t>
      </w:r>
    </w:p>
    <w:p>
      <w:pPr>
        <w:pStyle w:val="FirstParagraph"/>
      </w:pPr>
      <w:r>
        <w:t xml:space="preserve">Pinning</w:t>
      </w:r>
      <w:r>
        <w:t xml:space="preserve"> </w:t>
      </w:r>
      <w:r>
        <w:rPr>
          <w:rStyle w:val="VerbatimChar"/>
        </w:rPr>
        <w:t xml:space="preserve">pyspark==3.5.1</w:t>
      </w:r>
      <w:r>
        <w:t xml:space="preserve">, using a conditional pip install in cell 1, and resolving the data path through a small helper (so the same notebook</w:t>
      </w:r>
      <w:r>
        <w:t xml:space="preserve"> </w:t>
      </w:r>
      <w:r>
        <w:t xml:space="preserve">works whether you cloned the repo, uploaded a CSV to Colab, or fell back to a download URL) — none of this is rocket science but each step</w:t>
      </w:r>
      <w:r>
        <w:t xml:space="preserve"> </w:t>
      </w:r>
      <w:r>
        <w:t xml:space="preserve">was an opportunity to ship a notebook that "works on my machine" and fails for a grader. I built</w:t>
      </w:r>
      <w:r>
        <w:t xml:space="preserve"> </w:t>
      </w:r>
      <w:r>
        <w:rPr>
          <w:rStyle w:val="VerbatimChar"/>
        </w:rPr>
        <w:t xml:space="preserve">tools/validate_notebook.py</w:t>
      </w:r>
      <w:r>
        <w:t xml:space="preserve"> </w:t>
      </w:r>
      <w:r>
        <w:t xml:space="preserve">to statically</w:t>
      </w:r>
      <w:r>
        <w:t xml:space="preserve"> </w:t>
      </w:r>
      <w:r>
        <w:t xml:space="preserve">catch the most common breakage modes (JSON validity, AST-level Python errors, schema drift in</w:t>
      </w:r>
      <w:r>
        <w:t xml:space="preserve"> </w:t>
      </w:r>
      <w:r>
        <w:rPr>
          <w:rStyle w:val="VerbatimChar"/>
        </w:rPr>
        <w:t xml:space="preserve">bank.csv</w:t>
      </w:r>
      <w:r>
        <w:t xml:space="preserve">).</w:t>
      </w:r>
    </w:p>
    <w:bookmarkEnd w:id="14"/>
    <w:bookmarkStart w:id="15" w:name="Xb67f934fd0c6e261ed0bc520db02d79d7b465fb"/>
    <w:p>
      <w:pPr>
        <w:pStyle w:val="Heading3"/>
      </w:pPr>
      <w:r>
        <w:t xml:space="preserve">2.6 Hive metastore Derby locks on Windows</w:t>
      </w:r>
    </w:p>
    <w:p>
      <w:pPr>
        <w:pStyle w:val="FirstParagraph"/>
      </w:pPr>
      <w:r>
        <w:t xml:space="preserve">Re-running the notebook without calling</w:t>
      </w:r>
      <w:r>
        <w:t xml:space="preserve"> </w:t>
      </w:r>
      <w:r>
        <w:rPr>
          <w:rStyle w:val="VerbatimChar"/>
        </w:rPr>
        <w:t xml:space="preserve">spark.stop()</w:t>
      </w:r>
      <w:r>
        <w:t xml:space="preserve"> </w:t>
      </w:r>
      <w:r>
        <w:t xml:space="preserve">first sometimes leaves a Derby lock that prevents the next</w:t>
      </w:r>
      <w:r>
        <w:t xml:space="preserve"> </w:t>
      </w:r>
      <w:r>
        <w:rPr>
          <w:rStyle w:val="VerbatimChar"/>
        </w:rPr>
        <w:t xml:space="preserve">SparkSession</w:t>
      </w:r>
      <w:r>
        <w:t xml:space="preserve"> </w:t>
      </w:r>
      <w:r>
        <w:t xml:space="preserve">from</w:t>
      </w:r>
      <w:r>
        <w:t xml:space="preserve"> </w:t>
      </w:r>
      <w:r>
        <w:t xml:space="preserve">acquiring the metastore. The fix is in the doc (</w:t>
      </w:r>
      <w:r>
        <w:rPr>
          <w:rStyle w:val="VerbatimChar"/>
        </w:rPr>
        <w:t xml:space="preserve">docs/TECHNICAL_DOCUMENT.md</w:t>
      </w:r>
      <w:r>
        <w:t xml:space="preserve"> </w:t>
      </w:r>
      <w:r>
        <w:t xml:space="preserve">§9 row 5): always call</w:t>
      </w:r>
      <w:r>
        <w:t xml:space="preserve"> </w:t>
      </w:r>
      <w:r>
        <w:rPr>
          <w:rStyle w:val="VerbatimChar"/>
        </w:rPr>
        <w:t xml:space="preserve">spark.stop()</w:t>
      </w:r>
      <w:r>
        <w:t xml:space="preserve">, and if a lock persists,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metastore_db/</w:t>
      </w:r>
      <w:r>
        <w:t xml:space="preserve">. Annoying but inherent to the in-process metastore.</w:t>
      </w:r>
    </w:p>
    <w:bookmarkEnd w:id="15"/>
    <w:bookmarkStart w:id="16" w:name="Xb3cef104a4bb6942363fda8de371d7fedcdb895"/>
    <w:p>
      <w:pPr>
        <w:pStyle w:val="Heading3"/>
      </w:pPr>
      <w:r>
        <w:t xml:space="preserve">2.7 Documenting versus building</w:t>
      </w:r>
    </w:p>
    <w:p>
      <w:pPr>
        <w:pStyle w:val="FirstParagraph"/>
      </w:pPr>
      <w:r>
        <w:t xml:space="preserve">By far the most time-consuming part of the project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code — it was writing the 17 chart-level</w:t>
      </w:r>
      <w:r>
        <w:t xml:space="preserve"> </w:t>
      </w:r>
      <w:r>
        <w:rPr>
          <w:i/>
          <w:iCs/>
        </w:rPr>
        <w:t xml:space="preserve">why/insight/business-impact</w:t>
      </w:r>
      <w:r>
        <w:t xml:space="preserve"> </w:t>
      </w:r>
      <w:r>
        <w:t xml:space="preserve">triples, the technical document, the video script, and this reflection. Distributed-ML projects are evaluated as much on the clarity of the</w:t>
      </w:r>
      <w:r>
        <w:t xml:space="preserve"> </w:t>
      </w:r>
      <w:r>
        <w:t xml:space="preserve">storytelling as on the code; that lesson was reinforced repeatedly.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5ebc384c54ec91f5e338c2cae7f10589383af8c"/>
    <w:p>
      <w:pPr>
        <w:pStyle w:val="Heading2"/>
      </w:pPr>
      <w:r>
        <w:t xml:space="preserve">3. What I learned</w:t>
      </w:r>
    </w:p>
    <w:bookmarkStart w:id="18" w:name="X76a9dec6b4b4d9179888edf4f8e3f32a36eb376"/>
    <w:p>
      <w:pPr>
        <w:pStyle w:val="Heading3"/>
      </w:pPr>
      <w:r>
        <w:t xml:space="preserve">3.1 Distributed-ML mental 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Spark, many surfaces.</w:t>
      </w:r>
      <w:r>
        <w:t xml:space="preserve"> </w:t>
      </w:r>
      <w:r>
        <w:t xml:space="preserve">The same DataFrame API powers SQL, ML, and Streaming. Once you internalise this, you stop reaching for</w:t>
      </w:r>
      <w:r>
        <w:t xml:space="preserve"> </w:t>
      </w:r>
      <w:r>
        <w:t xml:space="preserve">per-domain frameworks (a separate Flink for streaming, a separate Presto for SQL) and start reusing one toolkit.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shuffle is the enemy.</w:t>
      </w:r>
      <w:r>
        <w:t xml:space="preserve"> </w:t>
      </w:r>
      <w:r>
        <w:t xml:space="preserve">Most Spark performance work boils down to "don't shuffle, or if you must, shuffle once and cache the result."</w:t>
      </w:r>
      <w:r>
        <w:t xml:space="preserve"> </w:t>
      </w:r>
      <w:r>
        <w:rPr>
          <w:rStyle w:val="VerbatimChar"/>
        </w:rPr>
        <w:t xml:space="preserve">.explain()</w:t>
      </w:r>
      <w:r>
        <w:t xml:space="preserve"> </w:t>
      </w:r>
      <w:r>
        <w:t xml:space="preserve">becomes second nature.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Pipelines are the API contract.</w:t>
      </w:r>
      <w:r>
        <w:t xml:space="preserve"> </w:t>
      </w:r>
      <w:r>
        <w:t xml:space="preserve">Wrapping every transformation in a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so that the saved model carries its preprocessing with</w:t>
      </w:r>
      <w:r>
        <w:t xml:space="preserve"> </w:t>
      </w:r>
      <w:r>
        <w:t xml:space="preserve">it is the single most important production discipline I picked up. It is the difference between "the model worked in my notebook" and</w:t>
      </w:r>
      <w:r>
        <w:t xml:space="preserve"> </w:t>
      </w:r>
      <w:r>
        <w:t xml:space="preserve">"the model worked in production".</w:t>
      </w:r>
    </w:p>
    <w:bookmarkEnd w:id="18"/>
    <w:bookmarkStart w:id="19" w:name="X949865cd1630887f227379e9dbc72e23b91af65"/>
    <w:p>
      <w:pPr>
        <w:pStyle w:val="Heading3"/>
      </w:pPr>
      <w:r>
        <w:t xml:space="preserve">3.2 Metric discipline on imbalanced banking targets</w:t>
      </w:r>
    </w:p>
    <w:p>
      <w:pPr>
        <w:pStyle w:val="FirstParagraph"/>
      </w:pPr>
      <w:r>
        <w:t xml:space="preserve">For any real-world bank target — fraud, churn, default, marketing response — class imbalance is the norm, not the exception. The</w:t>
      </w:r>
      <w:r>
        <w:t xml:space="preserve"> </w:t>
      </w:r>
      <w:r>
        <w:t xml:space="preserve">single-most-impactful skill is the habit of writing down the</w:t>
      </w:r>
      <w:r>
        <w:t xml:space="preserve"> </w:t>
      </w:r>
      <w:r>
        <w:rPr>
          <w:b/>
          <w:bCs/>
        </w:rPr>
        <w:t xml:space="preserve">business interpretation of each metric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choose the headline</w:t>
      </w:r>
      <w:r>
        <w:t xml:space="preserve"> </w:t>
      </w:r>
      <w:r>
        <w:t xml:space="preserve">number. ROC-AUC, F1, precision, recall each answer a different operational question; picking the right one is a business decision dressed up</w:t>
      </w:r>
      <w:r>
        <w:t xml:space="preserve"> </w:t>
      </w:r>
      <w:r>
        <w:t xml:space="preserve">as a technical one.</w:t>
      </w:r>
    </w:p>
    <w:bookmarkEnd w:id="19"/>
    <w:bookmarkStart w:id="20" w:name="Xadfd0246d61e89e3a9cd6f84f28f25ebd139186"/>
    <w:p>
      <w:pPr>
        <w:pStyle w:val="Heading3"/>
      </w:pPr>
      <w:r>
        <w:t xml:space="preserve">3.3 Why streaming on the same cluster matters</w:t>
      </w:r>
    </w:p>
    <w:p>
      <w:pPr>
        <w:pStyle w:val="FirstParagraph"/>
      </w:pPr>
      <w:r>
        <w:t xml:space="preserve">Re-using the same Spark cluster (and the same engineering team) for both offline scoring and real-time fraud monitoring is the</w:t>
      </w:r>
      <w:r>
        <w:t xml:space="preserve"> </w:t>
      </w:r>
      <w:r>
        <w:rPr>
          <w:b/>
          <w:bCs/>
        </w:rPr>
        <w:t xml:space="preserve">unified</w:t>
      </w:r>
      <w:r>
        <w:rPr>
          <w:b/>
          <w:bCs/>
        </w:rPr>
        <w:t xml:space="preserve"> </w:t>
      </w:r>
      <w:r>
        <w:rPr>
          <w:b/>
          <w:bCs/>
        </w:rPr>
        <w:t xml:space="preserve">data platform</w:t>
      </w:r>
      <w:r>
        <w:t xml:space="preserve"> </w:t>
      </w:r>
      <w:r>
        <w:t xml:space="preserve">narrative that justifies the cost of distributed infrastructure to a CFO. Demonstrating both in the same notebook —</w:t>
      </w:r>
      <w:r>
        <w:t xml:space="preserve"> </w:t>
      </w:r>
      <w:r>
        <w:t xml:space="preserve">literally, in adjacent sections — was a small thing technically but a big thing rhetorically.</w:t>
      </w:r>
    </w:p>
    <w:bookmarkEnd w:id="20"/>
    <w:bookmarkStart w:id="21" w:name="Xc1dd2216a2a3b11a0251072daf58b9e8bed52f9"/>
    <w:p>
      <w:pPr>
        <w:pStyle w:val="Heading3"/>
      </w:pPr>
      <w:r>
        <w:t xml:space="preserve">3.4 The HiveQL/Spark SQL surface still matters</w:t>
      </w:r>
    </w:p>
    <w:p>
      <w:pPr>
        <w:pStyle w:val="FirstParagraph"/>
      </w:pPr>
      <w:r>
        <w:t xml:space="preserve">It is tempting to treat SQL as legacy. In practice, every bank's marketing and risk team thinks in SQL. Shipping the project with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HiveQL queries</w:t>
      </w:r>
      <w:r>
        <w:t xml:space="preserve"> </w:t>
      </w:r>
      <w:r>
        <w:t xml:space="preserve">(not just DataFrame chains) is what lets the BI team adopt the work without a translation step. That alone is often the</w:t>
      </w:r>
      <w:r>
        <w:t xml:space="preserve"> </w:t>
      </w:r>
      <w:r>
        <w:t xml:space="preserve">difference between a model getting used and a model gathering dust.</w:t>
      </w:r>
    </w:p>
    <w:bookmarkEnd w:id="21"/>
    <w:bookmarkStart w:id="22" w:name="X5d38d2eb77a315aaf7ac86634ddefe86d9797b9"/>
    <w:p>
      <w:pPr>
        <w:pStyle w:val="Heading3"/>
      </w:pPr>
      <w:r>
        <w:t xml:space="preserve">3.5 Communication is the deliverable</w:t>
      </w:r>
    </w:p>
    <w:p>
      <w:pPr>
        <w:pStyle w:val="FirstParagraph"/>
      </w:pPr>
      <w:r>
        <w:t xml:space="preserve">A capstone is graded on documentation and presentation just as much as on code. Building the technical document and the video script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parallel with the notebook</w:t>
      </w:r>
      <w:r>
        <w:t xml:space="preserve"> </w:t>
      </w:r>
      <w:r>
        <w:t xml:space="preserve">— instead of bolting them on at the end — kept the storyline tight and surfaced gaps in the analysis early.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1620a459439c35ce3f9eb60680dc404f94bce90"/>
    <w:p>
      <w:pPr>
        <w:pStyle w:val="Heading2"/>
      </w:pPr>
      <w:r>
        <w:t xml:space="preserve">4. What I would do differently next time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with the video script first.</w:t>
      </w:r>
      <w:r>
        <w:t xml:space="preserve"> </w:t>
      </w:r>
      <w:r>
        <w:t xml:space="preserve">Forcing yourself to summarise the project in 15 minutes of speech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write any code</w:t>
      </w:r>
      <w:r>
        <w:t xml:space="preserve"> </w:t>
      </w:r>
      <w:r>
        <w:t xml:space="preserve">reveals which parts of the architecture you actually understand vs. which parts you are hiding behind tooling. I will start with the</w:t>
      </w:r>
      <w:r>
        <w:t xml:space="preserve"> </w:t>
      </w:r>
      <w:r>
        <w:t xml:space="preserve">script on the next project.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a CI hook.</w:t>
      </w:r>
      <w:r>
        <w:t xml:space="preserve"> </w:t>
      </w:r>
      <w:r>
        <w:rPr>
          <w:rStyle w:val="VerbatimChar"/>
        </w:rPr>
        <w:t xml:space="preserve">tools/validate_notebook.py</w:t>
      </w:r>
      <w:r>
        <w:t xml:space="preserve"> </w:t>
      </w:r>
      <w:r>
        <w:t xml:space="preserve">should run on every commit, not just on demand. A GitHub Actions workflow that</w:t>
      </w:r>
      <w:r>
        <w:t xml:space="preserve"> </w:t>
      </w:r>
      <w:r>
        <w:t xml:space="preserve">re-builds the notebook from the builder script, runs the static validator, and (in Colab-emulating mode) executes cells 0–4 would catch</w:t>
      </w:r>
      <w:r>
        <w:t xml:space="preserve"> </w:t>
      </w:r>
      <w:r>
        <w:t xml:space="preserve">regressions instantly.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MLflow from day one.</w:t>
      </w:r>
      <w:r>
        <w:t xml:space="preserve"> </w:t>
      </w:r>
      <w:r>
        <w:t xml:space="preserve">I tracked metrics manually in a JSON file. Wiring MLflow in from the first model run would have given me a</w:t>
      </w:r>
      <w:r>
        <w:t xml:space="preserve"> </w:t>
      </w:r>
      <w:r>
        <w:t xml:space="preserve">proper experiment history rather than a single best-of-three snapshot.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Kafka, even if local.</w:t>
      </w:r>
      <w:r>
        <w:t xml:space="preserve"> </w:t>
      </w:r>
      <w:r>
        <w:t xml:space="preserve">A single-node Kafka in Docker would have been one extra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and would have removed the</w:t>
      </w:r>
      <w:r>
        <w:t xml:space="preserve"> </w:t>
      </w:r>
      <w:r>
        <w:t xml:space="preserve">file-source streaming caveat. Worth the half-hour next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Threshold tuning as a first-class step.</w:t>
      </w:r>
      <w:r>
        <w:t xml:space="preserve"> </w:t>
      </w:r>
      <w:r>
        <w:t xml:space="preserve">The notebook stops at probabilistic scoring; in a real deployment the threshold is set on the</w:t>
      </w:r>
      <w:r>
        <w:t xml:space="preserve"> </w:t>
      </w:r>
      <w:r>
        <w:t xml:space="preserve">precision/recall curve to match call-centre capacity. That sub-section deserves its own treatment.</w:t>
      </w:r>
    </w:p>
    <w:p>
      <w:r>
        <w:pict>
          <v:rect style="width:0;height:1.5pt" o:hralign="center" o:hrstd="t" o:hr="t"/>
        </w:pict>
      </w:r>
    </w:p>
    <w:bookmarkEnd w:id="24"/>
    <w:bookmarkStart w:id="25" w:name="X6e339bbb1474ce373228f7f95603f3cda61eb1d"/>
    <w:p>
      <w:pPr>
        <w:pStyle w:val="Heading2"/>
      </w:pPr>
      <w:r>
        <w:t xml:space="preserve">5. Closing thought</w:t>
      </w:r>
    </w:p>
    <w:p>
      <w:pPr>
        <w:pStyle w:val="FirstParagraph"/>
      </w:pPr>
      <w:r>
        <w:t xml:space="preserve">Distributed ML is, more than anything else,</w:t>
      </w:r>
      <w:r>
        <w:t xml:space="preserve"> </w:t>
      </w:r>
      <w:r>
        <w:rPr>
          <w:b/>
          <w:bCs/>
        </w:rPr>
        <w:t xml:space="preserve">an exercise in restraint</w:t>
      </w:r>
      <w:r>
        <w:t xml:space="preserve"> </w:t>
      </w:r>
      <w:r>
        <w:t xml:space="preserve">— the temptation is always to over-engineer (more partitions! more</w:t>
      </w:r>
      <w:r>
        <w:t xml:space="preserve"> </w:t>
      </w:r>
      <w:r>
        <w:t xml:space="preserve">trees! Kafka! Airflow!) when what the business actually needs is a single end-to-end pipeline that</w:t>
      </w:r>
      <w:r>
        <w:t xml:space="preserve"> </w:t>
      </w:r>
      <w:r>
        <w:rPr>
          <w:i/>
          <w:iCs/>
        </w:rPr>
        <w:t xml:space="preserve">works in one click and tells a clear</w:t>
      </w:r>
      <w:r>
        <w:rPr>
          <w:i/>
          <w:iCs/>
        </w:rPr>
        <w:t xml:space="preserve"> </w:t>
      </w:r>
      <w:r>
        <w:rPr>
          <w:i/>
          <w:iCs/>
        </w:rPr>
        <w:t xml:space="preserve">story</w:t>
      </w:r>
      <w:r>
        <w:t xml:space="preserve">. This project tried to keep that discipline. The headline numbers are honest, the trade-offs are documented, and the code runs in</w:t>
      </w:r>
      <w:r>
        <w:t xml:space="preserve"> </w:t>
      </w:r>
      <w:r>
        <w:t xml:space="preserve">Colab without manual intervention. That, I think, is what the assignment was really asking for.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2026-05-12T17:43:16Z</dcterms:created>
  <dcterms:modified xsi:type="dcterms:W3CDTF">2026-05-12T17:43:16Z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