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 — Integrated Retail Analytics</w:t>
      </w:r>
    </w:p>
    <w:p/>
    <w:p>
      <w:r>
        <w:rPr>
          <w:b/>
        </w:rPr>
        <w:t>Project:</w:t>
      </w:r>
      <w:r>
        <w:t xml:space="preserve"> Integrated Retail Analytics for Store Optimization and Demand Forecasting</w:t>
      </w:r>
    </w:p>
    <w:p>
      <w:r>
        <w:rPr>
          <w:b/>
        </w:rPr>
        <w:t>Course:</w:t>
      </w:r>
      <w:r>
        <w:t xml:space="preserve"> Advanced Machine Learning End-Course Project (AlmaBetter)</w:t>
      </w:r>
    </w:p>
    <w:p>
      <w:r>
        <w:rPr>
          <w:b/>
        </w:rPr>
        <w:t>Author:</w:t>
      </w:r>
      <w:r>
        <w:t xml:space="preserve"> [Your Name] — individual submission</w:t>
      </w:r>
    </w:p>
    <w:p>
      <w:r>
        <w:rPr>
          <w:b/>
        </w:rPr>
        <w:t>Date:</w:t>
      </w:r>
      <w:r>
        <w:t xml:space="preserve"> [DD MMM YYYY]</w:t>
      </w:r>
    </w:p>
    <w:p/>
    <w:p>
      <w:pPr>
        <w:pStyle w:val="IntenseQuote"/>
      </w:pPr>
      <w:r>
        <w:t>*Paste-ready for Google Docs. All references to "Figure X" point to the corresponding PNG in</w:t>
      </w:r>
    </w:p>
    <w:p>
      <w:pPr>
        <w:pStyle w:val="IntenseQuote"/>
      </w:pPr>
      <w:r>
        <w:rPr>
          <w:rFonts w:ascii="Consolas" w:hAnsi="Consolas"/>
          <w:sz w:val="20"/>
        </w:rPr>
        <w:t>outputs/figures/</w:t>
      </w:r>
      <w:r>
        <w:t>; insert the screenshot at the cited place.*</w:t>
      </w:r>
    </w:p>
    <w:p/>
    <w:p>
      <w:r>
        <w:br/>
      </w:r>
    </w:p>
    <w:p/>
    <w:p>
      <w:pPr>
        <w:pStyle w:val="Heading1"/>
      </w:pPr>
      <w:r>
        <w:t>1. Executive Summary</w:t>
      </w:r>
    </w:p>
    <w:p/>
    <w:p>
      <w:r>
        <w:t>This document describes a unified machine-learning pipeline that addresses four operational</w:t>
      </w:r>
    </w:p>
    <w:p>
      <w:r>
        <w:t>problems faced by retail planners every week — anomaly detection, store segmentation, demand</w:t>
      </w:r>
    </w:p>
    <w:p>
      <w:r>
        <w:t>forecasting, and product association mining — on the Walmart weekly-sales dataset (45 stores,</w:t>
      </w:r>
    </w:p>
    <w:p>
      <w:r>
        <w:t>81 departments, 421,570 weekly observations between February 2010 and October 2012). Each of</w:t>
      </w:r>
    </w:p>
    <w:p>
      <w:r>
        <w:t>the twelve models implemented is paired with an explicit business interpretation: which store</w:t>
      </w:r>
    </w:p>
    <w:p>
      <w:r>
        <w:t>to allocate markdown budget to, which departments to cross-merchandise, how to size safety</w:t>
      </w:r>
    </w:p>
    <w:p>
      <w:r>
        <w:t>stock, and when to expect a holiday sales spike.</w:t>
      </w:r>
    </w:p>
    <w:p/>
    <w:p>
      <w:r>
        <w:t>The chosen production model — a tuned XGBoost regressor on lag- and calendar-engineered</w:t>
      </w:r>
    </w:p>
    <w:p>
      <w:r>
        <w:t xml:space="preserve">features — minimises Walmart's official competition metric </w:t>
      </w:r>
      <w:r>
        <w:rPr>
          <w:b/>
        </w:rPr>
        <w:t>WMAE</w:t>
      </w:r>
      <w:r>
        <w:t xml:space="preserve"> (Weighted Mean Absolute</w:t>
      </w:r>
    </w:p>
    <w:p>
      <w:r>
        <w:t>Error, with 5× weight on holiday weeks) and is pickled for deployment.</w:t>
      </w:r>
    </w:p>
    <w:p/>
    <w:p>
      <w:r>
        <w:br/>
      </w:r>
    </w:p>
    <w:p/>
    <w:p>
      <w:pPr>
        <w:pStyle w:val="Heading1"/>
      </w:pPr>
      <w:r>
        <w:t>2. Data Overview</w:t>
      </w:r>
    </w:p>
    <w:p/>
    <w:p>
      <w:r>
        <w:t xml:space="preserve">The dataset comprises three CSV files joined at the </w:t>
      </w:r>
      <w:r>
        <w:rPr>
          <w:i/>
        </w:rPr>
        <w:t>(Store, Date)</w:t>
      </w:r>
      <w:r>
        <w:t xml:space="preserve"> and </w:t>
      </w:r>
      <w:r>
        <w:rPr>
          <w:i/>
        </w:rPr>
        <w:t>(Store)</w:t>
      </w:r>
      <w:r>
        <w:t xml:space="preserve"> grains: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Notable columns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sales data-set.csv</w:t>
            </w:r>
          </w:p>
        </w:tc>
        <w:tc>
          <w:tcPr>
            <w:tcW w:type="dxa" w:w="2160"/>
          </w:tcPr>
          <w:p>
            <w:r/>
            <w:r>
              <w:t>421,570</w:t>
            </w:r>
          </w:p>
        </w:tc>
        <w:tc>
          <w:tcPr>
            <w:tcW w:type="dxa" w:w="2160"/>
          </w:tcPr>
          <w:p>
            <w:r/>
            <w:r>
              <w:t>Store × Dept × Date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Weekly_Sales</w:t>
            </w:r>
            <w:r>
              <w:t xml:space="preserve"> (target), </w:t>
            </w:r>
            <w:r>
              <w:rPr>
                <w:rFonts w:ascii="Consolas" w:hAnsi="Consolas"/>
                <w:sz w:val="20"/>
              </w:rPr>
              <w:t>IsHoliday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Features data set.csv</w:t>
            </w:r>
          </w:p>
        </w:tc>
        <w:tc>
          <w:tcPr>
            <w:tcW w:type="dxa" w:w="2160"/>
          </w:tcPr>
          <w:p>
            <w:r/>
            <w:r>
              <w:t>8,190</w:t>
            </w:r>
          </w:p>
        </w:tc>
        <w:tc>
          <w:tcPr>
            <w:tcW w:type="dxa" w:w="2160"/>
          </w:tcPr>
          <w:p>
            <w:r/>
            <w:r>
              <w:t>Store × Date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Temperature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Fuel_Price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MarkDown1-5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CPI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Unemployment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stores data-set.csv</w:t>
            </w:r>
          </w:p>
        </w:tc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t>Store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Type</w:t>
            </w:r>
            <w:r>
              <w:t xml:space="preserve"> (A/B/C), </w:t>
            </w:r>
            <w:r>
              <w:rPr>
                <w:rFonts w:ascii="Consolas" w:hAnsi="Consolas"/>
                <w:sz w:val="20"/>
              </w:rPr>
              <w:t>Size</w:t>
            </w:r>
            <w:r>
              <w:t xml:space="preserve"> (sq ft)</w:t>
            </w:r>
          </w:p>
        </w:tc>
      </w:tr>
    </w:tbl>
    <w:p/>
    <w:p>
      <w:r>
        <w:rPr>
          <w:b/>
        </w:rPr>
        <w:t>Two structural quirks</w:t>
      </w:r>
      <w:r>
        <w:t xml:space="preserve"> were addressed deliberately:</w:t>
      </w:r>
    </w:p>
    <w:p/>
    <w:p>
      <w:pPr>
        <w:pStyle w:val="ListNumber"/>
      </w:pPr>
      <w:r>
        <w:rPr>
          <w:b/>
        </w:rPr>
        <w:t>MarkDown1-5 are NaN before November 2011</w:t>
      </w:r>
      <w:r>
        <w:t xml:space="preserve"> because the markdown program had not yet been</w:t>
      </w:r>
    </w:p>
    <w:p>
      <w:r>
        <w:t xml:space="preserve">   launched. We treat these NaNs as </w:t>
      </w:r>
      <w:r>
        <w:rPr>
          <w:b/>
        </w:rPr>
        <w:t>zero</w:t>
      </w:r>
      <w:r>
        <w:t xml:space="preserve"> — semantically, no promotion was active. This is</w:t>
      </w:r>
    </w:p>
    <w:p>
      <w:r>
        <w:t xml:space="preserve">   verified visually in </w:t>
      </w:r>
      <w:r>
        <w:rPr>
          <w:i/>
        </w:rPr>
        <w:t>Figure 11 (markdown coverage over time)</w:t>
      </w:r>
      <w:r>
        <w:t>: coverage is exactly zero</w:t>
      </w:r>
    </w:p>
    <w:p>
      <w:r>
        <w:t xml:space="preserve">   before mid-November 2011 and rises sharply afterward.</w:t>
      </w:r>
    </w:p>
    <w:p>
      <w:pPr>
        <w:pStyle w:val="ListNumber"/>
      </w:pPr>
      <w:r>
        <w:rPr>
          <w:b/>
        </w:rPr>
        <w:t>CPI and Unemployment have 585 NaNs each</w:t>
      </w:r>
      <w:r>
        <w:t>, all in the future-window of the original</w:t>
      </w:r>
    </w:p>
    <w:p>
      <w:r>
        <w:t xml:space="preserve">   Kaggle file. We </w:t>
      </w:r>
      <w:r>
        <w:rPr>
          <w:b/>
        </w:rPr>
        <w:t>forward-then-backward fill within each store</w:t>
      </w:r>
      <w:r>
        <w:t xml:space="preserve"> to preserve regional</w:t>
      </w:r>
    </w:p>
    <w:p>
      <w:r>
        <w:t xml:space="preserve">   differences without leakage from other stores.</w:t>
      </w:r>
    </w:p>
    <w:p/>
    <w:p>
      <w:r>
        <w:t>Negative weekly sales (1,285 rows, 0.3%) represent net returns within a week and are kept</w:t>
      </w:r>
    </w:p>
    <w:p>
      <w:r>
        <w:t>unchanged — clipping them would distort the forecast for departments that legitimately swing</w:t>
      </w:r>
    </w:p>
    <w:p>
      <w:r>
        <w:t>in and out of net-return territory week to week.</w:t>
      </w:r>
    </w:p>
    <w:p/>
    <w:p>
      <w:r>
        <w:br/>
      </w:r>
    </w:p>
    <w:p/>
    <w:p>
      <w:pPr>
        <w:pStyle w:val="Heading1"/>
      </w:pPr>
      <w:r>
        <w:t>3. Exploratory Data Analysis (16 charts, UBM-structured)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Insight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Weekly Sales distribution (raw + log1p)</w:t>
            </w:r>
          </w:p>
        </w:tc>
        <w:tc>
          <w:tcPr>
            <w:tcW w:type="dxa" w:w="2160"/>
          </w:tcPr>
          <w:p>
            <w:r/>
            <w:r>
              <w:t>Univariate</w:t>
            </w:r>
          </w:p>
        </w:tc>
        <w:tc>
          <w:tcPr>
            <w:tcW w:type="dxa" w:w="2160"/>
          </w:tcPr>
          <w:p>
            <w:r/>
            <w:r>
              <w:t>Heavy right-skew; log1p makes the bulk symmetric.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Store-type composition</w:t>
            </w:r>
          </w:p>
        </w:tc>
        <w:tc>
          <w:tcPr>
            <w:tcW w:type="dxa" w:w="2160"/>
          </w:tcPr>
          <w:p>
            <w:r/>
            <w:r>
              <w:t>Univariate</w:t>
            </w:r>
          </w:p>
        </w:tc>
        <w:tc>
          <w:tcPr>
            <w:tcW w:type="dxa" w:w="2160"/>
          </w:tcPr>
          <w:p>
            <w:r/>
            <w:r>
              <w:t>22 A, 17 B, 6 C — Type-C is a small minority.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Store-size distribution</w:t>
            </w:r>
          </w:p>
        </w:tc>
        <w:tc>
          <w:tcPr>
            <w:tcW w:type="dxa" w:w="2160"/>
          </w:tcPr>
          <w:p>
            <w:r/>
            <w:r>
              <w:t>Univariate</w:t>
            </w:r>
          </w:p>
        </w:tc>
        <w:tc>
          <w:tcPr>
            <w:tcW w:type="dxa" w:w="2160"/>
          </w:tcPr>
          <w:p>
            <w:r/>
            <w:r>
              <w:t>Type-A largest (&gt;150K sq ft), Type-C smallest.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Holiday week share</w:t>
            </w:r>
          </w:p>
        </w:tc>
        <w:tc>
          <w:tcPr>
            <w:tcW w:type="dxa" w:w="2160"/>
          </w:tcPr>
          <w:p>
            <w:r/>
            <w:r>
              <w:t>Univariate</w:t>
            </w:r>
          </w:p>
        </w:tc>
        <w:tc>
          <w:tcPr>
            <w:tcW w:type="dxa" w:w="2160"/>
          </w:tcPr>
          <w:p>
            <w:r/>
            <w:r>
              <w:t>~7% of weeks — justifies WMAE's 5× weighting.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Weekly sales trend over time</w:t>
            </w:r>
          </w:p>
        </w:tc>
        <w:tc>
          <w:tcPr>
            <w:tcW w:type="dxa" w:w="2160"/>
          </w:tcPr>
          <w:p>
            <w:r/>
            <w:r>
              <w:t>Bivariate</w:t>
            </w:r>
          </w:p>
        </w:tc>
        <w:tc>
          <w:tcPr>
            <w:tcW w:type="dxa" w:w="2160"/>
          </w:tcPr>
          <w:p>
            <w:r/>
            <w:r>
              <w:t>Strong yearly seasonality, dual peaks at Thanksgiving + Christmas.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Sales by Store Type</w:t>
            </w:r>
          </w:p>
        </w:tc>
        <w:tc>
          <w:tcPr>
            <w:tcW w:type="dxa" w:w="2160"/>
          </w:tcPr>
          <w:p>
            <w:r/>
            <w:r>
              <w:t>Bivariate Num-Cat</w:t>
            </w:r>
          </w:p>
        </w:tc>
        <w:tc>
          <w:tcPr>
            <w:tcW w:type="dxa" w:w="2160"/>
          </w:tcPr>
          <w:p>
            <w:r/>
            <w:r>
              <w:t>A &gt; B &gt; C monotone.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Holiday vs non-holiday lift</w:t>
            </w:r>
          </w:p>
        </w:tc>
        <w:tc>
          <w:tcPr>
            <w:tcW w:type="dxa" w:w="2160"/>
          </w:tcPr>
          <w:p>
            <w:r/>
            <w:r>
              <w:t>Bivariate Num-Cat</w:t>
            </w:r>
          </w:p>
        </w:tc>
        <w:tc>
          <w:tcPr>
            <w:tcW w:type="dxa" w:w="2160"/>
          </w:tcPr>
          <w:p>
            <w:r/>
            <w:r>
              <w:t>Avg row-level lift ~7-8%; chain-level spike concentrated in select departments.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Top 15 departments</w:t>
            </w:r>
          </w:p>
        </w:tc>
        <w:tc>
          <w:tcPr>
            <w:tcW w:type="dxa" w:w="2160"/>
          </w:tcPr>
          <w:p>
            <w:r/>
            <w:r>
              <w:t>Bivariate Num-Cat</w:t>
            </w:r>
          </w:p>
        </w:tc>
        <w:tc>
          <w:tcPr>
            <w:tcW w:type="dxa" w:w="2160"/>
          </w:tcPr>
          <w:p>
            <w:r/>
            <w:r>
              <w:t>Top 15/81 depts capture ~60-65% of revenue.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Sales vs Size</w:t>
            </w:r>
          </w:p>
        </w:tc>
        <w:tc>
          <w:tcPr>
            <w:tcW w:type="dxa" w:w="2160"/>
          </w:tcPr>
          <w:p>
            <w:r/>
            <w:r>
              <w:t>Bivariate Num-Num</w:t>
            </w:r>
          </w:p>
        </w:tc>
        <w:tc>
          <w:tcPr>
            <w:tcW w:type="dxa" w:w="2160"/>
          </w:tcPr>
          <w:p>
            <w:r/>
            <w:r>
              <w:t>Positive but noisy; Size adds extra signal beyond Type.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Sales by Month</w:t>
            </w:r>
          </w:p>
        </w:tc>
        <w:tc>
          <w:tcPr>
            <w:tcW w:type="dxa" w:w="2160"/>
          </w:tcPr>
          <w:p>
            <w:r/>
            <w:r>
              <w:t>Bivariate</w:t>
            </w:r>
          </w:p>
        </w:tc>
        <w:tc>
          <w:tcPr>
            <w:tcW w:type="dxa" w:w="2160"/>
          </w:tcPr>
          <w:p>
            <w:r/>
            <w:r>
              <w:t>December dominates; February shows Super Bowl bump.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Markdown coverage over time</w:t>
            </w:r>
          </w:p>
        </w:tc>
        <w:tc>
          <w:tcPr>
            <w:tcW w:type="dxa" w:w="2160"/>
          </w:tcPr>
          <w:p>
            <w:r/>
            <w:r>
              <w:t>Bivariate</w:t>
            </w:r>
          </w:p>
        </w:tc>
        <w:tc>
          <w:tcPr>
            <w:tcW w:type="dxa" w:w="2160"/>
          </w:tcPr>
          <w:p>
            <w:r/>
            <w:r>
              <w:t>Step change at Nov 2011 — confirms zero-imputation.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Sales vs Total Markdown</w:t>
            </w:r>
          </w:p>
        </w:tc>
        <w:tc>
          <w:tcPr>
            <w:tcW w:type="dxa" w:w="2160"/>
          </w:tcPr>
          <w:p>
            <w:r/>
            <w:r>
              <w:t>Bivariate Num-Num</w:t>
            </w:r>
          </w:p>
        </w:tc>
        <w:tc>
          <w:tcPr>
            <w:tcW w:type="dxa" w:w="2160"/>
          </w:tcPr>
          <w:p>
            <w:r/>
            <w:r>
              <w:t>Weak positive correlation, very noisy → favours tree models.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STL decomposition (Store 1, Dept 1)</w:t>
            </w:r>
          </w:p>
        </w:tc>
        <w:tc>
          <w:tcPr>
            <w:tcW w:type="dxa" w:w="2160"/>
          </w:tcPr>
          <w:p>
            <w:r/>
            <w:r>
              <w:t>Multivariate-time</w:t>
            </w:r>
          </w:p>
        </w:tc>
        <w:tc>
          <w:tcPr>
            <w:tcW w:type="dxa" w:w="2160"/>
          </w:tcPr>
          <w:p>
            <w:r/>
            <w:r>
              <w:t>Trend + 52-week seasonality + spiky residuals.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Correlation heatmap</w:t>
            </w:r>
          </w:p>
        </w:tc>
        <w:tc>
          <w:tcPr>
            <w:tcW w:type="dxa" w:w="2160"/>
          </w:tcPr>
          <w:p>
            <w:r/>
            <w:r>
              <w:t>Multivariate</w:t>
            </w:r>
          </w:p>
        </w:tc>
        <w:tc>
          <w:tcPr>
            <w:tcW w:type="dxa" w:w="2160"/>
          </w:tcPr>
          <w:p>
            <w:r/>
            <w:r>
              <w:t>Size strongest single predictor; markdowns mildly correlated with each other.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Pair plot by Type</w:t>
            </w:r>
          </w:p>
        </w:tc>
        <w:tc>
          <w:tcPr>
            <w:tcW w:type="dxa" w:w="2160"/>
          </w:tcPr>
          <w:p>
            <w:r/>
            <w:r>
              <w:t>Multivariate</w:t>
            </w:r>
          </w:p>
        </w:tc>
        <w:tc>
          <w:tcPr>
            <w:tcW w:type="dxa" w:w="2160"/>
          </w:tcPr>
          <w:p>
            <w:r/>
            <w:r>
              <w:t>CPI / Unemployment bimodal → two macro regions.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Holiday lift by Store Type</w:t>
            </w:r>
          </w:p>
        </w:tc>
        <w:tc>
          <w:tcPr>
            <w:tcW w:type="dxa" w:w="2160"/>
          </w:tcPr>
          <w:p>
            <w:r/>
            <w:r>
              <w:t>Cat-Cat-Num</w:t>
            </w:r>
          </w:p>
        </w:tc>
        <w:tc>
          <w:tcPr>
            <w:tcW w:type="dxa" w:w="2160"/>
          </w:tcPr>
          <w:p>
            <w:r/>
            <w:r>
              <w:t>Type-A captures most absolute holiday dollars.</w:t>
            </w:r>
          </w:p>
        </w:tc>
      </w:tr>
    </w:tbl>
    <w:p/>
    <w:p>
      <w:r>
        <w:t>Each chart is captioned in the notebook with three answers: *why this chart, what it reveals,</w:t>
      </w:r>
    </w:p>
    <w:p>
      <w:r>
        <w:t>and the business impact (positive vs negative)*.</w:t>
      </w:r>
    </w:p>
    <w:p/>
    <w:p>
      <w:r>
        <w:br/>
      </w:r>
    </w:p>
    <w:p/>
    <w:p>
      <w:pPr>
        <w:pStyle w:val="Heading1"/>
      </w:pPr>
      <w:r>
        <w:t>4. Hypothesis Testing</w:t>
      </w:r>
    </w:p>
    <w:p/>
    <w:p>
      <w:r>
        <w:t>Three hypotheses, all at α = 0.05, motivated directly by the EDA charts:</w:t>
      </w:r>
    </w:p>
    <w:p/>
    <w:p>
      <w:pPr>
        <w:pStyle w:val="Heading2"/>
      </w:pPr>
      <w:r>
        <w:t>H1 — Holiday weeks have higher mean sales than non-holiday weeks</w:t>
      </w:r>
    </w:p>
    <w:p>
      <w:pPr>
        <w:pStyle w:val="ListBullet"/>
      </w:pPr>
      <w:r>
        <w:t xml:space="preserve">Test: </w:t>
      </w:r>
      <w:r>
        <w:rPr>
          <w:b/>
        </w:rPr>
        <w:t>Welch's t-test, one-tailed</w:t>
      </w:r>
      <w:r>
        <w:t>.</w:t>
      </w:r>
    </w:p>
    <w:p>
      <w:pPr>
        <w:pStyle w:val="ListBullet"/>
      </w:pPr>
      <w:r>
        <w:t>Sample sizes: ~30K holiday vs ~390K non-holiday rows.</w:t>
      </w:r>
    </w:p>
    <w:p>
      <w:pPr>
        <w:pStyle w:val="ListBullet"/>
      </w:pPr>
      <w:r>
        <w:t xml:space="preserve">Result: </w:t>
      </w:r>
      <w:r>
        <w:rPr>
          <w:b/>
        </w:rPr>
        <w:t>reject H₀</w:t>
      </w:r>
      <w:r>
        <w:t xml:space="preserve"> — holiday weeks have measurably higher mean weekly sales.</w:t>
      </w:r>
    </w:p>
    <w:p/>
    <w:p>
      <w:pPr>
        <w:pStyle w:val="Heading2"/>
      </w:pPr>
      <w:r>
        <w:t>H2 — Mean sales differ across Store Types A, B, C</w:t>
      </w:r>
    </w:p>
    <w:p>
      <w:pPr>
        <w:pStyle w:val="ListBullet"/>
      </w:pPr>
      <w:r>
        <w:t xml:space="preserve">Test: </w:t>
      </w:r>
      <w:r>
        <w:rPr>
          <w:b/>
        </w:rPr>
        <w:t>One-way ANOVA</w:t>
      </w:r>
      <w:r>
        <w:t xml:space="preserve">, with </w:t>
      </w:r>
      <w:r>
        <w:rPr>
          <w:b/>
        </w:rPr>
        <w:t>Kruskal-Wallis</w:t>
      </w:r>
      <w:r>
        <w:t xml:space="preserve"> as a robustness check.</w:t>
      </w:r>
    </w:p>
    <w:p>
      <w:pPr>
        <w:pStyle w:val="ListBullet"/>
      </w:pPr>
      <w:r>
        <w:t xml:space="preserve">Result: </w:t>
      </w:r>
      <w:r>
        <w:rPr>
          <w:b/>
        </w:rPr>
        <w:t>reject H₀</w:t>
      </w:r>
      <w:r>
        <w:t xml:space="preserve"> — at least one type's mean differs (in fact, all three differ).</w:t>
      </w:r>
    </w:p>
    <w:p/>
    <w:p>
      <w:pPr>
        <w:pStyle w:val="Heading2"/>
      </w:pPr>
      <w:r>
        <w:t>H3 — Markdown-active weeks have higher sales than markdown-inactive weeks (post-Nov-2011)</w:t>
      </w:r>
    </w:p>
    <w:p>
      <w:pPr>
        <w:pStyle w:val="ListBullet"/>
      </w:pPr>
      <w:r>
        <w:t xml:space="preserve">Test: </w:t>
      </w:r>
      <w:r>
        <w:rPr>
          <w:b/>
        </w:rPr>
        <w:t>Mann-Whitney U, one-tailed</w:t>
      </w:r>
      <w:r>
        <w:t xml:space="preserve"> (distribution-free, robust to skew).</w:t>
      </w:r>
    </w:p>
    <w:p>
      <w:pPr>
        <w:pStyle w:val="ListBullet"/>
      </w:pPr>
      <w:r>
        <w:t xml:space="preserve">Result: </w:t>
      </w:r>
      <w:r>
        <w:rPr>
          <w:b/>
        </w:rPr>
        <w:t>reject H₀</w:t>
      </w:r>
      <w:r>
        <w:t xml:space="preserve"> — markdown-active weeks have a higher median.</w:t>
      </w:r>
    </w:p>
    <w:p/>
    <w:p>
      <w:r>
        <w:t>These confirm that holiday flag, store type, and markdown activity all carry real signal and</w:t>
      </w:r>
    </w:p>
    <w:p>
      <w:r>
        <w:t>must be in the feature set.</w:t>
      </w:r>
    </w:p>
    <w:p/>
    <w:p>
      <w:r>
        <w:br/>
      </w:r>
    </w:p>
    <w:p/>
    <w:p>
      <w:pPr>
        <w:pStyle w:val="Heading1"/>
      </w:pPr>
      <w:r>
        <w:t>5. Feature Engineering</w:t>
      </w:r>
    </w:p>
    <w:p/>
    <w:p>
      <w:r>
        <w:t>The wrangled dataframe (421,570 × ~25 columns after engineering) contains: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 group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Calendar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Year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Month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Month_sin/cos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Week_sin/cos</w:t>
            </w:r>
          </w:p>
        </w:tc>
        <w:tc>
          <w:tcPr>
            <w:tcW w:type="dxa" w:w="2880"/>
          </w:tcPr>
          <w:p>
            <w:r/>
            <w:r>
              <w:t>Capture seasonality; cyclical encoding helps linear/SVM.</w:t>
            </w:r>
          </w:p>
        </w:tc>
      </w:tr>
      <w:tr>
        <w:tc>
          <w:tcPr>
            <w:tcW w:type="dxa" w:w="2880"/>
          </w:tcPr>
          <w:p>
            <w:r/>
            <w:r>
              <w:t>Time-aware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Lag_1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Lag_4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Lag_52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Roll_4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Roll_12</w:t>
            </w:r>
          </w:p>
        </w:tc>
        <w:tc>
          <w:tcPr>
            <w:tcW w:type="dxa" w:w="2880"/>
          </w:tcPr>
          <w:p>
            <w:r/>
            <w:r>
              <w:t>Dominant predictors for autoregressive series; computed strictly within (Store, Dept).</w:t>
            </w:r>
          </w:p>
        </w:tc>
      </w:tr>
      <w:tr>
        <w:tc>
          <w:tcPr>
            <w:tcW w:type="dxa" w:w="2880"/>
          </w:tcPr>
          <w:p>
            <w:r/>
            <w:r>
              <w:t>Promotion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MarkDown1-5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Total_MarkDown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Has_MarkDown</w:t>
            </w:r>
          </w:p>
        </w:tc>
        <w:tc>
          <w:tcPr>
            <w:tcW w:type="dxa" w:w="2880"/>
          </w:tcPr>
          <w:p>
            <w:r/>
            <w:r>
              <w:t>Promotional lift — Total_MarkDown summarises the components; flag handles the on/off effect.</w:t>
            </w:r>
          </w:p>
        </w:tc>
      </w:tr>
      <w:tr>
        <w:tc>
          <w:tcPr>
            <w:tcW w:type="dxa" w:w="2880"/>
          </w:tcPr>
          <w:p>
            <w:r/>
            <w:r>
              <w:t>Macro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CPI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Unemployment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Fuel_Price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Temperature</w:t>
            </w:r>
          </w:p>
        </w:tc>
        <w:tc>
          <w:tcPr>
            <w:tcW w:type="dxa" w:w="2880"/>
          </w:tcPr>
          <w:p>
            <w:r/>
            <w:r>
              <w:t>External drivers — slow-moving but interact with Type.</w:t>
            </w:r>
          </w:p>
        </w:tc>
      </w:tr>
      <w:tr>
        <w:tc>
          <w:tcPr>
            <w:tcW w:type="dxa" w:w="2880"/>
          </w:tcPr>
          <w:p>
            <w:r/>
            <w:r>
              <w:t>Store metadata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Size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Type_B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Type_C</w:t>
            </w:r>
          </w:p>
        </w:tc>
        <w:tc>
          <w:tcPr>
            <w:tcW w:type="dxa" w:w="2880"/>
          </w:tcPr>
          <w:p>
            <w:r/>
            <w:r>
              <w:t xml:space="preserve">One-hot encoding of three-level Type with </w:t>
            </w:r>
            <w:r>
              <w:rPr>
                <w:rFonts w:ascii="Consolas" w:hAnsi="Consolas"/>
                <w:sz w:val="20"/>
              </w:rPr>
              <w:t>drop_first=True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Outlier flags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Is_Outlier_IQR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Is_Negative</w:t>
            </w:r>
          </w:p>
        </w:tc>
        <w:tc>
          <w:tcPr>
            <w:tcW w:type="dxa" w:w="2880"/>
          </w:tcPr>
          <w:p>
            <w:r/>
            <w:r>
              <w:t>For audit / anomaly review, not used as features.</w:t>
            </w:r>
          </w:p>
        </w:tc>
      </w:tr>
    </w:tbl>
    <w:p/>
    <w:p>
      <w:r>
        <w:rPr>
          <w:b/>
        </w:rPr>
        <w:t>Feature selection</w:t>
      </w:r>
      <w:r>
        <w:t xml:space="preserve"> is conservative — tree-based models tolerate redundancy. We use the</w:t>
      </w:r>
    </w:p>
    <w:p>
      <w:r>
        <w:t>intersection of (a) correlation with target, (b) Random-Forest impurity importance on a 50K</w:t>
      </w:r>
    </w:p>
    <w:p>
      <w:r>
        <w:t>sample, and (c) domain knowledge. The lag features dominate; macro and markdown features</w:t>
      </w:r>
    </w:p>
    <w:p>
      <w:r>
        <w:t>contribute the remainder.</w:t>
      </w:r>
    </w:p>
    <w:p/>
    <w:p>
      <w:r>
        <w:rPr>
          <w:b/>
        </w:rPr>
        <w:t>Scaling</w:t>
      </w:r>
      <w:r>
        <w:t xml:space="preserve"> is applied inside </w:t>
      </w:r>
      <w:r>
        <w:rPr>
          <w:rFonts w:ascii="Consolas" w:hAnsi="Consolas"/>
          <w:sz w:val="20"/>
        </w:rPr>
        <w:t>Pipeline</w:t>
      </w:r>
      <w:r>
        <w:t xml:space="preserve"> objects (StandardScaler) for the linear and clustering</w:t>
      </w:r>
    </w:p>
    <w:p>
      <w:r>
        <w:t>models; tree models use raw features.</w:t>
      </w:r>
    </w:p>
    <w:p/>
    <w:p>
      <w:r>
        <w:rPr>
          <w:b/>
        </w:rPr>
        <w:t>Splitting</w:t>
      </w:r>
      <w:r>
        <w:t xml:space="preserve"> is </w:t>
      </w:r>
      <w:r>
        <w:rPr>
          <w:b/>
        </w:rPr>
        <w:t>temporal</w:t>
      </w:r>
      <w:r>
        <w:t xml:space="preserve"> (last 20% of weeks held out) — a random split would let the model</w:t>
      </w:r>
    </w:p>
    <w:p>
      <w:r>
        <w:t>peek at the future during training, inflating test accuracy artificially.</w:t>
      </w:r>
    </w:p>
    <w:p/>
    <w:p>
      <w:r>
        <w:rPr>
          <w:b/>
        </w:rPr>
        <w:t>Imbalance</w:t>
      </w:r>
      <w:r>
        <w:t xml:space="preserve"> — for forecasting, addressed at the </w:t>
      </w:r>
      <w:r>
        <w:rPr>
          <w:i/>
        </w:rPr>
        <w:t>metric</w:t>
      </w:r>
      <w:r>
        <w:t xml:space="preserve"> level via WMAE (5× holiday weight),</w:t>
      </w:r>
    </w:p>
    <w:p>
      <w:r>
        <w:t>not at the data level (resampling would corrupt the time series).</w:t>
      </w:r>
    </w:p>
    <w:p/>
    <w:p>
      <w:r>
        <w:br/>
      </w:r>
    </w:p>
    <w:p/>
    <w:p>
      <w:pPr>
        <w:pStyle w:val="Heading1"/>
      </w:pPr>
      <w:r>
        <w:t>6. Modelling — Four Sub-problems</w:t>
      </w:r>
    </w:p>
    <w:p/>
    <w:p>
      <w:pPr>
        <w:pStyle w:val="Heading2"/>
      </w:pPr>
      <w:r>
        <w:t>6.1 Anomaly Detection (Sub-problem A)</w:t>
      </w:r>
    </w:p>
    <w:p/>
    <w:p>
      <w:r>
        <w:t>Three detectors, one per design philosophy: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Detector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Isolation Forest</w:t>
            </w:r>
          </w:p>
        </w:tc>
        <w:tc>
          <w:tcPr>
            <w:tcW w:type="dxa" w:w="2160"/>
          </w:tcPr>
          <w:p>
            <w:r/>
            <w:r>
              <w:t>Random partitions, anomalies isolate fast</w:t>
            </w:r>
          </w:p>
        </w:tc>
        <w:tc>
          <w:tcPr>
            <w:tcW w:type="dxa" w:w="2160"/>
          </w:tcPr>
          <w:p>
            <w:r/>
            <w:r>
              <w:t>Scales linearly; mixed-type robust</w:t>
            </w:r>
          </w:p>
        </w:tc>
        <w:tc>
          <w:tcPr>
            <w:tcW w:type="dxa" w:w="2160"/>
          </w:tcPr>
          <w:p>
            <w:r/>
            <w:r>
              <w:t>Treats Christmas peaks as anomalies if used naively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Local Outlier Factor</w:t>
            </w:r>
          </w:p>
        </w:tc>
        <w:tc>
          <w:tcPr>
            <w:tcW w:type="dxa" w:w="2160"/>
          </w:tcPr>
          <w:p>
            <w:r/>
            <w:r>
              <w:t>Density relative to k-nearest-neighbours</w:t>
            </w:r>
          </w:p>
        </w:tc>
        <w:tc>
          <w:tcPr>
            <w:tcW w:type="dxa" w:w="2160"/>
          </w:tcPr>
          <w:p>
            <w:r/>
            <w:r>
              <w:t xml:space="preserve">Catches </w:t>
            </w:r>
            <w:r>
              <w:rPr>
                <w:i/>
              </w:rPr>
              <w:t>local</w:t>
            </w:r>
            <w:r>
              <w:t xml:space="preserve"> outliers (small-store anomalies)</w:t>
            </w:r>
          </w:p>
        </w:tc>
        <w:tc>
          <w:tcPr>
            <w:tcW w:type="dxa" w:w="2160"/>
          </w:tcPr>
          <w:p>
            <w:r/>
            <w:r>
              <w:t>O(n²) — sub-sampled to 80K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STL residual z-score</w:t>
            </w:r>
          </w:p>
        </w:tc>
        <w:tc>
          <w:tcPr>
            <w:tcW w:type="dxa" w:w="2160"/>
          </w:tcPr>
          <w:p>
            <w:r/>
            <w:r>
              <w:t>Decompose into trend + seasonal + residual; flag</w:t>
            </w:r>
          </w:p>
        </w:tc>
        <w:tc>
          <w:tcPr>
            <w:tcW w:type="dxa" w:w="2160"/>
          </w:tcPr>
          <w:p>
            <w:r/>
            <w:r>
              <w:t>z</w:t>
            </w:r>
          </w:p>
        </w:tc>
        <w:tc>
          <w:tcPr>
            <w:tcW w:type="dxa" w:w="2160"/>
          </w:tcPr>
          <w:p>
            <w:r/>
            <w:r>
              <w:t>&gt; 3</w:t>
            </w:r>
          </w:p>
        </w:tc>
      </w:tr>
    </w:tbl>
    <w:p/>
    <w:p>
      <w:r>
        <w:t>Tuning was a single-parameter grid sweep (contamination for IF, k for LOF, threshold for STL).</w:t>
      </w:r>
    </w:p>
    <w:p>
      <w:r>
        <w:t xml:space="preserve">Quality is assessed by </w:t>
      </w:r>
      <w:r>
        <w:rPr>
          <w:i/>
        </w:rPr>
        <w:t>holiday-share within flagged rows</w:t>
      </w:r>
      <w:r>
        <w:t xml:space="preserve"> as a proxy for precision (a flagged</w:t>
      </w:r>
    </w:p>
    <w:p>
      <w:r>
        <w:t>row that is also a holiday week is more likely to be a real demand event than noise) and by</w:t>
      </w:r>
    </w:p>
    <w:p>
      <w:r>
        <w:t xml:space="preserve">the pairwise overlap matrix between detectors. We adopt </w:t>
      </w:r>
      <w:r>
        <w:rPr>
          <w:b/>
        </w:rPr>
        <w:t>STL z-score</w:t>
      </w:r>
      <w:r>
        <w:t xml:space="preserve"> as the primary</w:t>
      </w:r>
    </w:p>
    <w:p>
      <w:r>
        <w:t>'anomaly' signal because it answers the planner's actual question — *is this week unusual for</w:t>
      </w:r>
    </w:p>
    <w:p>
      <w:r>
        <w:t>this series, controlling for known seasonality?*.</w:t>
      </w:r>
    </w:p>
    <w:p/>
    <w:p>
      <w:pPr>
        <w:pStyle w:val="Heading2"/>
      </w:pPr>
      <w:r>
        <w:t>6.2 Store Segmentation (Sub-problem B)</w:t>
      </w:r>
    </w:p>
    <w:p/>
    <w:p>
      <w:r>
        <w:t xml:space="preserve">We aggregate the row-level data into a </w:t>
      </w:r>
      <w:r>
        <w:rPr>
          <w:b/>
        </w:rPr>
        <w:t>store-level feature vector</w:t>
      </w:r>
      <w:r>
        <w:t xml:space="preserve"> with seven features:</w:t>
      </w:r>
    </w:p>
    <w:p/>
    <w:p>
      <w:pPr>
        <w:pStyle w:val="ListNumber"/>
      </w:pPr>
      <w:r>
        <w:rPr>
          <w:rFonts w:ascii="Consolas" w:hAnsi="Consolas"/>
          <w:sz w:val="20"/>
        </w:rPr>
        <w:t>Mean_Weekly</w:t>
      </w:r>
      <w:r>
        <w:t xml:space="preserve"> — average weekly sales</w:t>
      </w:r>
    </w:p>
    <w:p>
      <w:pPr>
        <w:pStyle w:val="ListNumber"/>
      </w:pPr>
      <w:r>
        <w:rPr>
          <w:rFonts w:ascii="Consolas" w:hAnsi="Consolas"/>
          <w:sz w:val="20"/>
        </w:rPr>
        <w:t>Std_Weekly</w:t>
      </w:r>
      <w:r>
        <w:t xml:space="preserve"> — sales volatility</w:t>
      </w:r>
    </w:p>
    <w:p>
      <w:pPr>
        <w:pStyle w:val="ListNumber"/>
      </w:pPr>
      <w:r>
        <w:rPr>
          <w:rFonts w:ascii="Consolas" w:hAnsi="Consolas"/>
          <w:sz w:val="20"/>
        </w:rPr>
        <w:t>Hol_Lift</w:t>
      </w:r>
      <w:r>
        <w:t xml:space="preserve"> — ratio of mean holiday sales to mean non-holiday sales</w:t>
      </w:r>
    </w:p>
    <w:p>
      <w:pPr>
        <w:pStyle w:val="ListNumber"/>
      </w:pPr>
      <w:r>
        <w:rPr>
          <w:rFonts w:ascii="Consolas" w:hAnsi="Consolas"/>
          <w:sz w:val="20"/>
        </w:rPr>
        <w:t>Mean_MD</w:t>
      </w:r>
      <w:r>
        <w:t xml:space="preserve"> — average total markdown spend</w:t>
      </w:r>
    </w:p>
    <w:p>
      <w:pPr>
        <w:pStyle w:val="ListNumber"/>
      </w:pPr>
      <w:r>
        <w:rPr>
          <w:rFonts w:ascii="Consolas" w:hAnsi="Consolas"/>
          <w:sz w:val="20"/>
        </w:rPr>
        <w:t>Mean_CPI</w:t>
      </w:r>
      <w:r>
        <w:t xml:space="preserve"> — store's regional CPI level</w:t>
      </w:r>
    </w:p>
    <w:p>
      <w:pPr>
        <w:pStyle w:val="ListNumber"/>
      </w:pPr>
      <w:r>
        <w:rPr>
          <w:rFonts w:ascii="Consolas" w:hAnsi="Consolas"/>
          <w:sz w:val="20"/>
        </w:rPr>
        <w:t>Mean_Unemp</w:t>
      </w:r>
      <w:r>
        <w:t xml:space="preserve"> — store's regional unemployment level</w:t>
      </w:r>
    </w:p>
    <w:p>
      <w:pPr>
        <w:pStyle w:val="ListNumber"/>
      </w:pPr>
      <w:r>
        <w:rPr>
          <w:rFonts w:ascii="Consolas" w:hAnsi="Consolas"/>
          <w:sz w:val="20"/>
        </w:rPr>
        <w:t>Size</w:t>
      </w:r>
      <w:r>
        <w:t xml:space="preserve"> — sales-floor area</w:t>
      </w:r>
    </w:p>
    <w:p/>
    <w:p>
      <w:r>
        <w:rPr>
          <w:b/>
        </w:rPr>
        <w:t>Standardisation</w:t>
      </w:r>
      <w:r>
        <w:t xml:space="preserve"> (StandardScaler) is applied; the K is chosen by the silhouette curve</w:t>
      </w:r>
    </w:p>
    <w:p>
      <w:r>
        <w:t xml:space="preserve">(Figure: </w:t>
      </w:r>
      <w:r>
        <w:rPr>
          <w:rFonts w:ascii="Consolas" w:hAnsi="Consolas"/>
          <w:sz w:val="20"/>
        </w:rPr>
        <w:t>seg_k_search.png</w:t>
      </w:r>
      <w:r>
        <w:t>). Three algorithms are compared: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Silhouette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Davies-Bouldin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KMeans</w:t>
            </w:r>
          </w:p>
        </w:tc>
        <w:tc>
          <w:tcPr>
            <w:tcW w:type="dxa" w:w="2160"/>
          </w:tcPr>
          <w:p>
            <w:r/>
            <w:r>
              <w:t>populated</w:t>
            </w:r>
          </w:p>
        </w:tc>
        <w:tc>
          <w:tcPr>
            <w:tcW w:type="dxa" w:w="2160"/>
          </w:tcPr>
          <w:p>
            <w:r/>
            <w:r>
              <w:t>populated</w:t>
            </w:r>
          </w:p>
        </w:tc>
        <w:tc>
          <w:tcPr>
            <w:tcW w:type="dxa" w:w="2160"/>
          </w:tcPr>
          <w:p>
            <w:r/>
            <w:r>
              <w:t>Best overall; deterministic centroids.</w:t>
            </w:r>
          </w:p>
        </w:tc>
      </w:tr>
      <w:tr>
        <w:tc>
          <w:tcPr>
            <w:tcW w:type="dxa" w:w="2160"/>
          </w:tcPr>
          <w:p>
            <w:r/>
            <w:r>
              <w:t>Agglomerative-Ward</w:t>
            </w:r>
          </w:p>
        </w:tc>
        <w:tc>
          <w:tcPr>
            <w:tcW w:type="dxa" w:w="2160"/>
          </w:tcPr>
          <w:p>
            <w:r/>
            <w:r>
              <w:t>populated</w:t>
            </w:r>
          </w:p>
        </w:tc>
        <w:tc>
          <w:tcPr>
            <w:tcW w:type="dxa" w:w="2160"/>
          </w:tcPr>
          <w:p>
            <w:r/>
            <w:r>
              <w:t>populated</w:t>
            </w:r>
          </w:p>
        </w:tc>
        <w:tc>
          <w:tcPr>
            <w:tcW w:type="dxa" w:w="2160"/>
          </w:tcPr>
          <w:p>
            <w:r/>
            <w:r>
              <w:t>Comparable to KMeans; offers a dendrogram.</w:t>
            </w:r>
          </w:p>
        </w:tc>
      </w:tr>
      <w:tr>
        <w:tc>
          <w:tcPr>
            <w:tcW w:type="dxa" w:w="2160"/>
          </w:tcPr>
          <w:p>
            <w:r/>
            <w:r>
              <w:t>DBSCAN</w:t>
            </w:r>
          </w:p>
        </w:tc>
        <w:tc>
          <w:tcPr>
            <w:tcW w:type="dxa" w:w="2160"/>
          </w:tcPr>
          <w:p>
            <w:r/>
            <w:r>
              <w:t>n/a (depends on eps)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Identifies outlier stores rather than clean clusters.</w:t>
            </w:r>
          </w:p>
        </w:tc>
      </w:tr>
    </w:tbl>
    <w:p/>
    <w:p>
      <w:r>
        <w:t xml:space="preserve">We adopt </w:t>
      </w:r>
      <w:r>
        <w:rPr>
          <w:b/>
        </w:rPr>
        <w:t>KMeans</w:t>
      </w:r>
      <w:r>
        <w:t xml:space="preserve"> at the silhouette-best K and profile each cluster by the per-feature</w:t>
      </w:r>
    </w:p>
    <w:p>
      <w:r>
        <w:t>z-score versus the chain mean (</w:t>
      </w:r>
      <w:r>
        <w:rPr>
          <w:rFonts w:ascii="Consolas" w:hAnsi="Consolas"/>
          <w:sz w:val="20"/>
        </w:rPr>
        <w:t>outputs/figures/cluster_profile.png</w:t>
      </w:r>
      <w:r>
        <w:t>). The clusters get</w:t>
      </w:r>
    </w:p>
    <w:p>
      <w:r>
        <w:t>business-readable names ('Large urban high-markdown', 'Mid-size suburban', 'Small-format</w:t>
      </w:r>
    </w:p>
    <w:p>
      <w:r>
        <w:t>Type-C', etc.) based on which features pop out.</w:t>
      </w:r>
    </w:p>
    <w:p/>
    <w:p>
      <w:pPr>
        <w:pStyle w:val="Heading2"/>
      </w:pPr>
      <w:r>
        <w:t>6.3 Demand Forecasting (Sub-problem C)</w:t>
      </w:r>
    </w:p>
    <w:p/>
    <w:p>
      <w:r>
        <w:t>Five regressors plus one time-series benchmark: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Tuning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 (test WMAE)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Linear Regression</w:t>
            </w:r>
          </w:p>
        </w:tc>
        <w:tc>
          <w:tcPr>
            <w:tcW w:type="dxa" w:w="2160"/>
          </w:tcPr>
          <w:p>
            <w:r/>
            <w:r>
              <w:t>Baseline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1,570.57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Ridge (α tuned)</w:t>
            </w:r>
          </w:p>
        </w:tc>
        <w:tc>
          <w:tcPr>
            <w:tcW w:type="dxa" w:w="2160"/>
          </w:tcPr>
          <w:p>
            <w:r/>
            <w:r>
              <w:t>Regularised linear</w:t>
            </w:r>
          </w:p>
        </w:tc>
        <w:tc>
          <w:tcPr>
            <w:tcW w:type="dxa" w:w="2160"/>
          </w:tcPr>
          <w:p>
            <w:r/>
            <w:r>
              <w:t>RandomizedSearchCV + TimeSeriesSplit</w:t>
            </w:r>
          </w:p>
        </w:tc>
        <w:tc>
          <w:tcPr>
            <w:tcW w:type="dxa" w:w="2160"/>
          </w:tcPr>
          <w:p>
            <w:r/>
            <w:r>
              <w:t>1,567.34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Random Forest (default) ← chosen</w:t>
            </w:r>
          </w:p>
        </w:tc>
        <w:tc>
          <w:tcPr>
            <w:tcW w:type="dxa" w:w="2160"/>
          </w:tcPr>
          <w:p>
            <w:r/>
            <w:r>
              <w:t>Non-linear</w:t>
            </w:r>
          </w:p>
        </w:tc>
        <w:tc>
          <w:tcPr>
            <w:tcW w:type="dxa" w:w="2160"/>
          </w:tcPr>
          <w:p>
            <w:r/>
            <w:r>
              <w:t>None (full-data fit)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1,262.73</w:t>
            </w:r>
          </w:p>
        </w:tc>
      </w:tr>
      <w:tr>
        <w:tc>
          <w:tcPr>
            <w:tcW w:type="dxa" w:w="2160"/>
          </w:tcPr>
          <w:p>
            <w:r/>
            <w:r>
              <w:t>Random Forest (tuned)</w:t>
            </w:r>
          </w:p>
        </w:tc>
        <w:tc>
          <w:tcPr>
            <w:tcW w:type="dxa" w:w="2160"/>
          </w:tcPr>
          <w:p>
            <w:r/>
            <w:r>
              <w:t>Non-linear</w:t>
            </w:r>
          </w:p>
        </w:tc>
        <w:tc>
          <w:tcPr>
            <w:tcW w:type="dxa" w:w="2160"/>
          </w:tcPr>
          <w:p>
            <w:r/>
            <w:r>
              <w:t>RandomizedSearchCV (6 iters, TSCV, 60K sub-sample)</w:t>
            </w:r>
          </w:p>
        </w:tc>
        <w:tc>
          <w:tcPr>
            <w:tcW w:type="dxa" w:w="2160"/>
          </w:tcPr>
          <w:p>
            <w:r/>
            <w:r>
              <w:t>1,306.04</w:t>
            </w:r>
          </w:p>
        </w:tc>
      </w:tr>
      <w:tr>
        <w:tc>
          <w:tcPr>
            <w:tcW w:type="dxa" w:w="2160"/>
          </w:tcPr>
          <w:p>
            <w:r/>
            <w:r>
              <w:t>XGBoost (default)</w:t>
            </w:r>
          </w:p>
        </w:tc>
        <w:tc>
          <w:tcPr>
            <w:tcW w:type="dxa" w:w="2160"/>
          </w:tcPr>
          <w:p>
            <w:r/>
            <w:r>
              <w:t>Boosted ensemble</w:t>
            </w:r>
          </w:p>
        </w:tc>
        <w:tc>
          <w:tcPr>
            <w:tcW w:type="dxa" w:w="2160"/>
          </w:tcPr>
          <w:p>
            <w:r/>
            <w:r>
              <w:t>None (full-data fit)</w:t>
            </w:r>
          </w:p>
        </w:tc>
        <w:tc>
          <w:tcPr>
            <w:tcW w:type="dxa" w:w="2160"/>
          </w:tcPr>
          <w:p>
            <w:r/>
            <w:r>
              <w:t>1,282.52</w:t>
            </w:r>
          </w:p>
        </w:tc>
      </w:tr>
      <w:tr>
        <w:tc>
          <w:tcPr>
            <w:tcW w:type="dxa" w:w="2160"/>
          </w:tcPr>
          <w:p>
            <w:r/>
            <w:r>
              <w:t>XGBoost (tuned)</w:t>
            </w:r>
          </w:p>
        </w:tc>
        <w:tc>
          <w:tcPr>
            <w:tcW w:type="dxa" w:w="2160"/>
          </w:tcPr>
          <w:p>
            <w:r/>
            <w:r>
              <w:t>Boosted ensemble</w:t>
            </w:r>
          </w:p>
        </w:tc>
        <w:tc>
          <w:tcPr>
            <w:tcW w:type="dxa" w:w="2160"/>
          </w:tcPr>
          <w:p>
            <w:r/>
            <w:r>
              <w:t>RandomizedSearchCV (6 iters, TSCV, 80K sub-sample)</w:t>
            </w:r>
          </w:p>
        </w:tc>
        <w:tc>
          <w:tcPr>
            <w:tcW w:type="dxa" w:w="2160"/>
          </w:tcPr>
          <w:p>
            <w:r/>
            <w:r>
              <w:t>1,327.09</w:t>
            </w:r>
          </w:p>
        </w:tc>
      </w:tr>
      <w:tr>
        <w:tc>
          <w:tcPr>
            <w:tcW w:type="dxa" w:w="2160"/>
          </w:tcPr>
          <w:p>
            <w:r/>
            <w:r>
              <w:t>SARIMAX (1,1,1)(1,1,1,52)</w:t>
            </w:r>
          </w:p>
        </w:tc>
        <w:tc>
          <w:tcPr>
            <w:tcW w:type="dxa" w:w="2160"/>
          </w:tcPr>
          <w:p>
            <w:r/>
            <w:r>
              <w:t>Per-series benchmark</w:t>
            </w:r>
          </w:p>
        </w:tc>
        <w:tc>
          <w:tcPr>
            <w:tcW w:type="dxa" w:w="2160"/>
          </w:tcPr>
          <w:p>
            <w:r/>
            <w:r>
              <w:t>Manual order</w:t>
            </w:r>
          </w:p>
        </w:tc>
        <w:tc>
          <w:tcPr>
            <w:tcW w:type="dxa" w:w="2160"/>
          </w:tcPr>
          <w:p>
            <w:r/>
            <w:r>
              <w:t>reported in-cell</w:t>
            </w:r>
          </w:p>
        </w:tc>
      </w:tr>
    </w:tbl>
    <w:p/>
    <w:p>
      <w:r>
        <w:rPr>
          <w:b/>
        </w:rPr>
        <w:t>Why default RF beats tuned RF / XGBoost in this run</w:t>
      </w:r>
      <w:r>
        <w:t>: the tuning-CV runs on a 60–80K</w:t>
      </w:r>
    </w:p>
    <w:p>
      <w:r>
        <w:t>sub-sample to keep the notebook end-to-end-runnable in under 10 minutes. The defaults train on</w:t>
      </w:r>
    </w:p>
    <w:p>
      <w:r>
        <w:t xml:space="preserve">the </w:t>
      </w:r>
      <w:r>
        <w:rPr>
          <w:b/>
        </w:rPr>
        <w:t>full 337K-row training set</w:t>
      </w:r>
      <w:r>
        <w:t xml:space="preserve"> — that data advantage outweighs the tuning advantage on this</w:t>
      </w:r>
    </w:p>
    <w:p>
      <w:r>
        <w:t>problem. With a larger tuning budget (more iterations + full-data fits), the tuned ensembles</w:t>
      </w:r>
    </w:p>
    <w:p>
      <w:r>
        <w:t>are expected to overtake the defaults. The model-picker code reads the leaderboard</w:t>
      </w:r>
    </w:p>
    <w:p>
      <w:r>
        <w:t>programmatically and pickles whichever model has the lowest test WMAE, so the chosen model</w:t>
      </w:r>
    </w:p>
    <w:p>
      <w:r>
        <w:t>stays in sync with the metrics if this changes.</w:t>
      </w:r>
    </w:p>
    <w:p/>
    <w:p>
      <w:r>
        <w:rPr>
          <w:b/>
        </w:rPr>
        <w:t>Headline gain</w:t>
      </w:r>
      <w:r>
        <w:t xml:space="preserve">: tree ensembles cut WMAE by roughly </w:t>
      </w:r>
      <w:r>
        <w:rPr>
          <w:b/>
        </w:rPr>
        <w:t>20%</w:t>
      </w:r>
      <w:r>
        <w:t xml:space="preserve"> versus the linear baseline.</w:t>
      </w:r>
    </w:p>
    <w:p/>
    <w:p>
      <w:r>
        <w:t xml:space="preserve">Metrics reported: </w:t>
      </w:r>
      <w:r>
        <w:rPr>
          <w:b/>
        </w:rPr>
        <w:t>WMAE</w:t>
      </w:r>
      <w:r>
        <w:t xml:space="preserve"> (primary, holiday-weighted), RMSE (penalises worst case), MAE</w:t>
      </w:r>
    </w:p>
    <w:p>
      <w:r>
        <w:t>(interpretable in dollars), R² (variance explained). The leaderboard is in</w:t>
      </w:r>
    </w:p>
    <w:p>
      <w:r>
        <w:rPr>
          <w:rFonts w:ascii="Consolas" w:hAnsi="Consolas"/>
          <w:sz w:val="20"/>
        </w:rPr>
        <w:t>outputs/figures/forecast_leaderboard.csv</w:t>
      </w:r>
      <w:r>
        <w:t xml:space="preserve"> and visualised in </w:t>
      </w:r>
      <w:r>
        <w:rPr>
          <w:rFonts w:ascii="Consolas" w:hAnsi="Consolas"/>
          <w:sz w:val="20"/>
        </w:rPr>
        <w:t>forecast_wmae.png</w:t>
      </w:r>
      <w:r>
        <w:t>.</w:t>
      </w:r>
    </w:p>
    <w:p/>
    <w:p>
      <w:r>
        <w:rPr>
          <w:b/>
        </w:rPr>
        <w:t>Feature importance</w:t>
      </w:r>
      <w:r>
        <w:t xml:space="preserve"> for the chosen XGBoost model is plotted in </w:t>
      </w:r>
      <w:r>
        <w:rPr>
          <w:rFonts w:ascii="Consolas" w:hAnsi="Consolas"/>
          <w:sz w:val="20"/>
        </w:rPr>
        <w:t>xgb_importance.png</w:t>
      </w:r>
      <w:r>
        <w:t>. The</w:t>
      </w:r>
    </w:p>
    <w:p>
      <w:r>
        <w:t xml:space="preserve">top contributors are consistently </w:t>
      </w:r>
      <w:r>
        <w:rPr>
          <w:rFonts w:ascii="Consolas" w:hAnsi="Consolas"/>
          <w:sz w:val="20"/>
        </w:rPr>
        <w:t>Lag_1</w:t>
      </w:r>
      <w:r>
        <w:t xml:space="preserve">, </w:t>
      </w:r>
      <w:r>
        <w:rPr>
          <w:rFonts w:ascii="Consolas" w:hAnsi="Consolas"/>
          <w:sz w:val="20"/>
        </w:rPr>
        <w:t>Lag_52</w:t>
      </w:r>
      <w:r>
        <w:t xml:space="preserve">, </w:t>
      </w:r>
      <w:r>
        <w:rPr>
          <w:rFonts w:ascii="Consolas" w:hAnsi="Consolas"/>
          <w:sz w:val="20"/>
        </w:rPr>
        <w:t>Roll_4</w:t>
      </w:r>
      <w:r>
        <w:t xml:space="preserve">, and </w:t>
      </w:r>
      <w:r>
        <w:rPr>
          <w:rFonts w:ascii="Consolas" w:hAnsi="Consolas"/>
          <w:sz w:val="20"/>
        </w:rPr>
        <w:t>Dept</w:t>
      </w:r>
      <w:r>
        <w:t xml:space="preserve"> — reflecting that</w:t>
      </w:r>
    </w:p>
    <w:p>
      <w:r>
        <w:t>the series is heavily autoregressive and that department identity dominates store identity in</w:t>
      </w:r>
    </w:p>
    <w:p>
      <w:r>
        <w:t>shaping weekly demand.</w:t>
      </w:r>
    </w:p>
    <w:p/>
    <w:p>
      <w:pPr>
        <w:pStyle w:val="Heading2"/>
      </w:pPr>
      <w:r>
        <w:t>6.4 Market Basket Analysis (Sub-problem D)</w:t>
      </w:r>
    </w:p>
    <w:p/>
    <w:p>
      <w:r>
        <w:t xml:space="preserve">The dataset has </w:t>
      </w:r>
      <w:r>
        <w:rPr>
          <w:b/>
        </w:rPr>
        <w:t>no transaction-level data</w:t>
      </w:r>
      <w:r>
        <w:t>. We construct synthetic baskets at the</w:t>
      </w:r>
    </w:p>
    <w:p>
      <w:r>
        <w:rPr>
          <w:i/>
        </w:rPr>
        <w:t>(Store, Date)</w:t>
      </w:r>
      <w:r>
        <w:t xml:space="preserve"> level: a department is in the basket if its weekly sales exceed half its</w:t>
      </w:r>
    </w:p>
    <w:p>
      <w:r>
        <w:t>chain-wide median for that week. Apriori is run on the resulting binary matrix with</w:t>
      </w:r>
    </w:p>
    <w:p>
      <w:r>
        <w:rPr>
          <w:rFonts w:ascii="Consolas" w:hAnsi="Consolas"/>
          <w:sz w:val="20"/>
        </w:rPr>
        <w:t>min_support = 0.05</w:t>
      </w:r>
      <w:r>
        <w:t xml:space="preserve">, </w:t>
      </w:r>
      <w:r>
        <w:rPr>
          <w:rFonts w:ascii="Consolas" w:hAnsi="Consolas"/>
          <w:sz w:val="20"/>
        </w:rPr>
        <w:t>max_len = 3</w:t>
      </w:r>
      <w:r>
        <w:t xml:space="preserve">, and rules are filtered to </w:t>
      </w:r>
      <w:r>
        <w:rPr>
          <w:rFonts w:ascii="Consolas" w:hAnsi="Consolas"/>
          <w:sz w:val="20"/>
        </w:rPr>
        <w:t>lift &gt; 1.1</w:t>
      </w:r>
      <w:r>
        <w:t>.</w:t>
      </w:r>
    </w:p>
    <w:p/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</w:rPr>
        <w:t>outputs/figures/top_market_basket_rules.csv</w:t>
      </w:r>
      <w:r>
        <w:t xml:space="preserve"> (top 15 by lift) plus the</w:t>
      </w:r>
    </w:p>
    <w:p>
      <w:r>
        <w:rPr>
          <w:rFonts w:ascii="Consolas" w:hAnsi="Consolas"/>
          <w:sz w:val="20"/>
        </w:rPr>
        <w:t>mb_rules_scatter.png</w:t>
      </w:r>
      <w:r>
        <w:t xml:space="preserve"> plot of </w:t>
      </w:r>
      <w:r>
        <w:rPr>
          <w:i/>
        </w:rPr>
        <w:t>confidence × lift × support</w:t>
      </w:r>
      <w:r>
        <w:t>. Rules with lift &gt; 1.5 are</w:t>
      </w:r>
    </w:p>
    <w:p>
      <w:r>
        <w:t>strong cross-merchandising candidates.</w:t>
      </w:r>
    </w:p>
    <w:p/>
    <w:p>
      <w:r>
        <w:rPr>
          <w:b/>
        </w:rPr>
        <w:t>Limitation explicitly documented</w:t>
      </w:r>
      <w:r>
        <w:t xml:space="preserve">: the result is </w:t>
      </w:r>
      <w:r>
        <w:rPr>
          <w:i/>
        </w:rPr>
        <w:t>department-level co-spike</w:t>
      </w:r>
      <w:r>
        <w:t xml:space="preserve"> rather than</w:t>
      </w:r>
    </w:p>
    <w:p>
      <w:r>
        <w:rPr>
          <w:i/>
        </w:rPr>
        <w:t>item-level co-purchase</w:t>
      </w:r>
      <w:r>
        <w:t>. Given the data we have, this is the closest defensible approximation.</w:t>
      </w:r>
    </w:p>
    <w:p/>
    <w:p>
      <w:r>
        <w:br/>
      </w:r>
    </w:p>
    <w:p/>
    <w:p>
      <w:pPr>
        <w:pStyle w:val="Heading1"/>
      </w:pPr>
      <w:r>
        <w:t>7. External Factors — Where They Land in the Pipeline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External factor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 in segmentation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 in forecasting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CPI</w:t>
            </w:r>
          </w:p>
        </w:tc>
        <w:tc>
          <w:tcPr>
            <w:tcW w:type="dxa" w:w="2880"/>
          </w:tcPr>
          <w:p>
            <w:r/>
            <w:r>
              <w:t>Cluster-defining (regional macro)</w:t>
            </w:r>
          </w:p>
        </w:tc>
        <w:tc>
          <w:tcPr>
            <w:tcW w:type="dxa" w:w="2880"/>
          </w:tcPr>
          <w:p>
            <w:r/>
            <w:r>
              <w:t>Direct feature; weak negative coefficient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Unemployment</w:t>
            </w:r>
          </w:p>
        </w:tc>
        <w:tc>
          <w:tcPr>
            <w:tcW w:type="dxa" w:w="2880"/>
          </w:tcPr>
          <w:p>
            <w:r/>
            <w:r>
              <w:t>Cluster-defining</w:t>
            </w:r>
          </w:p>
        </w:tc>
        <w:tc>
          <w:tcPr>
            <w:tcW w:type="dxa" w:w="2880"/>
          </w:tcPr>
          <w:p>
            <w:r/>
            <w:r>
              <w:t>Direct feature; weak negative coefficient; strongest interaction with markdown depth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Fuel_Price</w:t>
            </w:r>
          </w:p>
        </w:tc>
        <w:tc>
          <w:tcPr>
            <w:tcW w:type="dxa" w:w="2880"/>
          </w:tcPr>
          <w:p>
            <w:r/>
            <w:r>
              <w:t>(not used)</w:t>
            </w:r>
          </w:p>
        </w:tc>
        <w:tc>
          <w:tcPr>
            <w:tcW w:type="dxa" w:w="2880"/>
          </w:tcPr>
          <w:p>
            <w:r/>
            <w:r>
              <w:t>Direct feature; small effect, larger in Type-C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Temperature</w:t>
            </w:r>
          </w:p>
        </w:tc>
        <w:tc>
          <w:tcPr>
            <w:tcW w:type="dxa" w:w="2880"/>
          </w:tcPr>
          <w:p>
            <w:r/>
            <w:r>
              <w:t>(not used — too short an annual cycle for cluster definition)</w:t>
            </w:r>
          </w:p>
        </w:tc>
        <w:tc>
          <w:tcPr>
            <w:tcW w:type="dxa" w:w="2880"/>
          </w:tcPr>
          <w:p>
            <w:r/>
            <w:r>
              <w:t>Direct feature; modest effect, indirect (drives foot traffic)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IsHoliday</w:t>
            </w:r>
          </w:p>
        </w:tc>
        <w:tc>
          <w:tcPr>
            <w:tcW w:type="dxa" w:w="2880"/>
          </w:tcPr>
          <w:p>
            <w:r/>
            <w:r>
              <w:t>Cluster-defining (Hol_Lift feature)</w:t>
            </w:r>
          </w:p>
        </w:tc>
        <w:tc>
          <w:tcPr>
            <w:tcW w:type="dxa" w:w="2880"/>
          </w:tcPr>
          <w:p>
            <w:r/>
            <w:r>
              <w:t>Direct feature + 5× weight in WMAE</w:t>
            </w:r>
          </w:p>
        </w:tc>
      </w:tr>
    </w:tbl>
    <w:p/>
    <w:p>
      <w:r>
        <w:t xml:space="preserve">The </w:t>
      </w:r>
      <w:r>
        <w:rPr>
          <w:b/>
        </w:rPr>
        <w:t>interaction effects</w:t>
      </w:r>
      <w:r>
        <w:t xml:space="preserve"> are visible in the cluster profiles — high-Unemployment clusters</w:t>
      </w:r>
    </w:p>
    <w:p>
      <w:r>
        <w:t>also have higher markdown sensitivity, confirming the strategic recommendation that</w:t>
      </w:r>
    </w:p>
    <w:p>
      <w:r>
        <w:t>defensive markdowns should be region-aware.</w:t>
      </w:r>
    </w:p>
    <w:p/>
    <w:p>
      <w:r>
        <w:br/>
      </w:r>
    </w:p>
    <w:p/>
    <w:p>
      <w:pPr>
        <w:pStyle w:val="Heading1"/>
      </w:pPr>
      <w:r>
        <w:t>8. Strategy &amp; Real-World Application</w:t>
      </w:r>
    </w:p>
    <w:p/>
    <w:p>
      <w:r>
        <w:t>The notebook ends with a strategy section that converts every model output into a concrete</w:t>
      </w:r>
    </w:p>
    <w:p>
      <w:r>
        <w:t>business recommendation.</w:t>
      </w:r>
    </w:p>
    <w:p/>
    <w:p>
      <w:pPr>
        <w:pStyle w:val="Heading2"/>
      </w:pPr>
      <w:r>
        <w:t>Marketing</w:t>
      </w:r>
    </w:p>
    <w:p>
      <w:pPr>
        <w:pStyle w:val="ListBullet"/>
      </w:pPr>
      <w:r>
        <w:rPr>
          <w:b/>
        </w:rPr>
        <w:t>Cluster 0</w:t>
      </w:r>
      <w:r>
        <w:t xml:space="preserve"> (large urban, high markdown) — concentrate national promotion budget.</w:t>
      </w:r>
    </w:p>
    <w:p>
      <w:pPr>
        <w:pStyle w:val="ListBullet"/>
      </w:pPr>
      <w:r>
        <w:rPr>
          <w:b/>
        </w:rPr>
        <w:t>Cluster 1</w:t>
      </w:r>
      <w:r>
        <w:t xml:space="preserve"> (mid-size suburban, moderate markdown) — bundle promotions using top</w:t>
      </w:r>
    </w:p>
    <w:p>
      <w:r>
        <w:t xml:space="preserve">  association rules instead of deeper price cuts.</w:t>
      </w:r>
    </w:p>
    <w:p>
      <w:pPr>
        <w:pStyle w:val="ListBullet"/>
      </w:pPr>
      <w:r>
        <w:rPr>
          <w:b/>
        </w:rPr>
        <w:t>Cluster 2</w:t>
      </w:r>
      <w:r>
        <w:t xml:space="preserve"> (small-format Type-C) — markdown-insensitive; focus on assortment.</w:t>
      </w:r>
    </w:p>
    <w:p/>
    <w:p>
      <w:pPr>
        <w:pStyle w:val="Heading2"/>
      </w:pPr>
      <w:r>
        <w:t>Inventory</w:t>
      </w:r>
    </w:p>
    <w:p>
      <w:pPr>
        <w:pStyle w:val="ListBullet"/>
      </w:pPr>
      <w:r>
        <w:t>Use the XGBoost forecast as the demand mean and per-cluster volatility as the σ in the</w:t>
      </w:r>
    </w:p>
    <w:p>
      <w:r>
        <w:t xml:space="preserve">  safety-stock formula </w:t>
      </w:r>
      <w:r>
        <w:rPr>
          <w:rFonts w:ascii="Consolas" w:hAnsi="Consolas"/>
          <w:sz w:val="20"/>
        </w:rPr>
        <w:t>Z·σ·√LeadTime</w:t>
      </w:r>
      <w:r>
        <w:t>.</w:t>
      </w:r>
    </w:p>
    <w:p>
      <w:pPr>
        <w:pStyle w:val="ListBullet"/>
      </w:pPr>
      <w:r>
        <w:t>High-volatility clusters need ~1.5× the buffer of low-volatility clusters at the same SLA.</w:t>
      </w:r>
    </w:p>
    <w:p/>
    <w:p>
      <w:pPr>
        <w:pStyle w:val="Heading2"/>
      </w:pPr>
      <w:r>
        <w:t>Cross-merchandising</w:t>
      </w:r>
    </w:p>
    <w:p>
      <w:pPr>
        <w:pStyle w:val="ListBullet"/>
      </w:pPr>
      <w:r>
        <w:t>Top 3 association rules (highest lift × support) are the recommended joint-promotion test.</w:t>
      </w:r>
    </w:p>
    <w:p>
      <w:pPr>
        <w:pStyle w:val="ListBullet"/>
      </w:pPr>
      <w:r>
        <w:t>Run an 8-week pilot on 5 stores per cluster with a hold-out group.</w:t>
      </w:r>
    </w:p>
    <w:p/>
    <w:p>
      <w:pPr>
        <w:pStyle w:val="Heading2"/>
      </w:pPr>
      <w:r>
        <w:t>External-factor playbook</w:t>
      </w:r>
    </w:p>
    <w:p>
      <w:pPr>
        <w:pStyle w:val="ListBullet"/>
      </w:pPr>
      <w:r>
        <w:rPr>
          <w:b/>
        </w:rPr>
        <w:t>High CPI / high unemployment</w:t>
      </w:r>
      <w:r>
        <w:t xml:space="preserve"> regions trigger a defensive markdown plan when</w:t>
      </w:r>
    </w:p>
    <w:p>
      <w:r>
        <w:t xml:space="preserve">  Unemployment rises &gt;0.5pp QoQ.</w:t>
      </w:r>
    </w:p>
    <w:p>
      <w:pPr>
        <w:pStyle w:val="ListBullet"/>
      </w:pPr>
      <w:r>
        <w:rPr>
          <w:b/>
        </w:rPr>
        <w:t>Fuel-price shock</w:t>
      </w:r>
      <w:r>
        <w:t xml:space="preserve"> triggers a Type-C-specific traffic warning.</w:t>
      </w:r>
    </w:p>
    <w:p/>
    <w:p>
      <w:pPr>
        <w:pStyle w:val="Heading2"/>
      </w:pPr>
      <w:r>
        <w:t>Real-world implementation challenges</w:t>
      </w:r>
    </w:p>
    <w:p>
      <w:pPr>
        <w:pStyle w:val="ListNumber"/>
      </w:pPr>
      <w:r>
        <w:rPr>
          <w:b/>
        </w:rPr>
        <w:t>Data freshness</w:t>
      </w:r>
      <w:r>
        <w:t xml:space="preserve"> — markdown spend and CPI lag 1-4 weeks; production must accept partial</w:t>
      </w:r>
    </w:p>
    <w:p>
      <w:r>
        <w:t xml:space="preserve">   features and fall back to lag-only.</w:t>
      </w:r>
    </w:p>
    <w:p>
      <w:pPr>
        <w:pStyle w:val="ListNumber"/>
      </w:pPr>
      <w:r>
        <w:rPr>
          <w:b/>
        </w:rPr>
        <w:t>Cold start</w:t>
      </w:r>
      <w:r>
        <w:t xml:space="preserve"> — new stores get nearest-cluster-centroid lags by Size + Type.</w:t>
      </w:r>
    </w:p>
    <w:p>
      <w:pPr>
        <w:pStyle w:val="ListNumber"/>
      </w:pPr>
      <w:r>
        <w:rPr>
          <w:b/>
        </w:rPr>
        <w:t>Drift</w:t>
      </w:r>
      <w:r>
        <w:t xml:space="preserve"> — quarterly retraining on a 24-month window.</w:t>
      </w:r>
    </w:p>
    <w:p>
      <w:pPr>
        <w:pStyle w:val="ListNumber"/>
      </w:pPr>
      <w:r>
        <w:rPr>
          <w:b/>
        </w:rPr>
        <w:t>Attribution</w:t>
      </w:r>
      <w:r>
        <w:t xml:space="preserve"> — rolling 80/20 store-holdout for A/B-style measurement.</w:t>
      </w:r>
    </w:p>
    <w:p/>
    <w:p>
      <w:r>
        <w:br/>
      </w:r>
    </w:p>
    <w:p/>
    <w:p>
      <w:pPr>
        <w:pStyle w:val="Heading1"/>
      </w:pPr>
      <w:r>
        <w:t>9. Code Quality &amp; Documentation</w:t>
      </w:r>
    </w:p>
    <w:p/>
    <w:p>
      <w:pPr>
        <w:pStyle w:val="ListBullet"/>
      </w:pPr>
      <w:r>
        <w:rPr>
          <w:b/>
        </w:rPr>
        <w:t>One-shot reproducibility</w:t>
      </w:r>
      <w:r>
        <w:t xml:space="preserve"> — </w:t>
      </w:r>
      <w:r>
        <w:rPr>
          <w:rFonts w:ascii="Consolas" w:hAnsi="Consolas"/>
          <w:sz w:val="20"/>
        </w:rPr>
        <w:t>jupyter nbconvert --to notebook --execute</w:t>
      </w:r>
      <w:r>
        <w:t xml:space="preserve"> runs the entire</w:t>
      </w:r>
    </w:p>
    <w:p>
      <w:r>
        <w:t xml:space="preserve">  notebook end-to-end without manual intervention.</w:t>
      </w:r>
    </w:p>
    <w:p>
      <w:pPr>
        <w:pStyle w:val="ListBullet"/>
      </w:pPr>
      <w:r>
        <w:rPr>
          <w:b/>
        </w:rPr>
        <w:t>Programmatic notebook builder</w:t>
      </w:r>
      <w:r>
        <w:t xml:space="preserve"> — </w:t>
      </w:r>
      <w:r>
        <w:rPr>
          <w:rFonts w:ascii="Consolas" w:hAnsi="Consolas"/>
          <w:sz w:val="20"/>
        </w:rPr>
        <w:t>src/build_notebook.py</w:t>
      </w:r>
      <w:r>
        <w:t xml:space="preserve"> re-generates the notebook from</w:t>
      </w:r>
    </w:p>
    <w:p>
      <w:r>
        <w:t xml:space="preserve">  a list of cells. Smaller, more reviewable git diffs than raw .ipynb diffs.</w:t>
      </w:r>
    </w:p>
    <w:p>
      <w:pPr>
        <w:pStyle w:val="ListBullet"/>
      </w:pPr>
      <w:r>
        <w:rPr>
          <w:b/>
        </w:rPr>
        <w:t>Random seed</w:t>
      </w:r>
      <w:r>
        <w:t xml:space="preserve"> fixed to 42 throughout.</w:t>
      </w:r>
    </w:p>
    <w:p>
      <w:pPr>
        <w:pStyle w:val="ListBullet"/>
      </w:pPr>
      <w:r>
        <w:rPr>
          <w:b/>
        </w:rPr>
        <w:t>Comments</w:t>
      </w:r>
      <w:r>
        <w:t xml:space="preserve"> explain the </w:t>
      </w:r>
      <w:r>
        <w:rPr>
          <w:i/>
        </w:rPr>
        <w:t>why</w:t>
      </w:r>
      <w:r>
        <w:t xml:space="preserve">, not the </w:t>
      </w:r>
      <w:r>
        <w:rPr>
          <w:i/>
        </w:rPr>
        <w:t>what</w:t>
      </w:r>
      <w:r>
        <w:t>. Decisions like 'NaN = 0 for markdown' are</w:t>
      </w:r>
    </w:p>
    <w:p>
      <w:r>
        <w:t xml:space="preserve">  documented at the cell level, not just at the top.</w:t>
      </w:r>
    </w:p>
    <w:p>
      <w:pPr>
        <w:pStyle w:val="ListBullet"/>
      </w:pPr>
      <w:r>
        <w:rPr>
          <w:b/>
        </w:rPr>
        <w:t>Persistence</w:t>
      </w:r>
      <w:r>
        <w:t xml:space="preserve"> — best model pickled to </w:t>
      </w:r>
      <w:r>
        <w:rPr>
          <w:rFonts w:ascii="Consolas" w:hAnsi="Consolas"/>
          <w:sz w:val="20"/>
        </w:rPr>
        <w:t>outputs/models/xgb_forecaster.joblib</w:t>
      </w:r>
      <w:r>
        <w:t>; the notebook</w:t>
      </w:r>
    </w:p>
    <w:p>
      <w:r>
        <w:t xml:space="preserve">  reloads it and predicts on unseen data as a deployment sanity check.</w:t>
      </w:r>
    </w:p>
    <w:p/>
    <w:p>
      <w:r>
        <w:br/>
      </w:r>
    </w:p>
    <w:p/>
    <w:p>
      <w:pPr>
        <w:pStyle w:val="Heading1"/>
      </w:pPr>
      <w:r>
        <w:t>10. Limitations &amp; Future Work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 already taken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Future work</w:t>
            </w:r>
          </w:p>
        </w:tc>
      </w:tr>
      <w:tr>
        <w:tc>
          <w:tcPr>
            <w:tcW w:type="dxa" w:w="2880"/>
          </w:tcPr>
          <w:p>
            <w:r/>
            <w:r>
              <w:t>No item-level transactions</w:t>
            </w:r>
          </w:p>
        </w:tc>
        <w:tc>
          <w:tcPr>
            <w:tcW w:type="dxa" w:w="2880"/>
          </w:tcPr>
          <w:p>
            <w:r/>
            <w:r>
              <w:t>Department-level inferred baskets</w:t>
            </w:r>
          </w:p>
        </w:tc>
        <w:tc>
          <w:tcPr>
            <w:tcW w:type="dxa" w:w="2880"/>
          </w:tcPr>
          <w:p>
            <w:r/>
            <w:r>
              <w:t>Acquire POS-level data; switch to FP-Growth on items.</w:t>
            </w:r>
          </w:p>
        </w:tc>
      </w:tr>
      <w:tr>
        <w:tc>
          <w:tcPr>
            <w:tcW w:type="dxa" w:w="2880"/>
          </w:tcPr>
          <w:p>
            <w:r/>
            <w:r>
              <w:t>Single-window training</w:t>
            </w:r>
          </w:p>
        </w:tc>
        <w:tc>
          <w:tcPr>
            <w:tcW w:type="dxa" w:w="2880"/>
          </w:tcPr>
          <w:p>
            <w:r/>
            <w:r>
              <w:t>Temporal split prevents leakage</w:t>
            </w:r>
          </w:p>
        </w:tc>
        <w:tc>
          <w:tcPr>
            <w:tcW w:type="dxa" w:w="2880"/>
          </w:tcPr>
          <w:p>
            <w:r/>
            <w:r>
              <w:t>Walk-forward CV across multiple windows.</w:t>
            </w:r>
          </w:p>
        </w:tc>
      </w:tr>
      <w:tr>
        <w:tc>
          <w:tcPr>
            <w:tcW w:type="dxa" w:w="2880"/>
          </w:tcPr>
          <w:p>
            <w:r/>
            <w:r>
              <w:t>Forecasting only top series at SARIMAX granularity</w:t>
            </w:r>
          </w:p>
        </w:tc>
        <w:tc>
          <w:tcPr>
            <w:tcW w:type="dxa" w:w="2880"/>
          </w:tcPr>
          <w:p>
            <w:r/>
            <w:r>
              <w:t>Tree models cover the full grid</w:t>
            </w:r>
          </w:p>
        </w:tc>
        <w:tc>
          <w:tcPr>
            <w:tcW w:type="dxa" w:w="2880"/>
          </w:tcPr>
          <w:p>
            <w:r/>
            <w:r>
              <w:t>Hierarchical reconciliation (MinT) across Store-Dept-Total.</w:t>
            </w:r>
          </w:p>
        </w:tc>
      </w:tr>
      <w:tr>
        <w:tc>
          <w:tcPr>
            <w:tcW w:type="dxa" w:w="2880"/>
          </w:tcPr>
          <w:p>
            <w:r/>
            <w:r>
              <w:t>Static cluster assignment</w:t>
            </w:r>
          </w:p>
        </w:tc>
        <w:tc>
          <w:tcPr>
            <w:tcW w:type="dxa" w:w="2880"/>
          </w:tcPr>
          <w:p>
            <w:r/>
            <w:r>
              <w:t>Re-run quarterly</w:t>
            </w:r>
          </w:p>
        </w:tc>
        <w:tc>
          <w:tcPr>
            <w:tcW w:type="dxa" w:w="2880"/>
          </w:tcPr>
          <w:p>
            <w:r/>
            <w:r>
              <w:t>Streaming clustering (e.g. mini-batch KMeans) for live updates.</w:t>
            </w:r>
          </w:p>
        </w:tc>
      </w:tr>
      <w:tr>
        <w:tc>
          <w:tcPr>
            <w:tcW w:type="dxa" w:w="2880"/>
          </w:tcPr>
          <w:p>
            <w:r/>
            <w:r>
              <w:t>No deployment surface</w:t>
            </w:r>
          </w:p>
        </w:tc>
        <w:tc>
          <w:tcPr>
            <w:tcW w:type="dxa" w:w="2880"/>
          </w:tcPr>
          <w:p>
            <w:r/>
            <w:r>
              <w:t>Pickled model + load demo</w:t>
            </w:r>
          </w:p>
        </w:tc>
        <w:tc>
          <w:tcPr>
            <w:tcW w:type="dxa" w:w="2880"/>
          </w:tcPr>
          <w:p>
            <w:r/>
            <w:r>
              <w:t>Wrap in FastAPI + feature store + monitoring.</w:t>
            </w:r>
          </w:p>
        </w:tc>
      </w:tr>
    </w:tbl>
    <w:p/>
    <w:p>
      <w:r>
        <w:br/>
      </w:r>
    </w:p>
    <w:p/>
    <w:p>
      <w:pPr>
        <w:pStyle w:val="Heading1"/>
      </w:pPr>
      <w:r>
        <w:t>11. Figures Index</w:t>
      </w:r>
    </w:p>
    <w:p/>
    <w:p>
      <w:r>
        <w:t xml:space="preserve">All figures live in </w:t>
      </w:r>
      <w:r>
        <w:rPr>
          <w:rFonts w:ascii="Consolas" w:hAnsi="Consolas"/>
          <w:sz w:val="20"/>
        </w:rPr>
        <w:t>outputs/figures/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Filename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missingness_heatmap.png</w:t>
            </w:r>
          </w:p>
        </w:tc>
        <w:tc>
          <w:tcPr>
            <w:tcW w:type="dxa" w:w="4320"/>
          </w:tcPr>
          <w:p>
            <w:r/>
            <w:r>
              <w:t>§1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01_weekly_sales_dist.png</w:t>
            </w:r>
            <w:r>
              <w:t xml:space="preserve"> … </w:t>
            </w:r>
            <w:r>
              <w:rPr>
                <w:rFonts w:ascii="Consolas" w:hAnsi="Consolas"/>
                <w:sz w:val="20"/>
              </w:rPr>
              <w:t>16_holiday_lift_by_type.png</w:t>
            </w:r>
          </w:p>
        </w:tc>
        <w:tc>
          <w:tcPr>
            <w:tcW w:type="dxa" w:w="4320"/>
          </w:tcPr>
          <w:p>
            <w:r/>
            <w:r>
              <w:t>§3 (EDA)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feature_importance.png</w:t>
            </w:r>
          </w:p>
        </w:tc>
        <w:tc>
          <w:tcPr>
            <w:tcW w:type="dxa" w:w="4320"/>
          </w:tcPr>
          <w:p>
            <w:r/>
            <w:r>
              <w:t>§5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IF_box.png</w:t>
            </w:r>
          </w:p>
        </w:tc>
        <w:tc>
          <w:tcPr>
            <w:tcW w:type="dxa" w:w="4320"/>
          </w:tcPr>
          <w:p>
            <w:r/>
            <w:r>
              <w:t>§6.1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seg_k_search.png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seg_pca.png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seg_dendrogram.png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cluster_profile.png</w:t>
            </w:r>
          </w:p>
        </w:tc>
        <w:tc>
          <w:tcPr>
            <w:tcW w:type="dxa" w:w="4320"/>
          </w:tcPr>
          <w:p>
            <w:r/>
            <w:r>
              <w:t>§6.2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sarimax_forecast.png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forecast_wmae.png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xgb_importance.png</w:t>
            </w:r>
          </w:p>
        </w:tc>
        <w:tc>
          <w:tcPr>
            <w:tcW w:type="dxa" w:w="4320"/>
          </w:tcPr>
          <w:p>
            <w:r/>
            <w:r>
              <w:t>§6.3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mb_rules_scatter.png</w:t>
            </w:r>
          </w:p>
        </w:tc>
        <w:tc>
          <w:tcPr>
            <w:tcW w:type="dxa" w:w="4320"/>
          </w:tcPr>
          <w:p>
            <w:r/>
            <w:r>
              <w:t>§6.4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forecast_leaderboard.csv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top_market_basket_rules.csv</w:t>
            </w:r>
          </w:p>
        </w:tc>
        <w:tc>
          <w:tcPr>
            <w:tcW w:type="dxa" w:w="4320"/>
          </w:tcPr>
          <w:p>
            <w:r/>
            <w:r>
              <w:t>§6.3, §6.4</w:t>
            </w:r>
          </w:p>
        </w:tc>
      </w:tr>
    </w:tbl>
    <w:p/>
    <w:p>
      <w:r>
        <w:t>Insert each PNG at the cited section when pasting into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