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32"/>
        </w:rPr>
        <w:t>IndustryGPT: A Fine-Tuned FLAN-T5 Conversational Agent for Retail E-Commerce Customer Support</w:t>
      </w:r>
    </w:p>
    <w:p>
      <w:pPr>
        <w:jc w:val="center"/>
      </w:pPr>
      <w:r>
        <w:rPr>
          <w:i/>
        </w:rPr>
        <w:t>Technical Document - Capstone Project (Deep Learning for NLP), AlmaBetter</w:t>
        <w:br/>
      </w:r>
      <w:r>
        <w:t>Author: Harish Chandra - Master's in CS: AI &amp; ML, Woolf University</w:t>
        <w:br/>
      </w:r>
      <w:r>
        <w:t>Code: https://github.com/Harish-or-Peter/Retail-Ecommerce-Chatbot</w:t>
      </w:r>
    </w:p>
    <w:p>
      <w:pPr>
        <w:pStyle w:val="Heading1"/>
      </w:pPr>
      <w:r>
        <w:t>Abstract</w:t>
      </w:r>
    </w:p>
    <w:p>
      <w:r>
        <w:t>Customer-service operations in retail e-commerce are dominated by repetitive queries - order tracking, cancellations, refunds, returns, delivery and payment questions - that scale poorly with human staffing. We build a domain-specialised conversational agent for retail e-commerce by fine-tuning Google's FLAN-T5-small on the public Bitext Retail E-Commerce Chatbot dataset (44,884 instruction-response pairs across 13 categories and 46 intents). In contrast to a retrieval-augmented design, this work uses a pure fine-tuning approach to test how far a compact, single-GPU model can be taken on its own. We evaluate the fine-tuned model against a zero-shot FLAN-T5 baseline on a held-out test set using ROUGE-1/2/L, BLEU, and BERTScore-F1, complemented by latency benchmarking and a qualitative test battery covering in-domain, out-of-domain, and ambiguous prompts. Fine-tuning produces a large uplift over the zero-shot baseline across all metrics - ROUGE-L rises from 0.057 to 0.453 and BLEU from 0.0 to 29.27 - while running entirely on a single Google Colab T4 GPU. The system is exposed through a Gradio web interface suitable for stakeholder demonstration.</w:t>
      </w:r>
    </w:p>
    <w:p>
      <w:pPr>
        <w:pStyle w:val="Heading1"/>
      </w:pPr>
      <w:r>
        <w:t>1. Introduction</w:t>
      </w:r>
    </w:p>
    <w:p>
      <w:r>
        <w:t>Online retail generates a continuous, high-volume stream of support requests, a large share of which are routine and well-structured. Customers expect instant, around-the-clock answers, which is costly to provide with human agents alone. Generic large language models can answer such questions but are expensive to run; the motivation here is to show that a small, open-weights model, fine-tuned on a retail-support corpus, can produce fluent, on-topic responses on commodity hardware (a single T4 GPU).</w:t>
      </w:r>
    </w:p>
    <w:p>
      <w:r>
        <w:t>Contributions of this work:</w:t>
      </w:r>
    </w:p>
    <w:p>
      <w:pPr>
        <w:pStyle w:val="ListBullet"/>
      </w:pPr>
      <w:r>
        <w:t>Domain fine-tuning of FLAN-T5-small on a curated retail e-commerce Q&amp;A corpus, with a documented preprocessing pipeline and proper train/validation/test splits.</w:t>
      </w:r>
    </w:p>
    <w:p>
      <w:pPr>
        <w:pStyle w:val="ListBullet"/>
      </w:pPr>
      <w:r>
        <w:t>A reproducible evaluation suite combining n-gram metrics (ROUGE, BLEU), a semantic metric (BERTScore), latency benchmarks, and a qualitative test battery covering out-of-domain and ambiguous inputs.</w:t>
      </w:r>
    </w:p>
    <w:p>
      <w:pPr>
        <w:pStyle w:val="ListBullet"/>
      </w:pPr>
      <w:r>
        <w:t>A deployable Gradio web interface serving the fine-tuned model, suitable for demonstration.</w:t>
      </w:r>
    </w:p>
    <w:p>
      <w:pPr>
        <w:pStyle w:val="Heading1"/>
      </w:pPr>
      <w:r>
        <w:t>2. Related Work</w:t>
      </w:r>
    </w:p>
    <w:p>
      <w:r>
        <w:t>The sequence-to-sequence paradigm used here stems from the Transformer (Vaswani et al., 2017) and T5 (Raffel et al., 2020), which framed every NLP task as text-to-text generation. FLAN-T5 (Chung et al., 2022) extended T5 with instruction tuning across more than 1,800 tasks, producing a base model that already follows instructions zero-shot - a strong starting point for domain fine-tuning. Applied research on customer-service chatbots has moved from rule-based and retrieval systems toward fine-tuned transformer models (Nandi et al., 2024) and generative assistants (Khennouche et al., 2023), consistently reporting that domain adaptation improves relevance. This work contributes a small, inspectable, open-weights baseline for the retail e-commerce domain.</w:t>
      </w:r>
    </w:p>
    <w:p>
      <w:pPr>
        <w:pStyle w:val="Heading1"/>
      </w:pPr>
      <w:r>
        <w:t>3. Dataset</w:t>
      </w:r>
    </w:p>
    <w:p>
      <w:pPr>
        <w:pStyle w:val="Heading2"/>
      </w:pPr>
      <w:r>
        <w:t>3.1 Source</w:t>
      </w:r>
    </w:p>
    <w:p>
      <w:r>
        <w:t>We use the Bitext Retail E-Commerce LLM Chatbot Training Dataset, publicly available via Hugging Face under the CDLA-Sharing-1.0 licence. It comprises 44,884 customer instructions paired with professional support responses. The CSV has five columns: instruction, intent, category, tags, response. Because the data is synthetically generated, it contains no personally identifiable information.</w:t>
      </w:r>
    </w:p>
    <w:p>
      <w:pPr>
        <w:pStyle w:val="Heading2"/>
      </w:pPr>
      <w:r>
        <w:t>3.2 Preprocessing</w:t>
      </w:r>
    </w:p>
    <w:p>
      <w:r>
        <w:t>Cleaning steps applied, in order: (1) drop rows missing instruction or response; (2) strip whitespace and drop empty strings; (3) drop exact duplicates on (instruction, response); (4) rename the two relevant columns to (input, output) for the trainer. Because the dataset is synthetic and already clean, no rows were removed at any stage - the full 44,884 pairs were retained.</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Stage</w:t>
            </w:r>
          </w:p>
        </w:tc>
        <w:tc>
          <w:tcPr>
            <w:tcW w:type="dxa" w:w="2880"/>
          </w:tcPr>
          <w:p>
            <w:r>
              <w:rPr>
                <w:b/>
              </w:rPr>
              <w:t>Rows</w:t>
            </w:r>
          </w:p>
        </w:tc>
        <w:tc>
          <w:tcPr>
            <w:tcW w:type="dxa" w:w="2880"/>
          </w:tcPr>
          <w:p>
            <w:r>
              <w:rPr>
                <w:b/>
              </w:rPr>
              <w:t>Removed</w:t>
            </w:r>
          </w:p>
        </w:tc>
      </w:tr>
      <w:tr>
        <w:tc>
          <w:tcPr>
            <w:tcW w:type="dxa" w:w="2880"/>
          </w:tcPr>
          <w:p>
            <w:r>
              <w:t>Raw</w:t>
            </w:r>
          </w:p>
        </w:tc>
        <w:tc>
          <w:tcPr>
            <w:tcW w:type="dxa" w:w="2880"/>
          </w:tcPr>
          <w:p>
            <w:r>
              <w:t>44,884</w:t>
            </w:r>
          </w:p>
        </w:tc>
        <w:tc>
          <w:tcPr>
            <w:tcW w:type="dxa" w:w="2880"/>
          </w:tcPr>
          <w:p>
            <w:r>
              <w:t>-</w:t>
            </w:r>
          </w:p>
        </w:tc>
      </w:tr>
      <w:tr>
        <w:tc>
          <w:tcPr>
            <w:tcW w:type="dxa" w:w="2880"/>
          </w:tcPr>
          <w:p>
            <w:r>
              <w:t>After drop NA</w:t>
            </w:r>
          </w:p>
        </w:tc>
        <w:tc>
          <w:tcPr>
            <w:tcW w:type="dxa" w:w="2880"/>
          </w:tcPr>
          <w:p>
            <w:r>
              <w:t>44,884</w:t>
            </w:r>
          </w:p>
        </w:tc>
        <w:tc>
          <w:tcPr>
            <w:tcW w:type="dxa" w:w="2880"/>
          </w:tcPr>
          <w:p>
            <w:r>
              <w:t>0</w:t>
            </w:r>
          </w:p>
        </w:tc>
      </w:tr>
      <w:tr>
        <w:tc>
          <w:tcPr>
            <w:tcW w:type="dxa" w:w="2880"/>
          </w:tcPr>
          <w:p>
            <w:r>
              <w:t>After empty-string filter</w:t>
            </w:r>
          </w:p>
        </w:tc>
        <w:tc>
          <w:tcPr>
            <w:tcW w:type="dxa" w:w="2880"/>
          </w:tcPr>
          <w:p>
            <w:r>
              <w:t>44,884</w:t>
            </w:r>
          </w:p>
        </w:tc>
        <w:tc>
          <w:tcPr>
            <w:tcW w:type="dxa" w:w="2880"/>
          </w:tcPr>
          <w:p>
            <w:r>
              <w:t>0</w:t>
            </w:r>
          </w:p>
        </w:tc>
      </w:tr>
      <w:tr>
        <w:tc>
          <w:tcPr>
            <w:tcW w:type="dxa" w:w="2880"/>
          </w:tcPr>
          <w:p>
            <w:r>
              <w:t>After dedup</w:t>
            </w:r>
          </w:p>
        </w:tc>
        <w:tc>
          <w:tcPr>
            <w:tcW w:type="dxa" w:w="2880"/>
          </w:tcPr>
          <w:p>
            <w:r>
              <w:t>44,884</w:t>
            </w:r>
          </w:p>
        </w:tc>
        <w:tc>
          <w:tcPr>
            <w:tcW w:type="dxa" w:w="2880"/>
          </w:tcPr>
          <w:p>
            <w:r>
              <w:t>0</w:t>
            </w:r>
          </w:p>
        </w:tc>
      </w:tr>
    </w:tbl>
    <w:p>
      <w:pPr>
        <w:pStyle w:val="Heading2"/>
      </w:pPr>
      <w:r>
        <w:t>3.3 Splits</w:t>
      </w:r>
    </w:p>
    <w:p>
      <w:r>
        <w:t>An 80/10/10 split, stratified by category with random_state=42 for reproducibility, yields: Train 35,907 examples; Validation 4,488 examples (used for early stopping); Test 4,489 examples (held out; 300 sampled for metric computation).</w:t>
      </w:r>
    </w:p>
    <w:p>
      <w:pPr>
        <w:pStyle w:val="Heading2"/>
      </w:pPr>
      <w:r>
        <w:t>3.4 Domain Coverage</w:t>
      </w:r>
    </w:p>
    <w:p>
      <w:r>
        <w:t>The dataset spans 13 categories (ACCOUNT, APP_WEBSITE, CART, CONTACT, DELIVERY, FEEDBACK, ORDER, PAYMENT, PRODUCT, RETURNS, SALES, STORE, USER) and 46 fine-grained intents such as track_order, cancel_order, get_refund, and change_shipping_address. Token-length analysis guided the maximum-length settings of 128 tokens for inputs and 256 for outputs, which cover the large majority of examples while remaining within the GPU memory budget.</w:t>
      </w:r>
    </w:p>
    <w:p>
      <w:pPr>
        <w:pStyle w:val="Heading1"/>
      </w:pPr>
      <w:r>
        <w:t>4. Methodology</w:t>
      </w:r>
    </w:p>
    <w:p>
      <w:pPr>
        <w:pStyle w:val="Heading2"/>
      </w:pPr>
      <w:r>
        <w:t>4.1 Architecture</w:t>
      </w:r>
    </w:p>
    <w:p>
      <w:r>
        <w:t>Inference pipeline: user query -&gt; SentencePiece tokenizer -&gt; FLAN-T5 encoder -&gt; FLAN-T5 decoder -&gt; detokenizer -&gt; response. This is a pure fine-tuning design with no external retrieval component; the model answers from the parameters learned during fine-tuning. Generation uses beam search (4 beams) with an n-gram repetition block and up to 256 new tokens.</w:t>
      </w:r>
    </w:p>
    <w:p>
      <w:pPr>
        <w:pStyle w:val="Heading2"/>
      </w:pPr>
      <w:r>
        <w:t>4.2 Fine-Tuning Hyperparameters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Hyperparameter</w:t>
            </w:r>
          </w:p>
        </w:tc>
        <w:tc>
          <w:tcPr>
            <w:tcW w:type="dxa" w:w="2880"/>
          </w:tcPr>
          <w:p>
            <w:r>
              <w:rPr>
                <w:b/>
              </w:rPr>
              <w:t>Value</w:t>
            </w:r>
          </w:p>
        </w:tc>
        <w:tc>
          <w:tcPr>
            <w:tcW w:type="dxa" w:w="2880"/>
          </w:tcPr>
          <w:p>
            <w:r>
              <w:rPr>
                <w:b/>
              </w:rPr>
              <w:t>Rationale</w:t>
            </w:r>
          </w:p>
        </w:tc>
      </w:tr>
      <w:tr>
        <w:tc>
          <w:tcPr>
            <w:tcW w:type="dxa" w:w="2880"/>
          </w:tcPr>
          <w:p>
            <w:r>
              <w:t>Base model</w:t>
            </w:r>
          </w:p>
        </w:tc>
        <w:tc>
          <w:tcPr>
            <w:tcW w:type="dxa" w:w="2880"/>
          </w:tcPr>
          <w:p>
            <w:r>
              <w:t>google/flan-t5-small (~77M)</w:t>
            </w:r>
          </w:p>
        </w:tc>
        <w:tc>
          <w:tcPr>
            <w:tcW w:type="dxa" w:w="2880"/>
          </w:tcPr>
          <w:p>
            <w:r>
              <w:t>Fits T4; instruction-tuned baseline</w:t>
            </w:r>
          </w:p>
        </w:tc>
      </w:tr>
      <w:tr>
        <w:tc>
          <w:tcPr>
            <w:tcW w:type="dxa" w:w="2880"/>
          </w:tcPr>
          <w:p>
            <w:r>
              <w:t>Precision</w:t>
            </w:r>
          </w:p>
        </w:tc>
        <w:tc>
          <w:tcPr>
            <w:tcW w:type="dxa" w:w="2880"/>
          </w:tcPr>
          <w:p>
            <w:r>
              <w:t>FP32</w:t>
            </w:r>
          </w:p>
        </w:tc>
        <w:tc>
          <w:tcPr>
            <w:tcW w:type="dxa" w:w="2880"/>
          </w:tcPr>
          <w:p>
            <w:r>
              <w:t>FLAN-T5 NaNs in FP16; T4 has no bf16</w:t>
            </w:r>
          </w:p>
        </w:tc>
      </w:tr>
      <w:tr>
        <w:tc>
          <w:tcPr>
            <w:tcW w:type="dxa" w:w="2880"/>
          </w:tcPr>
          <w:p>
            <w:r>
              <w:t>Epochs</w:t>
            </w:r>
          </w:p>
        </w:tc>
        <w:tc>
          <w:tcPr>
            <w:tcW w:type="dxa" w:w="2880"/>
          </w:tcPr>
          <w:p>
            <w:r>
              <w:t>5 (early stopping, patience 2)</w:t>
            </w:r>
          </w:p>
        </w:tc>
        <w:tc>
          <w:tcPr>
            <w:tcW w:type="dxa" w:w="2880"/>
          </w:tcPr>
          <w:p>
            <w:r>
              <w:t>Converges within budget; guards overfitting</w:t>
            </w:r>
          </w:p>
        </w:tc>
      </w:tr>
      <w:tr>
        <w:tc>
          <w:tcPr>
            <w:tcW w:type="dxa" w:w="2880"/>
          </w:tcPr>
          <w:p>
            <w:r>
              <w:t>Per-device batch size</w:t>
            </w:r>
          </w:p>
        </w:tc>
        <w:tc>
          <w:tcPr>
            <w:tcW w:type="dxa" w:w="2880"/>
          </w:tcPr>
          <w:p>
            <w:r>
              <w:t>8</w:t>
            </w:r>
          </w:p>
        </w:tc>
        <w:tc>
          <w:tcPr>
            <w:tcW w:type="dxa" w:w="2880"/>
          </w:tcPr>
          <w:p>
            <w:r>
              <w:t>Saturates T4 at these lengths</w:t>
            </w:r>
          </w:p>
        </w:tc>
      </w:tr>
      <w:tr>
        <w:tc>
          <w:tcPr>
            <w:tcW w:type="dxa" w:w="2880"/>
          </w:tcPr>
          <w:p>
            <w:r>
              <w:t>Gradient accumulation</w:t>
            </w:r>
          </w:p>
        </w:tc>
        <w:tc>
          <w:tcPr>
            <w:tcW w:type="dxa" w:w="2880"/>
          </w:tcPr>
          <w:p>
            <w:r>
              <w:t>2 (eff. batch 16)</w:t>
            </w:r>
          </w:p>
        </w:tc>
        <w:tc>
          <w:tcPr>
            <w:tcW w:type="dxa" w:w="2880"/>
          </w:tcPr>
          <w:p>
            <w:r>
              <w:t>Smoother gradients, no extra VRAM</w:t>
            </w:r>
          </w:p>
        </w:tc>
      </w:tr>
      <w:tr>
        <w:tc>
          <w:tcPr>
            <w:tcW w:type="dxa" w:w="2880"/>
          </w:tcPr>
          <w:p>
            <w:r>
              <w:t>Learning rate</w:t>
            </w:r>
          </w:p>
        </w:tc>
        <w:tc>
          <w:tcPr>
            <w:tcW w:type="dxa" w:w="2880"/>
          </w:tcPr>
          <w:p>
            <w:r>
              <w:t>3e-4</w:t>
            </w:r>
          </w:p>
        </w:tc>
        <w:tc>
          <w:tcPr>
            <w:tcW w:type="dxa" w:w="2880"/>
          </w:tcPr>
          <w:p>
            <w:r>
              <w:t>Standard for T5 fine-tuning</w:t>
            </w:r>
          </w:p>
        </w:tc>
      </w:tr>
      <w:tr>
        <w:tc>
          <w:tcPr>
            <w:tcW w:type="dxa" w:w="2880"/>
          </w:tcPr>
          <w:p>
            <w:r>
              <w:t>Scheduler</w:t>
            </w:r>
          </w:p>
        </w:tc>
        <w:tc>
          <w:tcPr>
            <w:tcW w:type="dxa" w:w="2880"/>
          </w:tcPr>
          <w:p>
            <w:r>
              <w:t>Linear, 500-step warmup</w:t>
            </w:r>
          </w:p>
        </w:tc>
        <w:tc>
          <w:tcPr>
            <w:tcW w:type="dxa" w:w="2880"/>
          </w:tcPr>
          <w:p>
            <w:r>
              <w:t>Avoids early gradient noise</w:t>
            </w:r>
          </w:p>
        </w:tc>
      </w:tr>
      <w:tr>
        <w:tc>
          <w:tcPr>
            <w:tcW w:type="dxa" w:w="2880"/>
          </w:tcPr>
          <w:p>
            <w:r>
              <w:t>Weight decay</w:t>
            </w:r>
          </w:p>
        </w:tc>
        <w:tc>
          <w:tcPr>
            <w:tcW w:type="dxa" w:w="2880"/>
          </w:tcPr>
          <w:p>
            <w:r>
              <w:t>0.01</w:t>
            </w:r>
          </w:p>
        </w:tc>
        <w:tc>
          <w:tcPr>
            <w:tcW w:type="dxa" w:w="2880"/>
          </w:tcPr>
          <w:p>
            <w:r>
              <w:t>Mild regularisation</w:t>
            </w:r>
          </w:p>
        </w:tc>
      </w:tr>
      <w:tr>
        <w:tc>
          <w:tcPr>
            <w:tcW w:type="dxa" w:w="2880"/>
          </w:tcPr>
          <w:p>
            <w:r>
              <w:t>Max length</w:t>
            </w:r>
          </w:p>
        </w:tc>
        <w:tc>
          <w:tcPr>
            <w:tcW w:type="dxa" w:w="2880"/>
          </w:tcPr>
          <w:p>
            <w:r>
              <w:t>input 128 / target 256</w:t>
            </w:r>
          </w:p>
        </w:tc>
        <w:tc>
          <w:tcPr>
            <w:tcW w:type="dxa" w:w="2880"/>
          </w:tcPr>
          <w:p>
            <w:r>
              <w:t>Covers most examples (see 3.4)</w:t>
            </w:r>
          </w:p>
        </w:tc>
      </w:tr>
      <w:tr>
        <w:tc>
          <w:tcPr>
            <w:tcW w:type="dxa" w:w="2880"/>
          </w:tcPr>
          <w:p>
            <w:r>
              <w:t>Seed</w:t>
            </w:r>
          </w:p>
        </w:tc>
        <w:tc>
          <w:tcPr>
            <w:tcW w:type="dxa" w:w="2880"/>
          </w:tcPr>
          <w:p>
            <w:r>
              <w:t>42</w:t>
            </w:r>
          </w:p>
        </w:tc>
        <w:tc>
          <w:tcPr>
            <w:tcW w:type="dxa" w:w="2880"/>
          </w:tcPr>
          <w:p>
            <w:r>
              <w:t>Reproducibility</w:t>
            </w:r>
          </w:p>
        </w:tc>
      </w:tr>
    </w:tbl>
    <w:p>
      <w:pPr>
        <w:pStyle w:val="Heading1"/>
      </w:pPr>
      <w:r>
        <w:t>5. Experiments &amp; Results</w:t>
      </w:r>
    </w:p>
    <w:p>
      <w:pPr>
        <w:pStyle w:val="Heading2"/>
      </w:pPr>
      <w:r>
        <w:t>5.1 Quantitative Metrics</w:t>
      </w:r>
    </w:p>
    <w:p>
      <w:r>
        <w:t>Both models were evaluated on the same 300-sample held-out test subset with identical generation settings. The fine-tuned model improves on the baseline across every metric.</w:t>
      </w:r>
    </w:p>
    <w:tbl>
      <w:tblPr>
        <w:tblStyle w:val="LightGrid-Accent1"/>
        <w:tblW w:type="auto" w:w="0"/>
        <w:tblLook w:firstColumn="1" w:firstRow="1" w:lastColumn="0" w:lastRow="0" w:noHBand="0" w:noVBand="1" w:val="04A0"/>
      </w:tblPr>
      <w:tblGrid>
        <w:gridCol w:w="1234"/>
        <w:gridCol w:w="1234"/>
        <w:gridCol w:w="1234"/>
        <w:gridCol w:w="1234"/>
        <w:gridCol w:w="1234"/>
        <w:gridCol w:w="1234"/>
        <w:gridCol w:w="1234"/>
      </w:tblGrid>
      <w:tr>
        <w:tc>
          <w:tcPr>
            <w:tcW w:type="dxa" w:w="1234"/>
          </w:tcPr>
          <w:p>
            <w:r>
              <w:rPr>
                <w:b/>
              </w:rPr>
              <w:t>Model</w:t>
            </w:r>
          </w:p>
        </w:tc>
        <w:tc>
          <w:tcPr>
            <w:tcW w:type="dxa" w:w="1234"/>
          </w:tcPr>
          <w:p>
            <w:r>
              <w:rPr>
                <w:b/>
              </w:rPr>
              <w:t>ROUGE-1</w:t>
            </w:r>
          </w:p>
        </w:tc>
        <w:tc>
          <w:tcPr>
            <w:tcW w:type="dxa" w:w="1234"/>
          </w:tcPr>
          <w:p>
            <w:r>
              <w:rPr>
                <w:b/>
              </w:rPr>
              <w:t>ROUGE-2</w:t>
            </w:r>
          </w:p>
        </w:tc>
        <w:tc>
          <w:tcPr>
            <w:tcW w:type="dxa" w:w="1234"/>
          </w:tcPr>
          <w:p>
            <w:r>
              <w:rPr>
                <w:b/>
              </w:rPr>
              <w:t>ROUGE-L</w:t>
            </w:r>
          </w:p>
        </w:tc>
        <w:tc>
          <w:tcPr>
            <w:tcW w:type="dxa" w:w="1234"/>
          </w:tcPr>
          <w:p>
            <w:r>
              <w:rPr>
                <w:b/>
              </w:rPr>
              <w:t>BLEU</w:t>
            </w:r>
          </w:p>
        </w:tc>
        <w:tc>
          <w:tcPr>
            <w:tcW w:type="dxa" w:w="1234"/>
          </w:tcPr>
          <w:p>
            <w:r>
              <w:rPr>
                <w:b/>
              </w:rPr>
              <w:t>BERTScore-F1</w:t>
            </w:r>
          </w:p>
        </w:tc>
        <w:tc>
          <w:tcPr>
            <w:tcW w:type="dxa" w:w="1234"/>
          </w:tcPr>
          <w:p>
            <w:r>
              <w:rPr>
                <w:b/>
              </w:rPr>
              <w:t>Latency (ms)</w:t>
            </w:r>
          </w:p>
        </w:tc>
      </w:tr>
      <w:tr>
        <w:tc>
          <w:tcPr>
            <w:tcW w:type="dxa" w:w="1234"/>
          </w:tcPr>
          <w:p>
            <w:r>
              <w:t>Zero-shot baseline</w:t>
            </w:r>
          </w:p>
        </w:tc>
        <w:tc>
          <w:tcPr>
            <w:tcW w:type="dxa" w:w="1234"/>
          </w:tcPr>
          <w:p>
            <w:r>
              <w:t>0.067</w:t>
            </w:r>
          </w:p>
        </w:tc>
        <w:tc>
          <w:tcPr>
            <w:tcW w:type="dxa" w:w="1234"/>
          </w:tcPr>
          <w:p>
            <w:r>
              <w:t>0.017</w:t>
            </w:r>
          </w:p>
        </w:tc>
        <w:tc>
          <w:tcPr>
            <w:tcW w:type="dxa" w:w="1234"/>
          </w:tcPr>
          <w:p>
            <w:r>
              <w:t>0.057</w:t>
            </w:r>
          </w:p>
        </w:tc>
        <w:tc>
          <w:tcPr>
            <w:tcW w:type="dxa" w:w="1234"/>
          </w:tcPr>
          <w:p>
            <w:r>
              <w:t>0.00</w:t>
            </w:r>
          </w:p>
        </w:tc>
        <w:tc>
          <w:tcPr>
            <w:tcW w:type="dxa" w:w="1234"/>
          </w:tcPr>
          <w:p>
            <w:r>
              <w:t>0.818</w:t>
            </w:r>
          </w:p>
        </w:tc>
        <w:tc>
          <w:tcPr>
            <w:tcW w:type="dxa" w:w="1234"/>
          </w:tcPr>
          <w:p>
            <w:r>
              <w:t>52.8</w:t>
            </w:r>
          </w:p>
        </w:tc>
      </w:tr>
      <w:tr>
        <w:tc>
          <w:tcPr>
            <w:tcW w:type="dxa" w:w="1234"/>
          </w:tcPr>
          <w:p>
            <w:r>
              <w:t>Fine-tuned</w:t>
            </w:r>
          </w:p>
        </w:tc>
        <w:tc>
          <w:tcPr>
            <w:tcW w:type="dxa" w:w="1234"/>
          </w:tcPr>
          <w:p>
            <w:r>
              <w:t>0.617</w:t>
            </w:r>
          </w:p>
        </w:tc>
        <w:tc>
          <w:tcPr>
            <w:tcW w:type="dxa" w:w="1234"/>
          </w:tcPr>
          <w:p>
            <w:r>
              <w:t>0.361</w:t>
            </w:r>
          </w:p>
        </w:tc>
        <w:tc>
          <w:tcPr>
            <w:tcW w:type="dxa" w:w="1234"/>
          </w:tcPr>
          <w:p>
            <w:r>
              <w:t>0.453</w:t>
            </w:r>
          </w:p>
        </w:tc>
        <w:tc>
          <w:tcPr>
            <w:tcW w:type="dxa" w:w="1234"/>
          </w:tcPr>
          <w:p>
            <w:r>
              <w:t>29.27</w:t>
            </w:r>
          </w:p>
        </w:tc>
        <w:tc>
          <w:tcPr>
            <w:tcW w:type="dxa" w:w="1234"/>
          </w:tcPr>
          <w:p>
            <w:r>
              <w:t>0.909</w:t>
            </w:r>
          </w:p>
        </w:tc>
        <w:tc>
          <w:tcPr>
            <w:tcW w:type="dxa" w:w="1234"/>
          </w:tcPr>
          <w:p>
            <w:r>
              <w:t>740.5</w:t>
            </w:r>
          </w:p>
        </w:tc>
      </w:tr>
    </w:tbl>
    <w:p>
      <w:pPr>
        <w:pStyle w:val="Heading2"/>
      </w:pPr>
      <w:r>
        <w:t>5.2 Per-Category Performance</w:t>
      </w:r>
    </w:p>
    <w:p>
      <w:r>
        <w:t>Per-category ROUGE-L shows the model is strongest on ACCOUNT and CART intents (around 0.57) and weakest on FEEDBACK (around 0.38), with the remaining categories clustered in between. The training and validation loss curves show healthy convergence (training loss ~2.5 to 0.70, validation ~1.08 to 0.62) with no overfitting.</w:t>
      </w:r>
    </w:p>
    <w:p>
      <w:pPr>
        <w:pStyle w:val="Heading2"/>
      </w:pPr>
      <w:r>
        <w:t>5.3 Qualitative Observations</w:t>
      </w:r>
    </w:p>
    <w:p>
      <w:r>
        <w:t>On in-domain queries the baseline typically echoes the question or returns an empty platitude, whereas the fine-tuned model returns structured, step-by-step procedures. On ambiguous single-word prompts (e.g. 'refund') it infers the most likely intent. On out-of-domain prompts (e.g. 'tell me a joke') it over-generalises and still answers in support-agent style - a direct consequence of narrow domain fine-tuning and the clearest weakness observed.</w:t>
      </w:r>
    </w:p>
    <w:p>
      <w:pPr>
        <w:pStyle w:val="Heading1"/>
      </w:pPr>
      <w:r>
        <w:t>6. Deployment</w:t>
      </w:r>
    </w:p>
    <w:p>
      <w:r>
        <w:t>The fine-tuned model is served behind a lightweight Gradio chat interface launched from the notebook. A user types a support question; the back-end applies the same tokenisation and beam-search generation used in evaluation and returns the response in a chat window. This demonstrates that the model can be deployed without specialised infrastructure.</w:t>
      </w:r>
    </w:p>
    <w:p>
      <w:pPr>
        <w:pStyle w:val="Heading1"/>
      </w:pPr>
      <w:r>
        <w:t>7. Limitations &amp; Future Work</w:t>
      </w:r>
    </w:p>
    <w:p>
      <w:r>
        <w:t>FLAN-T5-small is small and can be generic on rare or nuanced queries; the dataset is synthetic and may not capture real customer phrasing; ROUGE and BLEU approximate but do not fully reflect human judgement; and the model lacks out-of-scope detection. Future work includes out-of-scope detection with human handoff, evaluation on real anonymised logs with human ratings, comparison against larger models (e.g. flan-t5-base), and multi-turn dialogue.</w:t>
      </w:r>
    </w:p>
    <w:p>
      <w:pPr>
        <w:pStyle w:val="Heading1"/>
      </w:pPr>
      <w:r>
        <w:t>References</w:t>
      </w:r>
    </w:p>
    <w:p>
      <w:pPr>
        <w:pStyle w:val="ListNumber"/>
      </w:pPr>
      <w:r>
        <w:t>A. Vaswani et al., 'Attention Is All You Need,' NeurIPS, 2017.</w:t>
      </w:r>
    </w:p>
    <w:p>
      <w:pPr>
        <w:pStyle w:val="ListNumber"/>
      </w:pPr>
      <w:r>
        <w:t>C. Raffel et al., 'Exploring the Limits of Transfer Learning with a Unified Text-to-Text Transformer,' JMLR, 2020.</w:t>
      </w:r>
    </w:p>
    <w:p>
      <w:pPr>
        <w:pStyle w:val="ListNumber"/>
      </w:pPr>
      <w:r>
        <w:t>H. W. Chung et al., 'Scaling Instruction-Finetuned Language Models,' arXiv:2210.11416, 2022.</w:t>
      </w:r>
    </w:p>
    <w:p>
      <w:pPr>
        <w:pStyle w:val="ListNumber"/>
      </w:pPr>
      <w:r>
        <w:t>S. Nandi, N. Agrawal, A. Singh, P. Bhatt, 'Enhancing Customer Service Chatbots with Context-Aware NLU,' CODS-COMAD, 2024.</w:t>
      </w:r>
    </w:p>
    <w:p>
      <w:pPr>
        <w:pStyle w:val="ListNumber"/>
      </w:pPr>
      <w:r>
        <w:t>F. Khennouche et al., 'Revolutionizing Customer Interactions: Deploying ChatGPT and Generative Chatbots for FAQs,' 2023.</w:t>
      </w:r>
    </w:p>
    <w:p>
      <w:pPr>
        <w:pStyle w:val="ListNumber"/>
      </w:pPr>
      <w:r>
        <w:t>Bitext, 'Retail E-Commerce LLM Chatbot Training Dataset,' Hugging Face, CDLA-Sharing-1.0.</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