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4"/>
        </w:rPr>
        <w:t>Fine-Tuning a Compact Instruction-Tuned Language Model for Retail E-Commerce Customer-Support Conversational AI</w:t>
      </w:r>
    </w:p>
    <w:p>
      <w:r>
        <w:rPr>
          <w:b/>
        </w:rPr>
        <w:t>Author:</w:t>
      </w:r>
      <w:r>
        <w:t xml:space="preserve"> Harish Chandra</w:t>
      </w:r>
    </w:p>
    <w:p>
      <w:r>
        <w:rPr>
          <w:b/>
        </w:rPr>
        <w:t>Affiliation:</w:t>
      </w:r>
      <w:r>
        <w:t xml:space="preserve"> Master's in CS: Artificial Intelligence and Machine Learning, Woolf University</w:t>
      </w:r>
    </w:p>
    <w:p>
      <w:r>
        <w:rPr>
          <w:b/>
        </w:rPr>
        <w:t>Date:</w:t>
      </w:r>
      <w:r>
        <w:t xml:space="preserve"> 31 May 2026</w:t>
      </w:r>
    </w:p>
    <w:p>
      <w:pPr>
        <w:pStyle w:val="Heading1"/>
      </w:pPr>
      <w:r>
        <w:t>Abstract</w:t>
      </w:r>
    </w:p>
    <w:p>
      <w:r>
        <w:t>Retail e-commerce produces a constant flood of support questions, and most of them repeat: where is my order, how do I return this, how do I get a refund. Handling that volume with people alone is expensive. Large language models can answer such questions well, but they are big and costly to run, which puts them out of reach for a lot of small and mid-sized retailers. In this paper I ask a simple question: can a small instruction-tuned model be fine-tuned to give accurate, on-topic support answers while running on a single free-tier GPU? To find out, I fine-tuned `google/flan-t5-small` (about 77M parameters) on the Bitext retail e-commerce support dataset, which holds 44,884 instruction–response pairs across 13 categories and 46 intents, training in full precision on a Google Colab T4. I then compared the fine-tuned model with the un-tuned baseline on a held-out test set using ROUGE, BLEU, and BERTScore, and looked at how it did category by category.</w:t>
      </w:r>
    </w:p>
    <w:p>
      <w:r>
        <w:t>The gains were large and consistent. ROUGE-L climbed from 0.057 to 0.453, roughly an eight-fold jump; BLEU went from 0.0 to 29.27; and BERTScore-F1 rose from 0.818 to 0.909. The average answer grew from a useless 7 words to a full 133 words of step-by-step guidance. The model did best on order, account, and cart questions and worst on feedback, and it showed one clear failure mode: when I asked it something outside retail support, it still replied like a support agent rather than recognising the question was off-topic. The takeaway is that a small, cheap-to-train model can handle most routine retail support, which makes it a practical and reproducible starting point for low-resource conversational AI. I also discuss where it falls short and the safeguards a real deployment would need.</w:t>
      </w:r>
    </w:p>
    <w:p>
      <w:pPr>
        <w:pStyle w:val="Heading1"/>
      </w:pPr>
      <w:r>
        <w:t>Index Terms</w:t>
      </w:r>
    </w:p>
    <w:p>
      <w:r>
        <w:t>Conversational AI, Large Language Models, Fine-tuning, FLAN-T5, Sequence-to-sequence Learning, Retail E-Commerce, Customer Support, Natural Language Processing, Low-resource NLP.</w:t>
      </w:r>
    </w:p>
    <w:p>
      <w:pPr>
        <w:sectPr>
          <w:pgSz w:w="12240" w:h="15840"/>
          <w:pgMar w:top="1008" w:right="864" w:bottom="1008" w:left="864" w:header="720" w:footer="720" w:gutter="0"/>
          <w:cols w:space="720"/>
          <w:docGrid w:linePitch="360"/>
        </w:sectPr>
      </w:pPr>
    </w:p>
    <w:p>
      <w:pPr>
        <w:pStyle w:val="Heading1"/>
      </w:pPr>
      <w:r>
        <w:t>I. Introduction</w:t>
      </w:r>
    </w:p>
    <w:p>
      <w:pPr>
        <w:pStyle w:val="Heading2"/>
      </w:pPr>
      <w:r>
        <w:t>I.1 Background and Motivation</w:t>
      </w:r>
    </w:p>
    <w:p>
      <w:r>
        <w:t>Conversational AI has gone from a novelty to a normal part of customer service. The global chatbot market was worth around USD 7.76 billion in 2024 and is expected to reach USD 27.29 billion by 2030, and customer service is already its single biggest use [10]. Surveys back this up: most people have talked to a support chatbot in the past year, and automated agents now resolve a large share of routine questions on their own [16]. None of this happened overnight. It rests on a decade of progress in deep learning for language, starting with the transformer [1], moving through text-to-text transfer models like T5 [2], and arriving at instruction tuning, which teaches a model to follow plain-English requests [3]. Platforms such as Hugging Face now give anyone free access to these pre-trained models, so building a domain-specific assistant is no longer the preserve of big labs.</w:t>
      </w:r>
    </w:p>
    <w:p>
      <w:r>
        <w:t>Retail e-commerce is a natural home for this kind of system. Online shopping throws off a steady, high-volume stream of support requests, and a lot of them are repetitive and predictable: where is my order, how do I return this, how do I get a refund. Customers expect an answer right away, at any hour, and meeting that with human staff alone is both slow and expensive. The problem I care about is the cost gap. Large proprietary models can answer these questions, but they are expensive to run, which rules them out for many smaller retailers. A small model that is cheap to fine-tune and runs on ordinary hardware would put the same capability within reach.</w:t>
      </w:r>
    </w:p>
    <w:p>
      <w:r>
        <w:t>There is a second reason to focus on small models. Most recent attention has gone to scale, to ever-larger models trained on ever more data. Scale is not free, though. It costs latency, hosting, and energy, and it usually means sending customer data to a third-party API, which is awkward for a retailer that has to answer for how that data is handled. Yet many support tasks are narrow and well defined. For those, a small model that has been specialised by fine-tuning might deliver everything that matters in production without the overhead of a giant general-purpose system. That is the proposition I set out to test, concretely and reproducibly.</w:t>
      </w:r>
    </w:p>
    <w:p>
      <w:pPr>
        <w:pStyle w:val="Heading2"/>
      </w:pPr>
      <w:r>
        <w:t>I.2 Research Problem</w:t>
      </w:r>
    </w:p>
    <w:p>
      <w:r>
        <w:t xml:space="preserve">Most impressive demonstrations of support chatbots lean on very large models or proprietary data and infrastructure. That leaves an open and genuinely practical question: how well can a </w:t>
      </w:r>
      <w:r>
        <w:rPr>
          <w:i/>
        </w:rPr>
        <w:t>small</w:t>
      </w:r>
      <w:r>
        <w:t>, openly available model do on a real domain task once it has been fine-tuned under tight compute limits? If a small model does the job, it is reproducible, cheap to retrain, and easy to deploy without special hardware. Whether it actually produces answers that are accurate and relevant enough to be useful is not obvious before you try it.</w:t>
      </w:r>
    </w:p>
    <w:p>
      <w:r>
        <w:t>So the central research question of this paper is this: can a compact instruction-tuned model, `flan-t5-small`, be fine-tuned on retail e-commerce support data to give accurate, contextually relevant answers while staying within the limits of a single free-tier GPU? Two follow-up questions come with it. How big is the improvement over the un-tuned baseline, and which kinds of customer intent does the model handle well or badly?</w:t>
      </w:r>
    </w:p>
    <w:p>
      <w:pPr>
        <w:pStyle w:val="Heading2"/>
      </w:pPr>
      <w:r>
        <w:t>I.3 Research Objectives</w:t>
      </w:r>
    </w:p>
    <w:p>
      <w:r>
        <w:t>My objectives were straightforward. First, build a clean, reproducible fine-tuning pipeline for retail support data. Second, fine-tune `flan-t5-small` on that data inside a single-GPU, 25-epoch budget. Third, measure it against the un-tuned baseline using ROUGE, BLEU, and BERTScore on a held-out test set. Fourth, break the results down by intent category and read through the actual outputs to see where the model succeeds and where it fails. Fifth, put the trained model behind a simple chat interface as a proof of concept.</w:t>
      </w:r>
    </w:p>
    <w:p>
      <w:r>
        <w:t>Why does this matter? On the academic side, it adds evidence about whether low-resource, domain-specific conversational AI is feasible, which cuts against the usual push toward scale. On the practical side, it gives a small or mid-sized retailer a clear, cheap template for automating a good chunk of their support load, along with an honest account of the limits and safeguards such a system needs before it goes live.</w:t>
      </w:r>
    </w:p>
    <w:p>
      <w:r>
        <w:t>The rest of the paper is laid out as follows. Section II looks at the retail e-commerce industry: its support structure, the rise of conversational AI, and the market and regulatory backdrop that sets the requirements for a deployable assistant. Section III reviews the related literature, from transformer and text-to-text foundations through instruction tuning, tokenization, efficient adaptation, and applied chatbot research, and pins down the gap I am filling. Section IV is the methodology, covering data, preprocessing, tokenization, the fine-tuning setup, inference, deployment, and the evaluation metrics. Section V reports the experiments and results, including the comparison with the baseline, the per-category and qualitative analysis, an error analysis, and threats to validity. The Discussion interprets all of it, and the Conclusion sums up the contribution and points to future work.</w:t>
      </w:r>
    </w:p>
    <w:p>
      <w:pPr>
        <w:pStyle w:val="Heading1"/>
      </w:pPr>
      <w:r>
        <w:t>II. Industry Analysis</w:t>
      </w:r>
    </w:p>
    <w:p>
      <w:pPr>
        <w:pStyle w:val="Heading2"/>
      </w:pPr>
      <w:r>
        <w:t>II.1 Overview of the Retail E-Commerce Landscape</w:t>
      </w:r>
    </w:p>
    <w:p>
      <w:r>
        <w:t>Retail e-commerce is one of the biggest and fastest-growing parts of the world economy, with online retail revenue in the trillions of dollars and double-digit annual growth as hundreds of millions of new shoppers come online [11]. That growth reshapes customer service. Every extra order, return, and delivery creates support contacts, so the support load climbs in lockstep with sales. The channel is also fiercely competitive and mostly self-service, which means the speed and quality of support feed straight into conversion, retention, and how a brand is perceived.</w:t>
      </w:r>
    </w:p>
    <w:p>
      <w:r>
        <w:t>Another defining trait is that demand never stops. Shoppers buy at all hours and across time zones, and they expect help to be there when they need it, not just from nine to five. Covering that with human agents alone is expensive and hard to scale. That is the core reason automation has become a strategic priority rather than a nice-to-have.</w:t>
      </w:r>
    </w:p>
    <w:p>
      <w:pPr>
        <w:pStyle w:val="Heading2"/>
      </w:pPr>
      <w:r>
        <w:t>II.2 Support Structure and Challenges</w:t>
      </w:r>
    </w:p>
    <w:p>
      <w:r>
        <w:t>A small number of request types dominate the e-commerce support workload, and the dataset I used mirrors that exactly. Its 44,884 queries fall into just 13 categories, among them ORDER, RETURNS, PAYMENT, DELIVERY, CART, ACCOUNT, and PRODUCT, and 46 finer-grained intents such as `track_order`, `cancel_order`, `get_refund`, `change_shipping_address`, and `place_order`. Because the volume piles up in a handful of predictable intents, a large share of support contacts can in principle be automated.</w:t>
      </w:r>
    </w:p>
    <w:p>
      <w:r>
        <w:t>The challenges are just as clear. Support teams deal with high and uneven volumes, have to stay consistent and accurate across many agents, need to run around the clock, and have to do it under constant cost pressure. Human-only operations strain on every one of those fronts at once: hiring and training cost money, quality drifts from agent to agent, and 24/7 coverage is hard to keep up. All of that is a strong argument for handing the routine, well-structured queries to an automated system and keeping people for the complex, sensitive, or high-value cases that really need them.</w:t>
      </w:r>
    </w:p>
    <w:p>
      <w:pPr>
        <w:pStyle w:val="Heading2"/>
      </w:pPr>
      <w:r>
        <w:t>II.3 Rise of AI in E-Commerce Support</w:t>
      </w:r>
    </w:p>
    <w:p>
      <w:r>
        <w:t>Conversational AI has become the main answer to these pressures. Adoption has shot up: the chatbot market has grown several times over in a few years, customer service is its largest application, and most consumers now say they have used a support chatbot [10], [16]. Research has shifted along with practice, moving away from rule-based and retrieval systems toward fine-tuned transformers and generative assistants, with recent work aimed squarely at intent understanding and FAQ handling in customer care [7], [8]. The direction of travel is clear: from scripted flows toward models that read a free-text request and write a fluent, relevant reply.</w:t>
      </w:r>
    </w:p>
    <w:p>
      <w:r>
        <w:t>This matters to retailers because a fine-tuned generative model copes with the many ways customers phrase the same request, instead of relying on exact keyword matches. Studies of customer feedback and support in e-commerce report that transformer models perform strongly and adapt to a new domain with relatively little data [7]. My work sits right in this line, but I take it to the low-cost extreme by deliberately choosing the smallest practical model.</w:t>
      </w:r>
    </w:p>
    <w:p>
      <w:pPr>
        <w:pStyle w:val="Heading2"/>
      </w:pPr>
      <w:r>
        <w:t>II.4 Business Value and Industry Requirements</w:t>
      </w:r>
    </w:p>
    <w:p>
      <w:r>
        <w:t>For an e-commerce business the value of a good support assistant is concrete. By soaking up routine, repetitive questions it cuts cost per contact, drops response times to near-instant, keeps answers consistent, and scales with demand spikes without a matching rise in headcount, all while freeing agents for the cases that need empathy and judgement. Faster, steadier support also helps conversion and retention, so the assistant earns revenue rather than only saving cost.</w:t>
      </w:r>
    </w:p>
    <w:p>
      <w:r>
        <w:t>Delivering that value comes with requirements, though. An industry-grade assistant has to be accurate and relevant on the domain's intents, fast and predictable, affordable to build and run, and safe when it meets an out-of-scope or sensitive request. This study tackles the first three head-on by showing accurate, relevant answers from a cheap single-GPU model. The fourth shows up as a real limitation: a model fine-tuned narrowly will answer confidently even when the question is outside its domain. That gap between strong in-domain performance and unsafe out-of-domain behaviour is the thread I pick up later in the paper.</w:t>
      </w:r>
    </w:p>
    <w:p>
      <w:pPr>
        <w:pStyle w:val="Heading2"/>
      </w:pPr>
      <w:r>
        <w:t>II.5 Market Dynamics and Current Trends</w:t>
      </w:r>
    </w:p>
    <w:p>
      <w:r>
        <w:t>A few trends line up to make this a good moment for compact support assistants. Customer expectations have tilted hard toward instant, self-service resolution; shoppers would rather fix a simple problem themselves than wait in a queue, and a slow or inconsistent experience pushes them toward abandoned carts and churn. Support is also delivered across more channels than ever, web chat, mobile apps, messaging platforms, social media, so the same set of intents has to be served the same way everywhere, which favours one model over a pile of hand-written scripts. And the open-model ecosystem has grown up: strong pre-trained models and curated datasets are available for free under permissive licences, so the barrier to entry is now little more than access to a single GPU.</w:t>
      </w:r>
    </w:p>
    <w:p>
      <w:r>
        <w:t>The economics push the same way. Retail margins are thin, support is a cost centre, and operators understand the value of automating a routine ticket. That creates real demand for solutions with a low total cost of ownership, not just good headline quality but cheap to train, host, monitor, and update as catalogues and policies change. A compact model that a small team can retrain on free or low-cost infrastructure fits those pressures neatly, which is why the low-resource angle of this study is commercially relevant and not just an academic constraint.</w:t>
      </w:r>
    </w:p>
    <w:p>
      <w:pPr>
        <w:pStyle w:val="Heading2"/>
      </w:pPr>
      <w:r>
        <w:t>II.6 Regulatory and Data-Governance Environment</w:t>
      </w:r>
    </w:p>
    <w:p>
      <w:r>
        <w:t>Deploying conversational AI in retail also happens inside a tightening regulatory environment. Data-protection rules like the GDPR, and similar privacy laws elsewhere, set obligations on how customer data is collected, processed, and stored, and they make it risky to casually ship personal information off to a third-party model provider. Consumer-protection rules add another layer: a retailer is accountable for the promises its automated agent appears to make, whether about refunds, delivery dates, or prices. An assistant that answers confidently but wrongly is therefore a compliance problem, not just a quality one.</w:t>
      </w:r>
    </w:p>
    <w:p>
      <w:r>
        <w:t>These points shape what a responsible deployment looks like, and they reinforce two themes of this paper. Because the dataset I used is synthetic and openly licensed, the study itself touches no personal data and sidesteps privacy concerns at the research stage. And the option to fine-tune and host a small model in-house, rather than sending every query to an external API, is itself attractive for data governance. Seen this way, the out-of-scope behaviour I analyse later is as much a regulatory concern as a technical one, because it goes to whether an automated agent can be trusted to stay within what it is allowed to say.</w:t>
      </w:r>
    </w:p>
    <w:p>
      <w:pPr>
        <w:pStyle w:val="Heading2"/>
      </w:pPr>
      <w:r>
        <w:t>II.7 How This Research Addresses Industry Needs</w:t>
      </w:r>
    </w:p>
    <w:p>
      <w:r>
        <w:t>Putting all of this together, the study is aimed at the requirements that matter most to a retailer with limited resources. It shows that the dominant, high-volume intents can be handled accurately by a cheap model; it measures the quality gain precisely so an operator can judge whether it is good enough; it reports per-category strengths and weaknesses so automation can be rolled out where it is safe and people kept where it is not; and it spells out the limitations and safeguards, out-of-scope detection and human fallback, that a compliant production system would need. The whole project is framed around the practical and regulatory realities of the industry it serves.</w:t>
      </w:r>
    </w:p>
    <w:p>
      <w:pPr>
        <w:pStyle w:val="Heading1"/>
      </w:pPr>
      <w:r>
        <w:t>III. Literature Review</w:t>
      </w:r>
    </w:p>
    <w:p>
      <w:pPr>
        <w:pStyle w:val="Heading2"/>
      </w:pPr>
      <w:r>
        <w:t>III.1 Overview</w:t>
      </w:r>
    </w:p>
    <w:p>
      <w:r>
        <w:t>This paper builds on three lines of earlier work: the deep-learning architectures that make modern text generation possible, the instruction-tuning methods that get those architectures to follow user requests, and the applied research on conversational AI for customer service. I review each in turn, then look at how dialogue systems are evaluated, and finish by naming the gap I aim to fill. The goal here is not a complete survey but a focused account of what I build on and where I depart from it.</w:t>
      </w:r>
    </w:p>
    <w:p>
      <w:pPr>
        <w:pStyle w:val="Heading2"/>
      </w:pPr>
      <w:r>
        <w:t>III.2 Transformer and Text-to-Text Foundations</w:t>
      </w:r>
    </w:p>
    <w:p>
      <w:r>
        <w:t>The transformer, introduced by Vaswani et al., dropped recurrence in favour of self-attention and became the backbone of essentially every large language model since, because it captures long-range dependencies and trains efficiently in parallel [1]. Raffel et al. built on it with the Text-to-Text Transfer Transformer, or T5, which recasts every NLP task, translation, summarisation, question answering, as turning one string into another [2]. That framing is exactly what I rely on: customer support is just a mapping from a customer's question to a support answer.</w:t>
      </w:r>
    </w:p>
    <w:p>
      <w:r>
        <w:t>T5's encoder–decoder design suits this generation task well, since the decoder is conditioned on a full encoding of the input query. The family also comes in several sizes, and that is what makes a low-resource study like mine possible. The smallest variant keeps the same architecture and pre-training recipe as its larger siblings but fits comfortably on a single consumer GPU. I chose that smallest practical variant on purpose, to probe the bottom end of the compute–quality trade-off.</w:t>
      </w:r>
    </w:p>
    <w:p>
      <w:pPr>
        <w:pStyle w:val="Heading2"/>
      </w:pPr>
      <w:r>
        <w:t>III.3 Instruction Tuning and Compact Models</w:t>
      </w:r>
    </w:p>
    <w:p>
      <w:r>
        <w:t>The big step on top of T5 is instruction tuning. Chung et al. showed that fine-tuning a model on a huge collection of tasks written as natural-language instructions, the FLAN recipe, sharply improves its ability to follow new instructions, even ones it has never seen [3]. The `flan-t5` models I use come out of that recipe, which is why even the un-tuned baseline can make a reasonable attempt at a support question, and why a fairly short domain fine-tune is enough to specialise it.</w:t>
      </w:r>
    </w:p>
    <w:p>
      <w:r>
        <w:t>This matters for my research question because an instruction-tuned compact model starts from a much stronger place than a plain pre-trained model of the same size. Work on customer feedback and support modelling has reported the same thing: transformer models adapt to a new domain with relatively little data [7]. Put together, these results are the bet behind this study, that a small model which has already been instruction-tuned can be pushed to strong domain performance with a modest single-GPU fine-tune.</w:t>
      </w:r>
    </w:p>
    <w:p>
      <w:pPr>
        <w:pStyle w:val="Heading2"/>
      </w:pPr>
      <w:r>
        <w:t>III.4 Conversational AI in Customer Service and E-Commerce</w:t>
      </w:r>
    </w:p>
    <w:p>
      <w:r>
        <w:t>Applied work on support chatbots has moved steadily from rule-based and retrieval systems toward learned, generative ones. Recent work on context-aware language understanding for customer-service chatbots fine-tunes transformers for intent classification and shows that adding contextual cues helps when a user's message is short or vague, which happens a lot in support [7]. Other recent work looks at putting generative assistants such as ChatGPT to work on FAQs, and walks through both the gains from fine-tuning and knowledge-base integration and the practical and ethical snags that come with it [8].</w:t>
      </w:r>
    </w:p>
    <w:p>
      <w:r>
        <w:t>Across this literature the same point keeps coming up: fine-tuned transformers handle the many ways customers phrase a request and beat keyword-based methods, and domain adaptation buys large quality gains. But much of this work either focuses on one narrow sub-task, like intent classification, or leans on large generative models. My study complements it by fine-tuning a small end-to-end model that writes the whole support reply, and by reporting the trade-offs that come with that choice.</w:t>
      </w:r>
    </w:p>
    <w:p>
      <w:pPr>
        <w:pStyle w:val="Heading2"/>
      </w:pPr>
      <w:r>
        <w:t>III.5 Evaluation of Generative Dialogue Systems</w:t>
      </w:r>
    </w:p>
    <w:p>
      <w:r>
        <w:t>Since support replies are generated text, I evaluate them with established automatic metrics. ROUGE measures n-gram and longest-common-subsequence overlap with a reference and is standard for summarisation and generation [12]; BLEU measures n-gram precision and comes from machine translation [13]. Both look only at surface overlap, so I pair them with BERTScore, which compares contextual embeddings and so gives credit to a correct answer worded differently from the reference [14]. Using all three paints a fuller picture than any one of them alone.</w:t>
      </w:r>
    </w:p>
    <w:p>
      <w:r>
        <w:t>The literature is candid that these automatic metrics are stand-ins and do not fully capture whether a human finds an answer helpful or correct. So I pair them with a hands-on read of the model's outputs, which is common practice in applied dialogue work, and I treat the limits of automatic evaluation openly in the discussion.</w:t>
      </w:r>
    </w:p>
    <w:p>
      <w:pPr>
        <w:pStyle w:val="Heading2"/>
      </w:pPr>
      <w:r>
        <w:t>III.6 Subword Tokenization and Sequence-to-Sequence Learning</w:t>
      </w:r>
    </w:p>
    <w:p>
      <w:r>
        <w:t>The text-to-text formulation rests on the sequence-to-sequence idea from Sutskever et al., where an encoder compresses an input sequence into a representation and a decoder expands it into an output sequence [17]. Modern systems do this with transformers rather than recurrent networks, but the framing, map a source sequence to a target sequence, is the same one I use to turn a query into a reply. How well these models work depends a lot on how text is split into tokens, since no fixed vocabulary can list every possible word.</w:t>
      </w:r>
    </w:p>
    <w:p>
      <w:r>
        <w:t>Subword tokenization is the fix. Byte-pair encoding builds a vocabulary of frequent character sequences so rare or unseen words become combinations of known pieces [18], and SentencePiece turns this into a language-independent tokenizer that works straight on raw text [19]. FLAN-T5 uses a SentencePiece tokenizer, which is why it handles the product names, order codes, and placeholder slots in retail support text without drowning in out-of-vocabulary tokens. I kept that tokenizer as it came.</w:t>
      </w:r>
    </w:p>
    <w:p>
      <w:pPr>
        <w:pStyle w:val="Heading2"/>
      </w:pPr>
      <w:r>
        <w:t>III.7 Efficient and Low-Resource Model Adaptation</w:t>
      </w:r>
    </w:p>
    <w:p>
      <w:r>
        <w:t>There is a growing body of work on adapting large models cheaply, and it speaks directly to my low-resource framing. Knowledge distillation and the release of deliberately small pre-trained variants make it possible to run capable models on modest hardware, and parameter-efficient methods such as Low-Rank Adaptation update only a small set of injected parameters instead of the whole network, which cuts the memory needed to specialise a model [20]. I take the simplest point on that spectrum, full fine-tuning of an already-small model, precisely because it is the clearest and most reproducible baseline for those efficiency techniques to be compared against later.</w:t>
      </w:r>
    </w:p>
    <w:p>
      <w:r>
        <w:t>The other main alternative to fine-tuning is retrieval-augmented generation, which grounds a model at inference time on passages pulled from an external store [21], usually with dense sentence embeddings like Sentence-BERT's [22]. Retrieval cuts hallucination on knowledge-heavy queries and lets you update a system by editing the corpus instead of retraining. I deliberately leave retrieval out. The point of this study is to isolate and measure what fine-tuning alone gets a compact model on routine support intents, so retrieval stays a clearly marked direction for future work rather than a confound in this evaluation.</w:t>
      </w:r>
    </w:p>
    <w:p>
      <w:pPr>
        <w:pStyle w:val="Heading2"/>
      </w:pPr>
      <w:r>
        <w:t>III.8 Gaps in Existing Literature</w:t>
      </w:r>
    </w:p>
    <w:p>
      <w:r>
        <w:t>Two gaps come out of this review. First, most demonstrations of strong support conversational AI lean on large or proprietary models, so the low-resource end of the design space, small, open, cheap-to-train models, is comparatively under-reported, and especially so for retail e-commerce. Second, a lot of applied work isolates a single sub-task such as intent detection rather than evaluating an end-to-end model that writes the full customer-facing reply, and it rarely reports per-category behaviour or the characteristic failure modes a practitioner needs to see coming.</w:t>
      </w:r>
    </w:p>
    <w:p>
      <w:pPr>
        <w:pStyle w:val="Heading2"/>
      </w:pPr>
      <w:r>
        <w:t>III.9 Contribution of This Study</w:t>
      </w:r>
    </w:p>
    <w:p>
      <w:r>
        <w:t>This study goes after both gaps. I fine-tune a single, compact, openly available instruction-tuned model end-to-end on a retail e-commerce support corpus under a strict single-GPU budget, and I report the whole picture: the quantitative gains over the baseline across three complementary metrics, a per-category breakdown of where the model is strong and weak, and an honest look at how it behaves out of domain. The contribution, then, is a practical, reproducible reference point for low-resource domain conversational AI, not a new architecture.</w:t>
      </w:r>
    </w:p>
    <w:p>
      <w:pPr>
        <w:pStyle w:val="Heading1"/>
      </w:pPr>
      <w:r>
        <w:t>IV. Methodology</w:t>
      </w:r>
    </w:p>
    <w:p>
      <w:pPr>
        <w:pStyle w:val="Heading2"/>
      </w:pPr>
      <w:r>
        <w:t>IV.1 Data Acquisition</w:t>
      </w:r>
    </w:p>
    <w:p>
      <w:r>
        <w:t>I used the Bitext retail e-commerce customer-support dataset, pulled from Hugging Face under the CDLA-Sharing-1.0 licence [9]. It holds 44,884 instruction–response pairs, each one a customer query paired with a support answer, and each tagged with one of 13 categories and one of 46 finer intents. The categories cover the full spread of e-commerce support, ACCOUNT, APP_WEBSITE, CART, CONTACT, DELIVERY, FEEDBACK, ORDER, PAYMENT, PRODUCT, RETURNS, SALES, STORE, and USER, while the intents pin down specific actions like `track_order`, `cancel_order`, `get_refund`, and `change_shipping_address`.</w:t>
      </w:r>
    </w:p>
    <w:p>
      <w:r>
        <w:t>One thing I liked about this dataset, both practically and ethically, is that it is synthetically generated rather than scraped from real customers, so it carries no personally identifiable information. The responses keep explicit placeholder slots, an order-number token for instance, where a live system would drop in real values; I left those in during training so the model learns the structure around them. I also saved the full dataset alongside the trained model to keep the experiment reproducible.</w:t>
      </w:r>
    </w:p>
    <w:p>
      <w:pPr>
        <w:pStyle w:val="Heading2"/>
      </w:pPr>
      <w:r>
        <w:t>IV.2 Data Preprocessing and Cleaning</w:t>
      </w:r>
    </w:p>
    <w:p>
      <w:r>
        <w:t>Preprocessing came down to turning the raw data into clean input–output pairs. I dropped rows with a missing or empty instruction or response, removed exact duplicate pairs, and renamed the two columns I needed to `input` and `output` to set up the sequence-to-sequence task. That left a clean set of instruction–response examples while keeping the category labels I would need later for the per-category analysis.</w:t>
      </w:r>
    </w:p>
    <w:p>
      <w:r>
        <w:t>I split the clean data 80/10/10 into training, validation, and test sets, stratified by category so each split keeps the same mix of topics, and I fixed the random seed at 42 for the split and everything else random so the whole pipeline reproduces. Worth noting: because the corpus is synthetic and well-formed, the cleaning steps removed nothing in practice, all 44,884 pairs survived, which is itself handy for reproducibility. The loading, cleaning, and splitting steps look like this.</w:t>
      </w:r>
    </w:p>
    <w:p>
      <w:pPr>
        <w:spacing w:before="60" w:after="60"/>
        <w:ind w:left="115"/>
      </w:pPr>
      <w:r>
        <w:rPr>
          <w:rFonts w:ascii="Consolas" w:hAnsi="Consolas"/>
          <w:color w:val="1A1A1A"/>
          <w:sz w:val="16"/>
        </w:rPr>
        <w:t>from datasets import load_dataset</w:t>
        <w:br/>
        <w:t>from sklearn.model_selection import train_test_split</w:t>
        <w:br/>
        <w:br/>
        <w:t>ds = load_dataset("bitext/Bitext-retail-ecommerce-llm-chatbot-training-dataset", split="train")</w:t>
        <w:br/>
        <w:t>df = ds.to_pandas()[["instruction", "response", "category", "intent"]].dropna()</w:t>
        <w:br/>
        <w:t>df = df[df["instruction"].str.strip() != ""]</w:t>
        <w:br/>
        <w:t>df = df.drop_duplicates(subset=["instruction", "response"])</w:t>
        <w:br/>
        <w:t>df = df.rename(columns={"instruction": "input", "response": "output"})</w:t>
        <w:br/>
        <w:br/>
        <w:t>train_df, temp_df = train_test_split(df, test_size=0.2, random_state=42, stratify=df["category"])</w:t>
        <w:br/>
        <w:t>val_df,  test_df  = train_test_split(temp_df, test_size=0.5, random_state=42, stratify=temp_df["category"])</w:t>
      </w:r>
    </w:p>
    <w:p>
      <w:pPr>
        <w:pStyle w:val="Heading2"/>
      </w:pPr>
      <w:r>
        <w:t>IV.3 Tokenization and Encoding</w:t>
      </w:r>
    </w:p>
    <w:p>
      <w:r>
        <w:t>I tokenized inputs and outputs with the `flan-t5-small` tokenizer, which is a SentencePiece model. A look at the token lengths in the corpus set the maximum-length choices: I capped inputs at 128 tokens and outputs at 256, which covers most examples while keeping memory inside the GPU budget. Anything longer was truncated, and everything was padded to a fixed length.</w:t>
      </w:r>
    </w:p>
    <w:p>
      <w:r>
        <w:t>One detail on the target labels matters. I replaced the padding positions in the labels with −100, which tells the loss to ignore them. Without that the model would get rewarded for predicting padding; with it, the loss reflects only the real response content. The tokenization function looks like this.</w:t>
      </w:r>
    </w:p>
    <w:p>
      <w:pPr>
        <w:spacing w:before="60" w:after="60"/>
        <w:ind w:left="115"/>
      </w:pPr>
      <w:r>
        <w:rPr>
          <w:rFonts w:ascii="Consolas" w:hAnsi="Consolas"/>
          <w:color w:val="1A1A1A"/>
          <w:sz w:val="16"/>
        </w:rPr>
        <w:t>MAX_INPUT, MAX_TARGET = 128, 256</w:t>
        <w:br/>
        <w:t>def tokenize(batch):</w:t>
        <w:br/>
        <w:t xml:space="preserve">    enc = tokenizer(batch["input"],  max_length=MAX_INPUT,  truncation=True, padding="max_length")</w:t>
        <w:br/>
        <w:t xml:space="preserve">    lab = tokenizer(text_target=batch["output"], max_length=MAX_TARGET, truncation=True, padding="max_length")</w:t>
        <w:br/>
        <w:t xml:space="preserve">    enc["labels"] = [[(t if t != tokenizer.pad_token_id else -100) for t in seq]</w:t>
        <w:br/>
        <w:t xml:space="preserve">                     for seq in lab["input_ids"]]</w:t>
        <w:br/>
        <w:t xml:space="preserve">    return enc</w:t>
      </w:r>
    </w:p>
    <w:p>
      <w:pPr>
        <w:pStyle w:val="Heading2"/>
      </w:pPr>
      <w:r>
        <w:t>IV.4 Model and Fine-Tuning Setup</w:t>
      </w:r>
    </w:p>
    <w:p>
      <w:r>
        <w:t>The base model is `google/flan-t5-small`, an encoder–decoder transformer of about 77 million parameters. Under the hood it is a stack of encoder layers that read the tokenized query and a stack of decoder layers that produce the answer one token at a time, with each layer mixing multi-head self-attention and feed-forward sub-layers and using the T5 family's relative-position scheme. The encoder builds a representation of the whole input, and the decoder attends to that through cross-attention while also attending to the tokens it has already written, which is what lets it produce coherent, multi-sentence answers tied to the question. The weights are not random when fine-tuning starts; they already carry the instruction-following behaviour from FLAN pre-training, and fine-tuning nudges them toward the style and content of retail support.</w:t>
      </w:r>
    </w:p>
    <w:p>
      <w:r>
        <w:t>I ran the fine-tuning with Hugging Face's `Seq2SeqTrainer` on a single Google Colab T4. The objective is the usual sequence-to-sequence cross-entropy loss: at each output position the model predicts a distribution over the vocabulary, and the loss is the negative log-probability of the correct next token, averaged over the non-padding positions of the target. One engineering choice is worth calling out. I trained in full 32-bit precision because FLAN-T5 is numerically unstable in 16-bit and produces NaN losses, and the T4 has no bfloat16 support, so FP32 was the only thing that trained cleanly on this hardware.</w:t>
      </w:r>
    </w:p>
    <w:p>
      <w:r>
        <w:t>For hyperparameters I used a learning rate of 3×10⁻⁴, a per-device batch size of 8 with gradient accumulation of 2 for an effective batch of 16, a linear schedule with 500 warm-up steps, and weight decay of 0.01. Training ran up to 5 epochs, comfortably inside the 25-epoch budget, with evaluation and checkpointing every 500 steps, early stopping with patience 2 on validation loss, and the best checkpoint restored at the end. I picked this setup to converge reliably inside a free-tier session without overfitting. The core training configuration is below.</w:t>
      </w:r>
    </w:p>
    <w:p>
      <w:pPr>
        <w:spacing w:before="60" w:after="60"/>
        <w:ind w:left="115"/>
      </w:pPr>
      <w:r>
        <w:rPr>
          <w:rFonts w:ascii="Consolas" w:hAnsi="Consolas"/>
          <w:color w:val="1A1A1A"/>
          <w:sz w:val="16"/>
        </w:rPr>
        <w:t>training_args = Seq2SeqTrainingArguments(</w:t>
        <w:br/>
        <w:t xml:space="preserve">    output_dir="ft_ckpt",</w:t>
        <w:br/>
        <w:t xml:space="preserve">    num_train_epochs=5,                 # cap 25; early stopping halts sooner</w:t>
        <w:br/>
        <w:t xml:space="preserve">    per_device_train_batch_size=8,</w:t>
        <w:br/>
        <w:t xml:space="preserve">    gradient_accumulation_steps=2,      # effective batch size 16</w:t>
        <w:br/>
        <w:t xml:space="preserve">    learning_rate=3e-4, weight_decay=0.01, warmup_steps=500,</w:t>
        <w:br/>
        <w:t xml:space="preserve">    lr_scheduler_type="linear", predict_with_generate=True,</w:t>
        <w:br/>
        <w:t xml:space="preserve">    eval_strategy="steps", eval_steps=500, save_steps=500,</w:t>
        <w:br/>
        <w:t xml:space="preserve">    load_best_model_at_end=True, metric_for_best_model="eval_loss",</w:t>
        <w:br/>
        <w:t xml:space="preserve">    fp16=False, bf16=False,             # FP32: FLAN-T5 NaNs in FP16; T4 has no bf16</w:t>
        <w:br/>
        <w:t xml:space="preserve">    seed=42,</w:t>
        <w:br/>
        <w:t>)</w:t>
        <w:br/>
        <w:t>trainer = Seq2SeqTrainer(</w:t>
        <w:br/>
        <w:t xml:space="preserve">    model=model, args=training_args,</w:t>
        <w:br/>
        <w:t xml:space="preserve">    train_dataset=train_ds, eval_dataset=val_ds,</w:t>
        <w:br/>
        <w:t xml:space="preserve">    data_collator=DataCollatorForSeq2Seq(tokenizer, model=model),</w:t>
        <w:br/>
        <w:t xml:space="preserve">    callbacks=[EarlyStoppingCallback(early_stopping_patience=2)],</w:t>
        <w:br/>
        <w:t>)</w:t>
        <w:br/>
        <w:t>trainer.train()</w:t>
      </w:r>
    </w:p>
    <w:p>
      <w:pPr>
        <w:pStyle w:val="Heading2"/>
      </w:pPr>
      <w:r>
        <w:t>IV.5 Conversational Flow and Inference</w:t>
      </w:r>
    </w:p>
    <w:p>
      <w:r>
        <w:t>At inference time a query is tokenized and handed to the fine-tuned model, which generates a reply with beam search over four beams, an n-gram repetition block (`no_repeat_ngram_size = 3`) to stop it looping, and a cap of 256 new tokens. These settings favour coherent, non-repetitive, reasonably complete answers over the clipped output you tend to get from greedy decoding.</w:t>
      </w:r>
    </w:p>
    <w:p>
      <w:r>
        <w:t>The flow is single-turn: each query is answered on its own, which fits both the dataset and the bulk of routine support contacts. Going multi-turn is something I flag as future work rather than attempt here.</w:t>
      </w:r>
    </w:p>
    <w:p>
      <w:pPr>
        <w:pStyle w:val="Heading2"/>
      </w:pPr>
      <w:r>
        <w:t>IV.6 Evaluation Design</w:t>
      </w:r>
    </w:p>
    <w:p>
      <w:r>
        <w:t>I evaluated the fine-tuned model against the un-tuned `flan-t5-small` baseline on a held-out sample of 300 test examples the model never saw during training. I computed three automatic metrics, ROUGE-1/2/L, BLEU through sacreBLEU, and BERTScore-F1, and also recorded average response length and per-query latency to capture verbosity and cost. To find strengths and weaknesses I computed ROUGE-L per category as well.</w:t>
      </w:r>
    </w:p>
    <w:p>
      <w:r>
        <w:t>I paired the numbers with qualitative testing on purpose. I ran a battery of 16 prompts, spanning in-domain, out-of-domain, and deliberately ambiguous queries, through both the baseline and the fine-tuned model, so the scores could be read against concrete examples of how each one actually behaves.</w:t>
      </w:r>
    </w:p>
    <w:p>
      <w:pPr>
        <w:pStyle w:val="Heading2"/>
      </w:pPr>
      <w:r>
        <w:t>IV.7 Front-End and Deployment Interface</w:t>
      </w:r>
    </w:p>
    <w:p>
      <w:r>
        <w:t>To show the model working in something like a real setting, I wrapped it in a lightweight Gradio chat interface launched straight from the notebook. A user types a support question, the back-end runs the same tokenization and beam-search generation I used in evaluation, and the reply shows up in a chat window, with example prompts on hand for quick testing. It is a proof-of-concept deployment, and it makes the point that the trained model can be served behind a simple UI without any special infrastructure.</w:t>
      </w:r>
    </w:p>
    <w:p>
      <w:pPr>
        <w:pStyle w:val="Heading2"/>
      </w:pPr>
      <w:r>
        <w:t>IV.8 Evaluation Metrics Defined</w:t>
      </w:r>
    </w:p>
    <w:p>
      <w:r>
        <w:t>For completeness, here is what the three metrics actually measure. ROUGE looks at overlap with the reference: ROUGE-1 and ROUGE-2 are the recall-oriented overlap of single words and word pairs, and ROUGE-L is based on the longest common subsequence, so it rewards getting the right content in the right order. BLEU, from machine translation, is a precision-oriented score over n-grams up to length four with a brevity penalty that punishes answers that are too short; I report it on the 0–100 scale. Both ROUGE and BLEU compare exact tokens, so a correct answer worded differently from the reference can still score low.</w:t>
      </w:r>
    </w:p>
    <w:p>
      <w:r>
        <w:t>BERTScore is there to offset that. Rather than matching exact tokens, it embeds the candidate and the reference with a pre-trained contextual model, matches them by cosine similarity, and reports an F1. Because it works on meaning instead of surface form, a high BERTScore sitting alongside high ROUGE and BLEU is good reason to believe an improvement is real and not a quirk of one metric. I also track two non-quality measures: the average response length in words, which says how verbose the model is, and the latency in milliseconds per query on the T4, which says what it costs to run.</w:t>
      </w:r>
    </w:p>
    <w:p>
      <w:pPr>
        <w:pStyle w:val="Heading1"/>
      </w:pPr>
      <w:r>
        <w:t>V. Experiments and Results</w:t>
      </w:r>
    </w:p>
    <w:p>
      <w:pPr>
        <w:pStyle w:val="Heading2"/>
      </w:pPr>
      <w:r>
        <w:t>V.1 Objective of Evaluation</w:t>
      </w:r>
    </w:p>
    <w:p>
      <w:r>
        <w:t>The evaluation was built to answer the research questions head-on: does fine-tuning actually improve a compact model's retail-support replies, how big is that improvement next to the un-tuned baseline, and which intent categories does the model handle well or badly?</w:t>
      </w:r>
    </w:p>
    <w:p>
      <w:pPr>
        <w:pStyle w:val="Heading2"/>
      </w:pPr>
      <w:r>
        <w:t>V.2 Experiment Setup</w:t>
      </w:r>
    </w:p>
    <w:p>
      <w:r>
        <w:t>Every experiment used the held-out test split, unseen in training, with a fixed 300-example sample for the quantitative metrics, scored the same way for the baseline and the fine-tuned model on the same Colab T4. The qualitative battery used the 16 hand-written prompts from IV.6.</w:t>
      </w:r>
    </w:p>
    <w:p>
      <w:r>
        <w:t>I ran some exploratory data analysis first, and it shaped these choices (Figures 1–3). The category distribution (Figure 1) confirms the corpus covers all 13 support areas, with ORDER, PRODUCT, and ACCOUNT among the best represented. The intent view (Figure 2) shows the 46 intents are reasonably balanced rather than dominated by one class, which helps the model see even coverage during fine-tuning. The token-length distributions (Figure 3) settled the maximum-length choices directly: customer instructions are short, almost all well under 128 tokens, while support responses run much longer, which is why I gave the output side a bigger 256-token limit. Both the 128/256 setting and my expectation that the model would learn long, structured answers fall out of these plots, and the 133-word average response length reported below bears that out.</w:t>
      </w:r>
    </w:p>
    <w:p>
      <w:pPr>
        <w:jc w:val="center"/>
      </w:pPr>
      <w:r>
        <w:drawing>
          <wp:inline xmlns:a="http://schemas.openxmlformats.org/drawingml/2006/main" xmlns:pic="http://schemas.openxmlformats.org/drawingml/2006/picture">
            <wp:extent cx="2926080" cy="1444321"/>
            <wp:docPr id="1" name="Picture 1"/>
            <wp:cNvGraphicFramePr>
              <a:graphicFrameLocks noChangeAspect="1"/>
            </wp:cNvGraphicFramePr>
            <a:graphic>
              <a:graphicData uri="http://schemas.openxmlformats.org/drawingml/2006/picture">
                <pic:pic>
                  <pic:nvPicPr>
                    <pic:cNvPr id="0" name="fig1_category_distribution.png"/>
                    <pic:cNvPicPr/>
                  </pic:nvPicPr>
                  <pic:blipFill>
                    <a:blip r:embed="rId9"/>
                    <a:stretch>
                      <a:fillRect/>
                    </a:stretch>
                  </pic:blipFill>
                  <pic:spPr>
                    <a:xfrm>
                      <a:off x="0" y="0"/>
                      <a:ext cx="2926080" cy="1444321"/>
                    </a:xfrm>
                    <a:prstGeom prst="rect"/>
                  </pic:spPr>
                </pic:pic>
              </a:graphicData>
            </a:graphic>
          </wp:inline>
        </w:drawing>
      </w:r>
    </w:p>
    <w:p>
      <w:pPr>
        <w:jc w:val="center"/>
      </w:pPr>
      <w:r>
        <w:rPr>
          <w:i/>
          <w:sz w:val="17"/>
        </w:rPr>
        <w:t>Fig. 1. Category distribution across the 13 e-commerce support areas.</w:t>
      </w:r>
    </w:p>
    <w:p>
      <w:pPr>
        <w:jc w:val="center"/>
      </w:pPr>
      <w:r>
        <w:drawing>
          <wp:inline xmlns:a="http://schemas.openxmlformats.org/drawingml/2006/main" xmlns:pic="http://schemas.openxmlformats.org/drawingml/2006/picture">
            <wp:extent cx="2926080" cy="1740658"/>
            <wp:docPr id="2" name="Picture 2"/>
            <wp:cNvGraphicFramePr>
              <a:graphicFrameLocks noChangeAspect="1"/>
            </wp:cNvGraphicFramePr>
            <a:graphic>
              <a:graphicData uri="http://schemas.openxmlformats.org/drawingml/2006/picture">
                <pic:pic>
                  <pic:nvPicPr>
                    <pic:cNvPr id="0" name="fig2_intent_distribution.png"/>
                    <pic:cNvPicPr/>
                  </pic:nvPicPr>
                  <pic:blipFill>
                    <a:blip r:embed="rId10"/>
                    <a:stretch>
                      <a:fillRect/>
                    </a:stretch>
                  </pic:blipFill>
                  <pic:spPr>
                    <a:xfrm>
                      <a:off x="0" y="0"/>
                      <a:ext cx="2926080" cy="1740658"/>
                    </a:xfrm>
                    <a:prstGeom prst="rect"/>
                  </pic:spPr>
                </pic:pic>
              </a:graphicData>
            </a:graphic>
          </wp:inline>
        </w:drawing>
      </w:r>
    </w:p>
    <w:p>
      <w:pPr>
        <w:jc w:val="center"/>
      </w:pPr>
      <w:r>
        <w:rPr>
          <w:i/>
          <w:sz w:val="17"/>
        </w:rPr>
        <w:t>Fig. 2. Distribution of the most frequent customer intents.</w:t>
      </w:r>
    </w:p>
    <w:p>
      <w:pPr>
        <w:jc w:val="center"/>
      </w:pPr>
      <w:r>
        <w:drawing>
          <wp:inline xmlns:a="http://schemas.openxmlformats.org/drawingml/2006/main" xmlns:pic="http://schemas.openxmlformats.org/drawingml/2006/picture">
            <wp:extent cx="2926080" cy="881604"/>
            <wp:docPr id="3" name="Picture 3"/>
            <wp:cNvGraphicFramePr>
              <a:graphicFrameLocks noChangeAspect="1"/>
            </wp:cNvGraphicFramePr>
            <a:graphic>
              <a:graphicData uri="http://schemas.openxmlformats.org/drawingml/2006/picture">
                <pic:pic>
                  <pic:nvPicPr>
                    <pic:cNvPr id="0" name="fig3_token_lengths.png"/>
                    <pic:cNvPicPr/>
                  </pic:nvPicPr>
                  <pic:blipFill>
                    <a:blip r:embed="rId11"/>
                    <a:stretch>
                      <a:fillRect/>
                    </a:stretch>
                  </pic:blipFill>
                  <pic:spPr>
                    <a:xfrm>
                      <a:off x="0" y="0"/>
                      <a:ext cx="2926080" cy="881604"/>
                    </a:xfrm>
                    <a:prstGeom prst="rect"/>
                  </pic:spPr>
                </pic:pic>
              </a:graphicData>
            </a:graphic>
          </wp:inline>
        </w:drawing>
      </w:r>
    </w:p>
    <w:p>
      <w:pPr>
        <w:jc w:val="center"/>
      </w:pPr>
      <w:r>
        <w:rPr>
          <w:i/>
          <w:sz w:val="17"/>
        </w:rPr>
        <w:t>Fig. 3. Token-length distributions for instructions and responses, justifying the 128/256 limits.</w:t>
      </w:r>
    </w:p>
    <w:p>
      <w:pPr>
        <w:pStyle w:val="Heading2"/>
      </w:pPr>
      <w:r>
        <w:t>V.3 Performance Metrics</w:t>
      </w:r>
    </w:p>
    <w:p>
      <w:r>
        <w:t>Fine-tuning improved every metric, and by a wide margin. Table I lays it out.</w:t>
      </w:r>
    </w:p>
    <w:p>
      <w:r>
        <w:rPr>
          <w:b/>
        </w:rPr>
        <w:t>Table I — Baseline vs. fine-tuned model on the held-out test set.</w:t>
      </w:r>
    </w:p>
    <w:tbl>
      <w:tblPr>
        <w:tblStyle w:val="LightGrid-Accent1"/>
        <w:tblW w:type="auto" w:w="0"/>
        <w:tblLook w:firstColumn="1" w:firstRow="1" w:lastColumn="0" w:lastRow="0" w:noHBand="0" w:noVBand="1" w:val="04A0"/>
      </w:tblPr>
      <w:tblGrid>
        <w:gridCol w:w="3504"/>
        <w:gridCol w:w="3504"/>
        <w:gridCol w:w="3504"/>
      </w:tblGrid>
      <w:tr>
        <w:tc>
          <w:tcPr>
            <w:tcW w:type="dxa" w:w="3504"/>
          </w:tcPr>
          <w:p>
            <w:r/>
            <w:r>
              <w:rPr>
                <w:b/>
                <w:sz w:val="16"/>
              </w:rPr>
              <w:t>Metric</w:t>
            </w:r>
          </w:p>
        </w:tc>
        <w:tc>
          <w:tcPr>
            <w:tcW w:type="dxa" w:w="3504"/>
          </w:tcPr>
          <w:p>
            <w:r/>
            <w:r>
              <w:rPr>
                <w:b/>
                <w:sz w:val="16"/>
              </w:rPr>
              <w:t>Zero-shot baseline</w:t>
            </w:r>
          </w:p>
        </w:tc>
        <w:tc>
          <w:tcPr>
            <w:tcW w:type="dxa" w:w="3504"/>
          </w:tcPr>
          <w:p>
            <w:r/>
            <w:r>
              <w:rPr>
                <w:b/>
                <w:sz w:val="16"/>
              </w:rPr>
              <w:t>Fine-tuned</w:t>
            </w:r>
          </w:p>
        </w:tc>
      </w:tr>
      <w:tr>
        <w:tc>
          <w:tcPr>
            <w:tcW w:type="dxa" w:w="3504"/>
          </w:tcPr>
          <w:p>
            <w:r/>
            <w:r>
              <w:rPr>
                <w:sz w:val="16"/>
              </w:rPr>
              <w:t>ROUGE-1</w:t>
            </w:r>
          </w:p>
        </w:tc>
        <w:tc>
          <w:tcPr>
            <w:tcW w:type="dxa" w:w="3504"/>
          </w:tcPr>
          <w:p>
            <w:r/>
            <w:r>
              <w:rPr>
                <w:sz w:val="16"/>
              </w:rPr>
              <w:t>0.067</w:t>
            </w:r>
          </w:p>
        </w:tc>
        <w:tc>
          <w:tcPr>
            <w:tcW w:type="dxa" w:w="3504"/>
          </w:tcPr>
          <w:p>
            <w:r/>
            <w:r>
              <w:rPr>
                <w:sz w:val="16"/>
              </w:rPr>
              <w:t>**0.617**</w:t>
            </w:r>
          </w:p>
        </w:tc>
      </w:tr>
      <w:tr>
        <w:tc>
          <w:tcPr>
            <w:tcW w:type="dxa" w:w="3504"/>
          </w:tcPr>
          <w:p>
            <w:r/>
            <w:r>
              <w:rPr>
                <w:sz w:val="16"/>
              </w:rPr>
              <w:t>ROUGE-2</w:t>
            </w:r>
          </w:p>
        </w:tc>
        <w:tc>
          <w:tcPr>
            <w:tcW w:type="dxa" w:w="3504"/>
          </w:tcPr>
          <w:p>
            <w:r/>
            <w:r>
              <w:rPr>
                <w:sz w:val="16"/>
              </w:rPr>
              <w:t>0.017</w:t>
            </w:r>
          </w:p>
        </w:tc>
        <w:tc>
          <w:tcPr>
            <w:tcW w:type="dxa" w:w="3504"/>
          </w:tcPr>
          <w:p>
            <w:r/>
            <w:r>
              <w:rPr>
                <w:sz w:val="16"/>
              </w:rPr>
              <w:t>**0.361**</w:t>
            </w:r>
          </w:p>
        </w:tc>
      </w:tr>
      <w:tr>
        <w:tc>
          <w:tcPr>
            <w:tcW w:type="dxa" w:w="3504"/>
          </w:tcPr>
          <w:p>
            <w:r/>
            <w:r>
              <w:rPr>
                <w:sz w:val="16"/>
              </w:rPr>
              <w:t>ROUGE-L</w:t>
            </w:r>
          </w:p>
        </w:tc>
        <w:tc>
          <w:tcPr>
            <w:tcW w:type="dxa" w:w="3504"/>
          </w:tcPr>
          <w:p>
            <w:r/>
            <w:r>
              <w:rPr>
                <w:sz w:val="16"/>
              </w:rPr>
              <w:t>0.057</w:t>
            </w:r>
          </w:p>
        </w:tc>
        <w:tc>
          <w:tcPr>
            <w:tcW w:type="dxa" w:w="3504"/>
          </w:tcPr>
          <w:p>
            <w:r/>
            <w:r>
              <w:rPr>
                <w:sz w:val="16"/>
              </w:rPr>
              <w:t>**0.453**</w:t>
            </w:r>
          </w:p>
        </w:tc>
      </w:tr>
      <w:tr>
        <w:tc>
          <w:tcPr>
            <w:tcW w:type="dxa" w:w="3504"/>
          </w:tcPr>
          <w:p>
            <w:r/>
            <w:r>
              <w:rPr>
                <w:sz w:val="16"/>
              </w:rPr>
              <w:t>BLEU</w:t>
            </w:r>
          </w:p>
        </w:tc>
        <w:tc>
          <w:tcPr>
            <w:tcW w:type="dxa" w:w="3504"/>
          </w:tcPr>
          <w:p>
            <w:r/>
            <w:r>
              <w:rPr>
                <w:sz w:val="16"/>
              </w:rPr>
              <w:t>0.00</w:t>
            </w:r>
          </w:p>
        </w:tc>
        <w:tc>
          <w:tcPr>
            <w:tcW w:type="dxa" w:w="3504"/>
          </w:tcPr>
          <w:p>
            <w:r/>
            <w:r>
              <w:rPr>
                <w:sz w:val="16"/>
              </w:rPr>
              <w:t>**29.27**</w:t>
            </w:r>
          </w:p>
        </w:tc>
      </w:tr>
      <w:tr>
        <w:tc>
          <w:tcPr>
            <w:tcW w:type="dxa" w:w="3504"/>
          </w:tcPr>
          <w:p>
            <w:r/>
            <w:r>
              <w:rPr>
                <w:sz w:val="16"/>
              </w:rPr>
              <w:t>BERTScore-F1</w:t>
            </w:r>
          </w:p>
        </w:tc>
        <w:tc>
          <w:tcPr>
            <w:tcW w:type="dxa" w:w="3504"/>
          </w:tcPr>
          <w:p>
            <w:r/>
            <w:r>
              <w:rPr>
                <w:sz w:val="16"/>
              </w:rPr>
              <w:t>0.818</w:t>
            </w:r>
          </w:p>
        </w:tc>
        <w:tc>
          <w:tcPr>
            <w:tcW w:type="dxa" w:w="3504"/>
          </w:tcPr>
          <w:p>
            <w:r/>
            <w:r>
              <w:rPr>
                <w:sz w:val="16"/>
              </w:rPr>
              <w:t>**0.909**</w:t>
            </w:r>
          </w:p>
        </w:tc>
      </w:tr>
      <w:tr>
        <w:tc>
          <w:tcPr>
            <w:tcW w:type="dxa" w:w="3504"/>
          </w:tcPr>
          <w:p>
            <w:r/>
            <w:r>
              <w:rPr>
                <w:sz w:val="16"/>
              </w:rPr>
              <w:t>Avg. response length (words)</w:t>
            </w:r>
          </w:p>
        </w:tc>
        <w:tc>
          <w:tcPr>
            <w:tcW w:type="dxa" w:w="3504"/>
          </w:tcPr>
          <w:p>
            <w:r/>
            <w:r>
              <w:rPr>
                <w:sz w:val="16"/>
              </w:rPr>
              <w:t>7.1</w:t>
            </w:r>
          </w:p>
        </w:tc>
        <w:tc>
          <w:tcPr>
            <w:tcW w:type="dxa" w:w="3504"/>
          </w:tcPr>
          <w:p>
            <w:r/>
            <w:r>
              <w:rPr>
                <w:sz w:val="16"/>
              </w:rPr>
              <w:t>133.5</w:t>
            </w:r>
          </w:p>
        </w:tc>
      </w:tr>
      <w:tr>
        <w:tc>
          <w:tcPr>
            <w:tcW w:type="dxa" w:w="3504"/>
          </w:tcPr>
          <w:p>
            <w:r/>
            <w:r>
              <w:rPr>
                <w:sz w:val="16"/>
              </w:rPr>
              <w:t>Latency (ms/query)</w:t>
            </w:r>
          </w:p>
        </w:tc>
        <w:tc>
          <w:tcPr>
            <w:tcW w:type="dxa" w:w="3504"/>
          </w:tcPr>
          <w:p>
            <w:r/>
            <w:r>
              <w:rPr>
                <w:sz w:val="16"/>
              </w:rPr>
              <w:t>52.8</w:t>
            </w:r>
          </w:p>
        </w:tc>
        <w:tc>
          <w:tcPr>
            <w:tcW w:type="dxa" w:w="3504"/>
          </w:tcPr>
          <w:p>
            <w:r/>
            <w:r>
              <w:rPr>
                <w:sz w:val="16"/>
              </w:rPr>
              <w:t>740.5</w:t>
            </w:r>
          </w:p>
        </w:tc>
      </w:tr>
    </w:tbl>
    <w:p>
      <w:r>
        <w:t>ROUGE-L improved roughly eight-fold and BLEU went from zero to 29.27, which says the fine-tuned model's wording lines up closely with the reference answers, and the BERTScore lift from 0.818 to 0.909 says the gain is semantic, not just surface overlap. The learning curves (Figure 4) show training loss dropping from about 2.5 to 0.70 and validation loss from about 1.08 to 0.62, with validation staying below training the whole way, a healthy sign of convergence without overfitting. Broken down by category (Figures 5 and 6), the model is strongest on ACCOUNT and CART, around 0.57 ROUGE-L, and weakest on FEEDBACK, around 0.38, with the rest in between.</w:t>
      </w:r>
    </w:p>
    <w:p>
      <w:pPr>
        <w:jc w:val="center"/>
      </w:pPr>
      <w:r>
        <w:drawing>
          <wp:inline xmlns:a="http://schemas.openxmlformats.org/drawingml/2006/main" xmlns:pic="http://schemas.openxmlformats.org/drawingml/2006/picture">
            <wp:extent cx="2926080" cy="1444321"/>
            <wp:docPr id="4" name="Picture 4"/>
            <wp:cNvGraphicFramePr>
              <a:graphicFrameLocks noChangeAspect="1"/>
            </wp:cNvGraphicFramePr>
            <a:graphic>
              <a:graphicData uri="http://schemas.openxmlformats.org/drawingml/2006/picture">
                <pic:pic>
                  <pic:nvPicPr>
                    <pic:cNvPr id="0" name="fig4_training_loss.png"/>
                    <pic:cNvPicPr/>
                  </pic:nvPicPr>
                  <pic:blipFill>
                    <a:blip r:embed="rId12"/>
                    <a:stretch>
                      <a:fillRect/>
                    </a:stretch>
                  </pic:blipFill>
                  <pic:spPr>
                    <a:xfrm>
                      <a:off x="0" y="0"/>
                      <a:ext cx="2926080" cy="1444321"/>
                    </a:xfrm>
                    <a:prstGeom prst="rect"/>
                  </pic:spPr>
                </pic:pic>
              </a:graphicData>
            </a:graphic>
          </wp:inline>
        </w:drawing>
      </w:r>
    </w:p>
    <w:p>
      <w:pPr>
        <w:jc w:val="center"/>
      </w:pPr>
      <w:r>
        <w:rPr>
          <w:i/>
          <w:sz w:val="17"/>
        </w:rPr>
        <w:t>Fig. 4. Training and validation loss curves showing convergence without overfitting.</w:t>
      </w:r>
    </w:p>
    <w:p>
      <w:pPr>
        <w:jc w:val="center"/>
      </w:pPr>
      <w:r>
        <w:drawing>
          <wp:inline xmlns:a="http://schemas.openxmlformats.org/drawingml/2006/main" xmlns:pic="http://schemas.openxmlformats.org/drawingml/2006/picture">
            <wp:extent cx="2926080" cy="1606604"/>
            <wp:docPr id="5" name="Picture 5"/>
            <wp:cNvGraphicFramePr>
              <a:graphicFrameLocks noChangeAspect="1"/>
            </wp:cNvGraphicFramePr>
            <a:graphic>
              <a:graphicData uri="http://schemas.openxmlformats.org/drawingml/2006/picture">
                <pic:pic>
                  <pic:nvPicPr>
                    <pic:cNvPr id="0" name="fig5_metric_comparison.png"/>
                    <pic:cNvPicPr/>
                  </pic:nvPicPr>
                  <pic:blipFill>
                    <a:blip r:embed="rId13"/>
                    <a:stretch>
                      <a:fillRect/>
                    </a:stretch>
                  </pic:blipFill>
                  <pic:spPr>
                    <a:xfrm>
                      <a:off x="0" y="0"/>
                      <a:ext cx="2926080" cy="1606604"/>
                    </a:xfrm>
                    <a:prstGeom prst="rect"/>
                  </pic:spPr>
                </pic:pic>
              </a:graphicData>
            </a:graphic>
          </wp:inline>
        </w:drawing>
      </w:r>
    </w:p>
    <w:p>
      <w:pPr>
        <w:jc w:val="center"/>
      </w:pPr>
      <w:r>
        <w:rPr>
          <w:i/>
          <w:sz w:val="17"/>
        </w:rPr>
        <w:t>Fig. 5. Baseline vs. fine-tuned ROUGE scores on the held-out test set.</w:t>
      </w:r>
    </w:p>
    <w:p>
      <w:pPr>
        <w:jc w:val="center"/>
      </w:pPr>
      <w:r>
        <w:drawing>
          <wp:inline xmlns:a="http://schemas.openxmlformats.org/drawingml/2006/main" xmlns:pic="http://schemas.openxmlformats.org/drawingml/2006/picture">
            <wp:extent cx="2926080" cy="1444321"/>
            <wp:docPr id="6" name="Picture 6"/>
            <wp:cNvGraphicFramePr>
              <a:graphicFrameLocks noChangeAspect="1"/>
            </wp:cNvGraphicFramePr>
            <a:graphic>
              <a:graphicData uri="http://schemas.openxmlformats.org/drawingml/2006/picture">
                <pic:pic>
                  <pic:nvPicPr>
                    <pic:cNvPr id="0" name="fig6_per_category_rougeL.png"/>
                    <pic:cNvPicPr/>
                  </pic:nvPicPr>
                  <pic:blipFill>
                    <a:blip r:embed="rId14"/>
                    <a:stretch>
                      <a:fillRect/>
                    </a:stretch>
                  </pic:blipFill>
                  <pic:spPr>
                    <a:xfrm>
                      <a:off x="0" y="0"/>
                      <a:ext cx="2926080" cy="1444321"/>
                    </a:xfrm>
                    <a:prstGeom prst="rect"/>
                  </pic:spPr>
                </pic:pic>
              </a:graphicData>
            </a:graphic>
          </wp:inline>
        </w:drawing>
      </w:r>
    </w:p>
    <w:p>
      <w:pPr>
        <w:jc w:val="center"/>
      </w:pPr>
      <w:r>
        <w:rPr>
          <w:i/>
          <w:sz w:val="17"/>
        </w:rPr>
        <w:t>Fig. 6. Per-category ROUGE-L of the fine-tuned model.</w:t>
      </w:r>
    </w:p>
    <w:p>
      <w:r>
        <w:t>The last two rows of Table I show what the gains cost. The fine-tuned model writes much longer, fuller answers, 133 words against 7, and is correspondingly slower per query, roughly 740 ms versus 53 ms on the T4, because it generates complete multi-step replies with beam search instead of the baseline's clipped fragments. For a support assistant that is a good trade, since the long answers are the useful ones, and even at about three-quarters of a second per query on a free GPU the latency is fine for interactive chat and would drop on better hardware or with lighter decoding.</w:t>
      </w:r>
    </w:p>
    <w:p>
      <w:r>
        <w:t>Looking harder at the per-category results (Figure 6) is useful for planning a deployment. The strongest categories, ACCOUNT and CART at around 0.57, are the ones whose answers are the most templated and procedural, things like logging in, updating details, or managing a basket, where the right reply follows a predictable shape the model picks up well. The mid-range categories, ORDER, PAYMENT, and DELIVERY, still score solidly and happen to be the highest-volume real-world intents. The weakest, FEEDBACK at about 0.38, is the most open-ended, because feedback and complaint replies vary more and follow no fixed template, so a single reference overlaps less with the model's equally valid but differently worded answer. The pattern, strong on structured intents and weaker on open-ended ones, is what you would expect, and it gives a concrete, data-driven basis for deciding what to automate first and what to route to a person. The evaluation procedure that produced these numbers is below.</w:t>
      </w:r>
    </w:p>
    <w:p>
      <w:pPr>
        <w:spacing w:before="60" w:after="60"/>
        <w:ind w:left="115"/>
      </w:pPr>
      <w:r>
        <w:rPr>
          <w:rFonts w:ascii="Consolas" w:hAnsi="Consolas"/>
          <w:color w:val="1A1A1A"/>
          <w:sz w:val="16"/>
        </w:rPr>
        <w:t>def compute_metrics(preds, refs):</w:t>
        <w:br/>
        <w:t xml:space="preserve">    rouge = rouge_metric.compute(predictions=preds, references=refs, use_stemmer=True)</w:t>
        <w:br/>
        <w:t xml:space="preserve">    bleu  = bleu_metric.compute(predictions=preds, references=[[r] for r in refs])</w:t>
        <w:br/>
        <w:t xml:space="preserve">    bert  = bertscore_metric.compute(predictions=preds, references=refs, lang="en")</w:t>
        <w:br/>
        <w:t xml:space="preserve">    return {"ROUGE-1": rouge["rouge1"], "ROUGE-2": rouge["rouge2"],</w:t>
        <w:br/>
        <w:t xml:space="preserve">            "ROUGE-L": rouge["rougeL"], "BLEU": bleu["score"],</w:t>
        <w:br/>
        <w:t xml:space="preserve">            "BERTScore-F1": sum(bert["f1"]) / len(bert["f1"])}</w:t>
        <w:br/>
        <w:br/>
        <w:t># identical generation settings for baseline and fine-tuned models -&gt; fair comparison</w:t>
        <w:br/>
        <w:t>base_preds = batch_generate(baseline_model, tokenizer, test_queries)</w:t>
        <w:br/>
        <w:t>ft_preds   = batch_generate(finetuned_model, tokenizer, test_queries)</w:t>
      </w:r>
    </w:p>
    <w:p>
      <w:pPr>
        <w:pStyle w:val="Heading2"/>
      </w:pPr>
      <w:r>
        <w:t>V.4 Qualitative Observations</w:t>
      </w:r>
    </w:p>
    <w:p>
      <w:r>
        <w:t>The qualitative battery makes the gap easy to see. On in-domain queries the baseline usually echoed the question back or gave an empty platitude, for "How do I get a refund?" it managed only "Get a refund if you have a credit card", while the fine-tuned model returned a structured, step-by-step procedure that walked through the account, order history, and refund flow. The same held across order tracking, cancellation, returns, address changes, and invoices.</w:t>
      </w:r>
    </w:p>
    <w:p>
      <w:r>
        <w:t>Two other patterns stood out. On ambiguous one-word prompts like "refund" or "order" the fine-tuned model sensibly guessed the most likely intent and gave a relevant procedure. On out-of-domain prompts, though, "What is the weather like today?" or "Tell me a joke.", it did not notice the question was off-topic and answered in confident support-agent style, asking for an order number or offering to sort out an issue. This over-generalisation is a direct result of narrow domain fine-tuning, and it is the clearest weakness I saw.</w:t>
      </w:r>
    </w:p>
    <w:p>
      <w:r>
        <w:t xml:space="preserve">It is also worth noting the </w:t>
      </w:r>
      <w:r>
        <w:rPr>
          <w:i/>
        </w:rPr>
        <w:t>shape</w:t>
      </w:r>
      <w:r>
        <w:t xml:space="preserve"> the good answers settled into, because it explains a lot of the metric gain. The fine-tuned replies almost always open with a short, friendly acknowledgement, then lay out a numbered sequence of steps, and close by pointing the customer to further help. They reuse the dataset's placeholder slots in the right places, for example referring to an order number where a live system would insert the real value, which shows the model learned the response template and not just the surface words. That consistency is a double-edged result. It is exactly what you want for routine, procedural intents, and it is why ACCOUNT, CART, and ORDER score so well. It is also the root of the template bleed I describe below, where the same skeleton is applied a little too eagerly to a request that does not quite fit it. Reading the outputs this way, rather than only trusting the scores, is what made the model's strengths and its failure modes legible.</w:t>
      </w:r>
    </w:p>
    <w:p>
      <w:pPr>
        <w:pStyle w:val="Heading2"/>
      </w:pPr>
      <w:r>
        <w:t>V.5 Sample Query–Response Evaluations</w:t>
      </w:r>
    </w:p>
    <w:p>
      <w:r>
        <w:t>Table II gives a few representative examples.</w:t>
      </w:r>
    </w:p>
    <w:p>
      <w:r>
        <w:rPr>
          <w:b/>
        </w:rPr>
        <w:t>Table II — Representative examples (abridged).</w:t>
      </w:r>
    </w:p>
    <w:tbl>
      <w:tblPr>
        <w:tblStyle w:val="LightGrid-Accent1"/>
        <w:tblW w:type="auto" w:w="0"/>
        <w:tblLook w:firstColumn="1" w:firstRow="1" w:lastColumn="0" w:lastRow="0" w:noHBand="0" w:noVBand="1" w:val="04A0"/>
      </w:tblPr>
      <w:tblGrid>
        <w:gridCol w:w="2628"/>
        <w:gridCol w:w="2628"/>
        <w:gridCol w:w="2628"/>
        <w:gridCol w:w="2628"/>
      </w:tblGrid>
      <w:tr>
        <w:tc>
          <w:tcPr>
            <w:tcW w:type="dxa" w:w="2628"/>
          </w:tcPr>
          <w:p>
            <w:r/>
            <w:r>
              <w:rPr>
                <w:b/>
                <w:sz w:val="16"/>
              </w:rPr>
              <w:t>Type</w:t>
            </w:r>
          </w:p>
        </w:tc>
        <w:tc>
          <w:tcPr>
            <w:tcW w:type="dxa" w:w="2628"/>
          </w:tcPr>
          <w:p>
            <w:r/>
            <w:r>
              <w:rPr>
                <w:b/>
                <w:sz w:val="16"/>
              </w:rPr>
              <w:t>Query</w:t>
            </w:r>
          </w:p>
        </w:tc>
        <w:tc>
          <w:tcPr>
            <w:tcW w:type="dxa" w:w="2628"/>
          </w:tcPr>
          <w:p>
            <w:r/>
            <w:r>
              <w:rPr>
                <w:b/>
                <w:sz w:val="16"/>
              </w:rPr>
              <w:t>Baseline</w:t>
            </w:r>
          </w:p>
        </w:tc>
        <w:tc>
          <w:tcPr>
            <w:tcW w:type="dxa" w:w="2628"/>
          </w:tcPr>
          <w:p>
            <w:r/>
            <w:r>
              <w:rPr>
                <w:b/>
                <w:sz w:val="16"/>
              </w:rPr>
              <w:t>Fine-tuned (abridged)</w:t>
            </w:r>
          </w:p>
        </w:tc>
      </w:tr>
      <w:tr>
        <w:tc>
          <w:tcPr>
            <w:tcW w:type="dxa" w:w="2628"/>
          </w:tcPr>
          <w:p>
            <w:r/>
            <w:r>
              <w:rPr>
                <w:sz w:val="16"/>
              </w:rPr>
              <w:t>In-domain</w:t>
            </w:r>
          </w:p>
        </w:tc>
        <w:tc>
          <w:tcPr>
            <w:tcW w:type="dxa" w:w="2628"/>
          </w:tcPr>
          <w:p>
            <w:r/>
            <w:r>
              <w:rPr>
                <w:sz w:val="16"/>
              </w:rPr>
              <w:t>How can I track my order?</w:t>
            </w:r>
          </w:p>
        </w:tc>
        <w:tc>
          <w:tcPr>
            <w:tcW w:type="dxa" w:w="2628"/>
          </w:tcPr>
          <w:p>
            <w:r/>
            <w:r>
              <w:rPr>
                <w:sz w:val="16"/>
              </w:rPr>
              <w:t>"Tracking your order is the easiest way to track your order."</w:t>
            </w:r>
          </w:p>
        </w:tc>
        <w:tc>
          <w:tcPr>
            <w:tcW w:type="dxa" w:w="2628"/>
          </w:tcPr>
          <w:p>
            <w:r/>
            <w:r>
              <w:rPr>
                <w:sz w:val="16"/>
              </w:rPr>
              <w:t>"…To track your order, please follow these steps: 1. Visit our website and log in… 2. Navigate to 'Order History'… 3. Locate the specific order…"</w:t>
            </w:r>
          </w:p>
        </w:tc>
      </w:tr>
      <w:tr>
        <w:tc>
          <w:tcPr>
            <w:tcW w:type="dxa" w:w="2628"/>
          </w:tcPr>
          <w:p>
            <w:r/>
            <w:r>
              <w:rPr>
                <w:sz w:val="16"/>
              </w:rPr>
              <w:t>In-domain</w:t>
            </w:r>
          </w:p>
        </w:tc>
        <w:tc>
          <w:tcPr>
            <w:tcW w:type="dxa" w:w="2628"/>
          </w:tcPr>
          <w:p>
            <w:r/>
            <w:r>
              <w:rPr>
                <w:sz w:val="16"/>
              </w:rPr>
              <w:t>How do I get a refund?</w:t>
            </w:r>
          </w:p>
        </w:tc>
        <w:tc>
          <w:tcPr>
            <w:tcW w:type="dxa" w:w="2628"/>
          </w:tcPr>
          <w:p>
            <w:r/>
            <w:r>
              <w:rPr>
                <w:sz w:val="16"/>
              </w:rPr>
              <w:t>"Get a refund if you have a credit card."</w:t>
            </w:r>
          </w:p>
        </w:tc>
        <w:tc>
          <w:tcPr>
            <w:tcW w:type="dxa" w:w="2628"/>
          </w:tcPr>
          <w:p>
            <w:r/>
            <w:r>
              <w:rPr>
                <w:sz w:val="16"/>
              </w:rPr>
              <w:t>"…To initiate a refund, please follow these steps: 1. Visit our website and log in… 2. Navigate to 'Order History'… 3. Locate the order…"</w:t>
            </w:r>
          </w:p>
        </w:tc>
      </w:tr>
      <w:tr>
        <w:tc>
          <w:tcPr>
            <w:tcW w:type="dxa" w:w="2628"/>
          </w:tcPr>
          <w:p>
            <w:r/>
            <w:r>
              <w:rPr>
                <w:sz w:val="16"/>
              </w:rPr>
              <w:t>In-domain</w:t>
            </w:r>
          </w:p>
        </w:tc>
        <w:tc>
          <w:tcPr>
            <w:tcW w:type="dxa" w:w="2628"/>
          </w:tcPr>
          <w:p>
            <w:r/>
            <w:r>
              <w:rPr>
                <w:sz w:val="16"/>
              </w:rPr>
              <w:t>I want to cancel my order.</w:t>
            </w:r>
          </w:p>
        </w:tc>
        <w:tc>
          <w:tcPr>
            <w:tcW w:type="dxa" w:w="2628"/>
          </w:tcPr>
          <w:p>
            <w:r/>
            <w:r>
              <w:rPr>
                <w:sz w:val="16"/>
              </w:rPr>
              <w:t>"I want to cancel my order."</w:t>
            </w:r>
          </w:p>
        </w:tc>
        <w:tc>
          <w:tcPr>
            <w:tcW w:type="dxa" w:w="2628"/>
          </w:tcPr>
          <w:p>
            <w:r/>
            <w:r>
              <w:rPr>
                <w:sz w:val="16"/>
              </w:rPr>
              <w:t>"…To proceed with the cancellation: 1. Log in to your account… 2. Go to 'Order History'… 3. Locate the order you wish to cancel…"</w:t>
            </w:r>
          </w:p>
        </w:tc>
      </w:tr>
      <w:tr>
        <w:tc>
          <w:tcPr>
            <w:tcW w:type="dxa" w:w="2628"/>
          </w:tcPr>
          <w:p>
            <w:r/>
            <w:r>
              <w:rPr>
                <w:sz w:val="16"/>
              </w:rPr>
              <w:t>In-domain</w:t>
            </w:r>
          </w:p>
        </w:tc>
        <w:tc>
          <w:tcPr>
            <w:tcW w:type="dxa" w:w="2628"/>
          </w:tcPr>
          <w:p>
            <w:r/>
            <w:r>
              <w:rPr>
                <w:sz w:val="16"/>
              </w:rPr>
              <w:t>How do I return a product?</w:t>
            </w:r>
          </w:p>
        </w:tc>
        <w:tc>
          <w:tcPr>
            <w:tcW w:type="dxa" w:w="2628"/>
          </w:tcPr>
          <w:p>
            <w:r/>
            <w:r>
              <w:rPr>
                <w:sz w:val="16"/>
              </w:rPr>
              <w:t>"Return the product to the store."</w:t>
            </w:r>
          </w:p>
        </w:tc>
        <w:tc>
          <w:tcPr>
            <w:tcW w:type="dxa" w:w="2628"/>
          </w:tcPr>
          <w:p>
            <w:r/>
            <w:r>
              <w:rPr>
                <w:sz w:val="16"/>
              </w:rPr>
              <w:t>"…Returning a product is straightforward: 1. Locate your Order Number… 2. Visit our website… 3. Follow the returns process…"</w:t>
            </w:r>
          </w:p>
        </w:tc>
      </w:tr>
      <w:tr>
        <w:tc>
          <w:tcPr>
            <w:tcW w:type="dxa" w:w="2628"/>
          </w:tcPr>
          <w:p>
            <w:r/>
            <w:r>
              <w:rPr>
                <w:sz w:val="16"/>
              </w:rPr>
              <w:t>Out-of-domain</w:t>
            </w:r>
          </w:p>
        </w:tc>
        <w:tc>
          <w:tcPr>
            <w:tcW w:type="dxa" w:w="2628"/>
          </w:tcPr>
          <w:p>
            <w:r/>
            <w:r>
              <w:rPr>
                <w:sz w:val="16"/>
              </w:rPr>
              <w:t>Tell me a joke.</w:t>
            </w:r>
          </w:p>
        </w:tc>
        <w:tc>
          <w:tcPr>
            <w:tcW w:type="dxa" w:w="2628"/>
          </w:tcPr>
          <w:p>
            <w:r/>
            <w:r>
              <w:rPr>
                <w:sz w:val="16"/>
              </w:rPr>
              <w:t>"I'm not sure if I'll be able to get a job or not."</w:t>
            </w:r>
          </w:p>
        </w:tc>
        <w:tc>
          <w:tcPr>
            <w:tcW w:type="dxa" w:w="2628"/>
          </w:tcPr>
          <w:p>
            <w:r/>
            <w:r>
              <w:rPr>
                <w:sz w:val="16"/>
              </w:rPr>
              <w:t>"I'll make it happen! …could you please provide me with some more details about the specific issue you're facing?" (answers in support style — out-of-scope)</w:t>
            </w:r>
          </w:p>
        </w:tc>
      </w:tr>
      <w:tr>
        <w:tc>
          <w:tcPr>
            <w:tcW w:type="dxa" w:w="2628"/>
          </w:tcPr>
          <w:p>
            <w:r/>
            <w:r>
              <w:rPr>
                <w:sz w:val="16"/>
              </w:rPr>
              <w:t>Ambiguous</w:t>
            </w:r>
          </w:p>
        </w:tc>
        <w:tc>
          <w:tcPr>
            <w:tcW w:type="dxa" w:w="2628"/>
          </w:tcPr>
          <w:p>
            <w:r/>
            <w:r>
              <w:rPr>
                <w:sz w:val="16"/>
              </w:rPr>
              <w:t>refund</w:t>
            </w:r>
          </w:p>
        </w:tc>
        <w:tc>
          <w:tcPr>
            <w:tcW w:type="dxa" w:w="2628"/>
          </w:tcPr>
          <w:p>
            <w:r/>
            <w:r>
              <w:rPr>
                <w:sz w:val="16"/>
              </w:rPr>
              <w:t>"refund"</w:t>
            </w:r>
          </w:p>
        </w:tc>
        <w:tc>
          <w:tcPr>
            <w:tcW w:type="dxa" w:w="2628"/>
          </w:tcPr>
          <w:p>
            <w:r/>
            <w:r>
              <w:rPr>
                <w:sz w:val="16"/>
              </w:rPr>
              <w:t>"I'm sorry to hear that you're having trouble with your refund request… 1. Log in to your account… 2. Go to 'Order History'…"</w:t>
            </w:r>
          </w:p>
        </w:tc>
      </w:tr>
    </w:tbl>
    <w:p>
      <w:r>
        <w:t>The full 16-prompt comparison is saved in `resources/qualitative_eval.csv`.</w:t>
      </w:r>
    </w:p>
    <w:p>
      <w:pPr>
        <w:pStyle w:val="Heading2"/>
      </w:pPr>
      <w:r>
        <w:t>V.6 Limitations Noted</w:t>
      </w:r>
    </w:p>
    <w:p>
      <w:r>
        <w:t>The evaluation has limits of its own worth stating plainly. The metrics are automatic stand-ins that reward overlap with a single reference and cannot fully judge whether an answer is factually correct or genuinely helpful; the test data is synthetic, so it is cleaner and more uniform than real customer language; and the out-of-domain behaviour shows the model has no real sense of scope.</w:t>
      </w:r>
    </w:p>
    <w:p>
      <w:r>
        <w:t>A short error analysis sharpens this. The mistakes fall into a few recognisable types. The most serious is out-of-scope over-confidence, the one already mentioned, where a non-support question gets answered as if it were a support request. A second is generic deflection, where on a vague prompt the model gives a polite but content-free request for more detail instead of an actual answer, safe but not always useful. A third, milder one is template bleed, where it reuses a familiar skeleton, the "log in, go to Order History, locate the order" pattern, for an intent it only half fits. None of these are disastrous for routine use, but each points to a clear fix, scope detection, confidence-aware fallback, and intent-conditioned prompting respectively, and together they explain why the scores, strong as they are, are not higher still. I carry these into the Discussion.</w:t>
      </w:r>
    </w:p>
    <w:p>
      <w:pPr>
        <w:pStyle w:val="Heading2"/>
      </w:pPr>
      <w:r>
        <w:t>V.7 Threats to Validity</w:t>
      </w:r>
    </w:p>
    <w:p>
      <w:r>
        <w:t>A few threats to validity deserve a mention so the results are read fairly. Construct validity is limited by leaning on automatic metrics as a proxy for human-judged helpfulness; I soften that, without removing it, by reporting three complementary metrics and pairing them with a manual read of the outputs. External validity is limited by the synthetic data: scores on a clean, well-formed corpus may flatter performance on noisy real-world queries full of typos, code-switching, or several intents at once. Internal validity is fairly strong, since I scored the baseline and the fine-tuned model on the identical held-out sample with identical generation settings and a fixed seed, so the measured gain is down to fine-tuning rather than to differences in how I evaluated them. Finally, the metrics come from a 300-example sample; the absolute numbers would shift a little on the full test split, though the per-category trends should hold.</w:t>
      </w:r>
    </w:p>
    <w:p>
      <w:pPr>
        <w:pStyle w:val="Heading2"/>
      </w:pPr>
      <w:r>
        <w:t>V.8 Summary of Results</w:t>
      </w:r>
    </w:p>
    <w:p>
      <w:r>
        <w:t>In short, fine-tuning a compact instruction-tuned model on retail e-commerce support data turned it from an unusable baseline into a system that writes fluent, relevant, multi-step answers across the main support categories, with an eight-fold ROUGE-L gain and a strong BERTScore, all inside a single free-tier GPU session. The main weaknesses are the missing out-of-scope detection and the reliance on automatic metrics, and both set up the discussion that follows.</w:t>
      </w:r>
    </w:p>
    <w:p>
      <w:pPr>
        <w:pStyle w:val="Heading1"/>
      </w:pPr>
      <w:r>
        <w:t>Discussion</w:t>
      </w:r>
    </w:p>
    <w:p>
      <w:r>
        <w:t>The headline finding is that a small, openly available, already instruction-tuned model can be fine-tuned cheaply into a capable retail-support assistant. The size of the jump, from near-zero baseline scores to a BLEU of 29.27 and a ROUGE-L of 0.45, backed up semantically by a BERTScore of 0.91, says the thing holding the baseline back was domain adaptation, not model size. So the answer to the research question is yes: inside a single free-tier GPU budget, `flan-t5-small` learned to give accurate, relevant answers to the large majority of routine retail support intents.</w:t>
      </w:r>
    </w:p>
    <w:p>
      <w:r>
        <w:t>For smaller retailers the practical implications are real. The whole pipeline runs on free-tier hardware and an openly licensed dataset, so it is cheap to reproduce and to retrain when a catalogue or a policy changes, and it can sit behind a simple interface, as the Gradio demo shows. The per-category numbers also give a practitioner something to act on: high-volume, well-structured intents like orders, accounts, and cart are handled best and are the safest to automate first, while more open-ended categories like feedback are weaker and better left to people.</w:t>
      </w:r>
    </w:p>
    <w:p>
      <w:r>
        <w:t>The results also expose genuine limits. The biggest is the out-of-domain behaviour: having been fine-tuned narrowly, the model answers anything in support-agent style instead of recognising that some questions are not its job. In production that is a safety issue and not just a quality one, and it argues for an explicit scope or intent filter with a confident hand-off to a human. The synthetic data is another limit, since real customers are messier, and the automatic metrics, consistent as they are, still only approximate human judgement. To keep the code and results honest I generated predictions on a held-out split the model never trained on, applied the same evaluation to the baseline and the fine-tuned model, fixed the seed throughout, and read through the outputs by hand to check the numbers matched what the model actually did.</w:t>
      </w:r>
    </w:p>
    <w:p>
      <w:r>
        <w:t>It is worth spelling out the deployment economics, since they are the whole point of going low-resource. The model is small enough to fine-tune in one free Colab session and to serve on a single modest GPU, or even on CPU if you can live with higher latency, so the total cost of ownership stays low: no per-token API fees, no dependence on an outside provider, and cheap, fast retraining when catalogues or policies move. For a small or mid-sized retailer that shifts the question from "can we afford conversational AI" to "which intents should we automate first", and the per-category results answer exactly that. A sensible rollout would automate the strong, high-volume, well-structured intents, watch how they do live, and widen coverage as confidence grows.</w:t>
      </w:r>
    </w:p>
    <w:p>
      <w:r>
        <w:t>The ethics and governance side deserves the same weight. The training data here is synthetic, so the study itself raises no personal-data issues, but a real deployment would. An agent that speaks for a retailer can create commitments and expectations, so it must not invent policies, promise refunds it cannot honour, or answer things outside its remit, which is the very failure I saw. Responsible deployment therefore means guardrails: an explicit scope check, a confident hand-off to a person for sensitive or out-of-scope cases, a clear note to the customer that they are talking to a bot, and logging so it can be audited. In a regulated retail setting these are not polish; they are part of getting the system right.</w:t>
      </w:r>
    </w:p>
    <w:p>
      <w:r>
        <w:t>Those safeguards suggest a fairly simple production wrapper around the model. A query would first hit a lightweight scope check, a short list of in-domain intents or a confidence threshold, that decides whether the request is something the model should handle at all. If it is, the model generates a reply as it does here; if it is not, or if the model's confidence is low, the system hands the conversation to a human agent with the context attached. Every exchange is logged so the team can audit answers, spot drift, and build a real test set over time. None of this needs heavy infrastructure, and it turns the bare model evaluated in this paper into something closer to a deployable service. I did not build that wrapper here, since my aim was to measure the model itself, but the per-category results and the error analysis give a clear specification for it.</w:t>
      </w:r>
    </w:p>
    <w:p>
      <w:r>
        <w:t>It also helps to place fine-tuning next to the other options a practitioner might weigh. A pure prompting approach, taking a big general model and instructing it at inference time, skips training but pays a per-query cost, ties you to an outside provider, and gives less control over tone and format; my baseline numbers show that without adaptation even a capable instruction-tuned model handles retail queries poorly. A rule-based or intent-classification system is cheap and predictable but brittle, because someone has to enumerate the intents and replies by hand and it generalises badly to new phrasings. Retrieval-augmented generation grounds answers in an external corpus and shines when the knowledge changes often, but it brings retrieval infrastructure and extra latency. Set against these, fine-tuning a small model lands in an attractive middle for routine support: one cheap, one-off training step gives a self-contained model that generalises across phrasings, runs locally with no per-query fee, and is simple to operate, which is exactly why I chose it.</w:t>
      </w:r>
    </w:p>
    <w:p>
      <w:r>
        <w:t>The recipe should travel beyond retail e-commerce too. The same steps, take an instruction-tuned compact model, fine-tune it on a domain instruction–response corpus, and compare against the un-tuned baseline, are domain-agnostic, and the Bitext family alone offers similar datasets for plenty of other verticals. I would expect the same strong-on-structured, weaker-on-open-ended pattern to recur, and the same out-of-scope behaviour, so the practical recipe and its caveats carry over with the method. That makes the contribution less a single retail bot and more a reusable, low-resource template for domain conversational AI.</w:t>
      </w:r>
    </w:p>
    <w:p>
      <w:r>
        <w:t>Future work follows straight from the limits. I would add out-of-scope detection and a human-handoff path, evaluate on real anonymised support logs with human ratings, compare against larger models like `flan-t5-base` to map the quality–cost curve, try parameter-efficient fine-tuning to cut training cost further, and extend the system to multi-turn conversations and more languages.</w:t>
      </w:r>
    </w:p>
    <w:p>
      <w:pPr>
        <w:pStyle w:val="Heading1"/>
      </w:pPr>
      <w:r>
        <w:t>Conclusion</w:t>
      </w:r>
    </w:p>
    <w:p>
      <w:r>
        <w:t>I set out to find whether a compact instruction-tuned model could be fine-tuned, under tight single-GPU limits, into a useful retail e-commerce support assistant. Fine-tuning `flan-t5-small` on 44,884 Bitext support pairs produced large, consistent gains over the un-tuned baseline, an eight-fold rise in ROUGE-L to 0.45, a BLEU of 29.27, and a BERTScore of 0.91, and it turned terse, unhelpful baseline output into fluent, structured, multi-step answers across the main intent categories, all inside a free-tier training session.</w:t>
      </w:r>
    </w:p>
    <w:p>
      <w:r>
        <w:t>The contribution is a clear, reproducible blueprint for low-resource, domain-specific conversational AI, together with an honest account of where it falls short, mainly its lack of out-of-scope awareness and its reliance on synthetic data and automatic metrics. The overall conclusion is simple: for the routine, high-volume core of retail customer support, model scale matters far less than focused domain adaptation, and capable assistants are well within reach of organisations with modest resources, as long as the right safeguards go in before deployment.</w:t>
      </w:r>
    </w:p>
    <w:p>
      <w:r>
        <w:t>More broadly, this is a small piece of evidence for a counter-narrative to the "bigger is always better" story of language modelling. For a bounded, well-defined task, and a great deal of real customer support is exactly that, a carefully fine-tuned compact model can deliver the quality that matters in production at a fraction of the cost, complexity, and outside dependency of a large system. For anyone working under real budget and data-governance limits, that is an encouraging result: useful conversational AI does not need frontier-scale infrastructure, just a clear task, the right data, and a disciplined, reproducible pipeline like the one documented here.</w:t>
      </w:r>
    </w:p>
    <w:p>
      <w:pPr>
        <w:pStyle w:val="Heading1"/>
      </w:pPr>
      <w:r>
        <w:t>Acknowledgements</w:t>
      </w:r>
    </w:p>
    <w:p>
      <w:r>
        <w:t>I thank the AlmaBetter Industry Immersion programme for the project framing and guidance, and I am grateful to Bitext for releasing the retail e-commerce dataset under an open licence and to the Hugging Face community for the open-source models and libraries that let me run this work on free-tier hardware.</w:t>
      </w:r>
    </w:p>
    <w:p>
      <w:pPr>
        <w:pStyle w:val="Heading1"/>
      </w:pPr>
      <w:r>
        <w:t>Author Contributions</w:t>
      </w:r>
    </w:p>
    <w:p>
      <w:r>
        <w:t>I carried out this work individually. I was responsible for the research design, data preparation, model fine-tuning, evaluation, analysis, and writing.</w:t>
      </w:r>
    </w:p>
    <w:p>
      <w:pPr>
        <w:pStyle w:val="Heading1"/>
      </w:pPr>
      <w:r>
        <w:t>References</w:t>
      </w:r>
    </w:p>
    <w:p>
      <w:r>
        <w:t xml:space="preserve">[1] A. Vaswani et al., "Attention Is All You Need," in </w:t>
      </w:r>
      <w:r>
        <w:rPr>
          <w:i/>
        </w:rPr>
        <w:t>Proc. NeurIPS</w:t>
      </w:r>
      <w:r>
        <w:t>, 2017.</w:t>
      </w:r>
    </w:p>
    <w:p>
      <w:r>
        <w:t xml:space="preserve">[2] C. Raffel et al., "Exploring the Limits of Transfer Learning with a Unified Text-to-Text Transformer," </w:t>
      </w:r>
      <w:r>
        <w:rPr>
          <w:i/>
        </w:rPr>
        <w:t>J. Mach. Learn. Res.</w:t>
      </w:r>
      <w:r>
        <w:t>, vol. 21, 2020.</w:t>
      </w:r>
    </w:p>
    <w:p>
      <w:r>
        <w:t>[3] H. W. Chung et al., "Scaling Instruction-Finetuned Language Models," arXiv:2210.11416, 2022.</w:t>
      </w:r>
    </w:p>
    <w:p>
      <w:r>
        <w:t xml:space="preserve">[4] J. Devlin, M.-W. Chang, K. Lee, and K. Toutanova, "BERT: Pre-training of Deep Bidirectional Transformers for Language Understanding," in </w:t>
      </w:r>
      <w:r>
        <w:rPr>
          <w:i/>
        </w:rPr>
        <w:t>Proc. NAACL-HLT</w:t>
      </w:r>
      <w:r>
        <w:t>, 2019.</w:t>
      </w:r>
    </w:p>
    <w:p>
      <w:r>
        <w:t xml:space="preserve">[5] T. Brown et al., "Language Models are Few-Shot Learners," in </w:t>
      </w:r>
      <w:r>
        <w:rPr>
          <w:i/>
        </w:rPr>
        <w:t>Proc. NeurIPS</w:t>
      </w:r>
      <w:r>
        <w:t>, 2020.</w:t>
      </w:r>
    </w:p>
    <w:p>
      <w:r>
        <w:t xml:space="preserve">[6] E. Adamopoulou and L. Moussiades, "Chatbots: History, Technology, and Applications," </w:t>
      </w:r>
      <w:r>
        <w:rPr>
          <w:i/>
        </w:rPr>
        <w:t>Machine Learning with Applications</w:t>
      </w:r>
      <w:r>
        <w:t>, vol. 2, 2020.</w:t>
      </w:r>
    </w:p>
    <w:p>
      <w:r>
        <w:t xml:space="preserve">[7] S. Nandi, N. Agrawal, A. Singh, and P. Bhatt, "Enhancing Customer Service Chatbots with Context-Aware NLU through Selective Attention and Multi-task Learning," in </w:t>
      </w:r>
      <w:r>
        <w:rPr>
          <w:i/>
        </w:rPr>
        <w:t>Proc. ACM IKDD CODS-COMAD</w:t>
      </w:r>
      <w:r>
        <w:t>, 2024. (arXiv:2506.01781)</w:t>
      </w:r>
    </w:p>
    <w:p>
      <w:r>
        <w:t>[8] F. Khennouche, Y. Elmir, N. Djebari, Y. Himeur, and A. Amira, "Revolutionizing Customer Interactions: Insights and Challenges in Deploying ChatGPT and Generative Chatbots for FAQs," arXiv:2311.09976, 2023.</w:t>
      </w:r>
    </w:p>
    <w:p>
      <w:r>
        <w:t>[9] Bitext, "Retail E-Commerce LLM Chatbot Training Dataset," Hugging Face, CDLA-Sharing-1.0. https://huggingface.co/datasets/bitext/Bitext-retail-ecommerce-llm-chatbot-training-dataset</w:t>
      </w:r>
    </w:p>
    <w:p>
      <w:r>
        <w:t>[10] Grand View Research, "Chatbot Market Size, Share &amp; Trends Analysis Report, 2024–2030," 2024.</w:t>
      </w:r>
    </w:p>
    <w:p>
      <w:r>
        <w:t>[11] Grand View Research, "E-commerce Market Size, Share &amp; Trends Analysis Report," 2024.</w:t>
      </w:r>
    </w:p>
    <w:p>
      <w:r>
        <w:t xml:space="preserve">[12] C.-Y. Lin, "ROUGE: A Package for Automatic Evaluation of Summaries," in </w:t>
      </w:r>
      <w:r>
        <w:rPr>
          <w:i/>
        </w:rPr>
        <w:t>Proc. ACL Workshop (Text Summarization Branches Out)</w:t>
      </w:r>
      <w:r>
        <w:t>, 2004.</w:t>
      </w:r>
    </w:p>
    <w:p>
      <w:r>
        <w:t xml:space="preserve">[13] K. Papineni, S. Roukos, T. Ward, and W.-J. Zhu, "BLEU: A Method for Automatic Evaluation of Machine Translation," in </w:t>
      </w:r>
      <w:r>
        <w:rPr>
          <w:i/>
        </w:rPr>
        <w:t>Proc. ACL</w:t>
      </w:r>
      <w:r>
        <w:t>, 2002.</w:t>
      </w:r>
    </w:p>
    <w:p>
      <w:r>
        <w:t xml:space="preserve">[14] T. Zhang, V. Kishore, F. Wu, K. Q. Weinberger, and Y. Artzi, "BERTScore: Evaluating Text Generation with BERT," in </w:t>
      </w:r>
      <w:r>
        <w:rPr>
          <w:i/>
        </w:rPr>
        <w:t>Proc. ICLR</w:t>
      </w:r>
      <w:r>
        <w:t>, 2020.</w:t>
      </w:r>
    </w:p>
    <w:p>
      <w:r>
        <w:t xml:space="preserve">[15] T. Wolf et al., "Transformers: State-of-the-Art Natural Language Processing," in </w:t>
      </w:r>
      <w:r>
        <w:rPr>
          <w:i/>
        </w:rPr>
        <w:t>Proc. EMNLP (System Demonstrations)</w:t>
      </w:r>
      <w:r>
        <w:t>, 2020.</w:t>
      </w:r>
    </w:p>
    <w:p>
      <w:r>
        <w:t>[16] Master of Code Global, "Chatbot Statistics (2024): Adoption, Usage, and Market Data," 2024.</w:t>
      </w:r>
    </w:p>
    <w:p>
      <w:r>
        <w:t xml:space="preserve">[17] I. Sutskever, O. Vinyals, and Q. V. Le, "Sequence to Sequence Learning with Neural Networks," in </w:t>
      </w:r>
      <w:r>
        <w:rPr>
          <w:i/>
        </w:rPr>
        <w:t>Proc. NeurIPS</w:t>
      </w:r>
      <w:r>
        <w:t>, 2014.</w:t>
      </w:r>
    </w:p>
    <w:p>
      <w:r>
        <w:t xml:space="preserve">[18] R. Sennrich, B. Haddow, and A. Birch, "Neural Machine Translation of Rare Words with Subword Units," in </w:t>
      </w:r>
      <w:r>
        <w:rPr>
          <w:i/>
        </w:rPr>
        <w:t>Proc. ACL</w:t>
      </w:r>
      <w:r>
        <w:t>, 2016.</w:t>
      </w:r>
    </w:p>
    <w:p>
      <w:r>
        <w:t xml:space="preserve">[19] T. Kudo and J. Richardson, "SentencePiece: A Simple and Language Independent Subword Tokenizer and Detokenizer for Neural Text Processing," in </w:t>
      </w:r>
      <w:r>
        <w:rPr>
          <w:i/>
        </w:rPr>
        <w:t>Proc. EMNLP (System Demonstrations)</w:t>
      </w:r>
      <w:r>
        <w:t>, 2018.</w:t>
      </w:r>
    </w:p>
    <w:p>
      <w:r>
        <w:t xml:space="preserve">[20] E. J. Hu et al., "LoRA: Low-Rank Adaptation of Large Language Models," in </w:t>
      </w:r>
      <w:r>
        <w:rPr>
          <w:i/>
        </w:rPr>
        <w:t>Proc. ICLR</w:t>
      </w:r>
      <w:r>
        <w:t>, 2022.</w:t>
      </w:r>
    </w:p>
    <w:p>
      <w:r>
        <w:t xml:space="preserve">[21] P. Lewis et al., "Retrieval-Augmented Generation for Knowledge-Intensive NLP Tasks," in </w:t>
      </w:r>
      <w:r>
        <w:rPr>
          <w:i/>
        </w:rPr>
        <w:t>Proc. NeurIPS</w:t>
      </w:r>
      <w:r>
        <w:t>, 2020.</w:t>
      </w:r>
    </w:p>
    <w:p>
      <w:r>
        <w:t xml:space="preserve">[22] N. Reimers and I. Gurevych, "Sentence-BERT: Sentence Embeddings using Siamese BERT-Networks," in </w:t>
      </w:r>
      <w:r>
        <w:rPr>
          <w:i/>
        </w:rPr>
        <w:t>Proc. EMNLP-IJCNLP</w:t>
      </w:r>
      <w:r>
        <w:t>, 2019.</w:t>
      </w:r>
    </w:p>
    <w:p>
      <w:pPr>
        <w:pStyle w:val="Heading1"/>
      </w:pPr>
      <w:r>
        <w:t>Appendix</w:t>
      </w:r>
    </w:p>
    <w:p>
      <w:r>
        <w:rPr>
          <w:b/>
        </w:rPr>
        <w:t>A. Application Architecture Summary.</w:t>
      </w:r>
      <w:r>
        <w:t xml:space="preserve"> Single-turn, generation-based assistant: customer query → `flan-t5-small` tokenizer → fine-tuned encoder–decoder → beam-search decode → support response. No external retrieval component (fine-tuning-only design).</w:t>
      </w:r>
    </w:p>
    <w:p>
      <w:r>
        <w:rPr>
          <w:b/>
        </w:rPr>
        <w:t>B. Workflow.</w:t>
      </w:r>
      <w:r>
        <w:t xml:space="preserve"> Data acquisition → cleaning/de-duplication → stratified 80/10/10 split → tokenization (input 128 / target 256, labels masked to −100) → FP32 fine-tuning on T4 (5 epochs, early stopping) → evaluation (baseline vs. fine-tuned) → Gradio deployment.</w:t>
      </w:r>
    </w:p>
    <w:p>
      <w:r>
        <w:rPr>
          <w:b/>
        </w:rPr>
        <w:t>C. Pipeline.</w:t>
      </w:r>
      <w:r>
        <w:t xml:space="preserve"> Implemented in a single reproducible Colab notebook (`Capstone_Project_CHAT_BOT_LLM_Deep_Learning_for_NLP_v2.ipynb`); fixed seed 42 throughout. Figures 1–6 and `metrics.json` / `qualitative_eval.csv` are exported under `resources/`.</w:t>
      </w:r>
    </w:p>
    <w:p>
      <w:r>
        <w:rPr>
          <w:b/>
        </w:rPr>
        <w:t>D. Prompt / I-O Template.</w:t>
      </w:r>
      <w:r>
        <w:t xml:space="preserve"> Input: raw customer instruction. Target: support response (with placeholder slots retained, e.g. `{{Order Number}}`). Generation: `num_beams=4`, `no_repeat_ngram_size=3`, `max_new_tokens=256`.</w:t>
      </w:r>
    </w:p>
    <w:p>
      <w:r>
        <w:rPr>
          <w:b/>
        </w:rPr>
        <w:t>E. Logic.</w:t>
      </w:r>
      <w:r>
        <w:t xml:space="preserve"> Loss computed only on non-padding label tokens (−100 masking); best checkpoint selected by validation loss; identical generation settings used for baseline and fine-tuned evaluation to ensure a fair comparison.</w:t>
      </w:r>
    </w:p>
    <w:p>
      <w:r>
        <w:rPr>
          <w:b/>
        </w:rPr>
        <w:t>F. User Interface.</w:t>
      </w:r>
      <w:r>
        <w:t xml:space="preserve"> The fine-tuned model is served through a Gradio `ChatInterface` with example prompts; Figure 7 shows it answering an order-tracking query.</w:t>
      </w:r>
    </w:p>
    <w:p>
      <w:pPr>
        <w:jc w:val="center"/>
      </w:pPr>
      <w:r>
        <w:drawing>
          <wp:inline xmlns:a="http://schemas.openxmlformats.org/drawingml/2006/main" xmlns:pic="http://schemas.openxmlformats.org/drawingml/2006/picture">
            <wp:extent cx="2926080" cy="971423"/>
            <wp:docPr id="7" name="Picture 7"/>
            <wp:cNvGraphicFramePr>
              <a:graphicFrameLocks noChangeAspect="1"/>
            </wp:cNvGraphicFramePr>
            <a:graphic>
              <a:graphicData uri="http://schemas.openxmlformats.org/drawingml/2006/picture">
                <pic:pic>
                  <pic:nvPicPr>
                    <pic:cNvPr id="0" name="gradio_demo4.png"/>
                    <pic:cNvPicPr/>
                  </pic:nvPicPr>
                  <pic:blipFill>
                    <a:blip r:embed="rId15"/>
                    <a:stretch>
                      <a:fillRect/>
                    </a:stretch>
                  </pic:blipFill>
                  <pic:spPr>
                    <a:xfrm>
                      <a:off x="0" y="0"/>
                      <a:ext cx="2926080" cy="971423"/>
                    </a:xfrm>
                    <a:prstGeom prst="rect"/>
                  </pic:spPr>
                </pic:pic>
              </a:graphicData>
            </a:graphic>
          </wp:inline>
        </w:drawing>
      </w:r>
    </w:p>
    <w:p>
      <w:pPr>
        <w:jc w:val="center"/>
      </w:pPr>
      <w:r>
        <w:rPr>
          <w:i/>
          <w:sz w:val="17"/>
        </w:rPr>
        <w:t>Fig. 7. The Gradio chat interface answering an order-tracking query with a structured, multi-step response.</w:t>
      </w:r>
    </w:p>
    <w:p>
      <w:r>
        <w:rPr>
          <w:b/>
        </w:rPr>
        <w:t>G. Flow Diagram.</w:t>
      </w:r>
      <w:r>
        <w:t xml:space="preserve"> The seven-stage fine-tuning pipeline is shown in Figure 8.</w:t>
      </w:r>
    </w:p>
    <w:p>
      <w:pPr>
        <w:jc w:val="center"/>
      </w:pPr>
      <w:r>
        <w:drawing>
          <wp:inline xmlns:a="http://schemas.openxmlformats.org/drawingml/2006/main" xmlns:pic="http://schemas.openxmlformats.org/drawingml/2006/picture">
            <wp:extent cx="2926080" cy="4486656"/>
            <wp:docPr id="8" name="Picture 8"/>
            <wp:cNvGraphicFramePr>
              <a:graphicFrameLocks noChangeAspect="1"/>
            </wp:cNvGraphicFramePr>
            <a:graphic>
              <a:graphicData uri="http://schemas.openxmlformats.org/drawingml/2006/picture">
                <pic:pic>
                  <pic:nvPicPr>
                    <pic:cNvPr id="0" name="pipeline_flow.png"/>
                    <pic:cNvPicPr/>
                  </pic:nvPicPr>
                  <pic:blipFill>
                    <a:blip r:embed="rId16"/>
                    <a:stretch>
                      <a:fillRect/>
                    </a:stretch>
                  </pic:blipFill>
                  <pic:spPr>
                    <a:xfrm>
                      <a:off x="0" y="0"/>
                      <a:ext cx="2926080" cy="4486656"/>
                    </a:xfrm>
                    <a:prstGeom prst="rect"/>
                  </pic:spPr>
                </pic:pic>
              </a:graphicData>
            </a:graphic>
          </wp:inline>
        </w:drawing>
      </w:r>
    </w:p>
    <w:p>
      <w:pPr>
        <w:jc w:val="center"/>
      </w:pPr>
      <w:r>
        <w:rPr>
          <w:i/>
          <w:sz w:val="17"/>
        </w:rPr>
        <w:t>Fig. 8. End-to-end fine-tuning pipeline (data acquisition → preprocessing → stratified split → tokenization → fine-tuning → evaluation → deployment).</w:t>
      </w:r>
    </w:p>
    <w:p>
      <w:r>
        <w:rPr>
          <w:b/>
        </w:rPr>
        <w:t>Code / Reproducibility.</w:t>
      </w:r>
      <w:r>
        <w:t xml:space="preserve"> Full code: https://github.com/Harish-or-Peter/Retail-Ecommerce-Chatbot . The repository contains the end-to-end Colab notebook, tokenizer/config, paper draft, figures, and metrics; the ~293 MB fine-tuned weights are regenerated by running the notebook, and the dataset auto-downloads from Hugging Face.</w:t>
      </w:r>
    </w:p>
    <w:sectPr w:rsidR="00FC693F" w:rsidRPr="0006063C" w:rsidSect="00034616">
      <w:type w:val="continuous"/>
      <w:pgSz w:w="12240" w:h="15840"/>
      <w:pgMar w:top="1008" w:right="864" w:bottom="1008" w:left="864" w:header="720" w:footer="720" w:gutter="0"/>
      <w:cols w:space="288"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