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FEEDBACK CASE FORM</w:t>
      </w:r>
    </w:p>
    <w:tbl>
      <w:tblPr>
        <w:tblStyle w:val="TableGrid"/>
        <w:tblW w:type="auto" w:w="0"/>
        <w:tblLook w:firstColumn="1" w:firstRow="1" w:lastColumn="0" w:lastRow="0" w:noHBand="0" w:noVBand="1" w:val="04A0"/>
      </w:tblPr>
      <w:tblGrid>
        <w:gridCol w:w="4320"/>
        <w:gridCol w:w="4320"/>
      </w:tblGrid>
      <w:tr>
        <w:tc>
          <w:tcPr>
            <w:tcW w:type="dxa" w:w="4320"/>
          </w:tcPr>
          <w:p>
            <w:r>
              <w:t>Reference</w:t>
            </w:r>
          </w:p>
        </w:tc>
        <w:tc>
          <w:tcPr>
            <w:tcW w:type="dxa" w:w="4320"/>
          </w:tcPr>
          <w:p>
            <w:r>
              <w:t>CMP-2025-0008</w:t>
            </w:r>
          </w:p>
        </w:tc>
      </w:tr>
      <w:tr>
        <w:tc>
          <w:tcPr>
            <w:tcW w:type="dxa" w:w="4320"/>
          </w:tcPr>
          <w:p>
            <w:r>
              <w:t>Date Received</w:t>
            </w:r>
          </w:p>
        </w:tc>
        <w:tc>
          <w:tcPr>
            <w:tcW w:type="dxa" w:w="4320"/>
          </w:tcPr>
          <w:p>
            <w:r>
              <w:t>28 March 2025</w:t>
            </w:r>
          </w:p>
        </w:tc>
      </w:tr>
      <w:tr>
        <w:tc>
          <w:tcPr>
            <w:tcW w:type="dxa" w:w="4320"/>
          </w:tcPr>
          <w:p>
            <w:r>
              <w:t>Customer Name</w:t>
            </w:r>
          </w:p>
        </w:tc>
        <w:tc>
          <w:tcPr>
            <w:tcW w:type="dxa" w:w="4320"/>
          </w:tcPr>
          <w:p>
            <w:r>
              <w:t>Fatima Al-Rashid</w:t>
            </w:r>
          </w:p>
        </w:tc>
      </w:tr>
      <w:tr>
        <w:tc>
          <w:tcPr>
            <w:tcW w:type="dxa" w:w="4320"/>
          </w:tcPr>
          <w:p>
            <w:r>
              <w:t>Email</w:t>
            </w:r>
          </w:p>
        </w:tc>
        <w:tc>
          <w:tcPr>
            <w:tcW w:type="dxa" w:w="4320"/>
          </w:tcPr>
          <w:p>
            <w:r>
              <w:t>fatima.alrashid@example.com</w:t>
            </w:r>
          </w:p>
        </w:tc>
      </w:tr>
      <w:tr>
        <w:tc>
          <w:tcPr>
            <w:tcW w:type="dxa" w:w="4320"/>
          </w:tcPr>
          <w:p>
            <w:r>
              <w:t>Phone</w:t>
            </w:r>
          </w:p>
        </w:tc>
        <w:tc>
          <w:tcPr>
            <w:tcW w:type="dxa" w:w="4320"/>
          </w:tcPr>
          <w:p>
            <w:r>
              <w:t>+971 50 123 4567</w:t>
            </w:r>
          </w:p>
        </w:tc>
      </w:tr>
      <w:tr>
        <w:tc>
          <w:tcPr>
            <w:tcW w:type="dxa" w:w="4320"/>
          </w:tcPr>
          <w:p>
            <w:r>
              <w:t>Product / Service</w:t>
            </w:r>
          </w:p>
        </w:tc>
        <w:tc>
          <w:tcPr>
            <w:tcW w:type="dxa" w:w="4320"/>
          </w:tcPr>
          <w:p>
            <w:r>
              <w:t>In-store installation service</w:t>
            </w:r>
          </w:p>
        </w:tc>
      </w:tr>
    </w:tbl>
    <w:p/>
    <w:p>
      <w:pPr>
        <w:pStyle w:val="Heading2"/>
      </w:pPr>
      <w:r>
        <w:t>Complaint Description</w:t>
      </w:r>
    </w:p>
    <w:p>
      <w:r>
        <w:t>I want to raise a complaint about the installation appointment on 19 March. The engineer arrived three hours outside the agreed slot without calling ahead, and I had taken the day off work. The installation itself was fine, but the communication was very poor and the call centre staff were quite dismissive when I phoned to ask where the engineer was.</w:t>
      </w:r>
    </w:p>
    <w:p>
      <w:pPr>
        <w:pStyle w:val="Heading2"/>
      </w:pPr>
      <w:r>
        <w:t>Issue Details</w:t>
      </w:r>
    </w:p>
    <w:p>
      <w:r>
        <w:t>Scheduling system did not send the delay notification. Call centre handling of the enquiry was reviewed and found to fall below the expected standard.</w:t>
      </w:r>
    </w:p>
    <w:p>
      <w:pPr>
        <w:pStyle w:val="Heading2"/>
      </w:pPr>
      <w:r>
        <w:t>Resolution Provided</w:t>
      </w:r>
    </w:p>
    <w:p>
      <w:r>
        <w:t>The service manager called the customer on 21 March to apologise. A goodwill credit of AED 150 was applied to the account and the call centre agent has been given coaching. The customer confirmed she was satisfied with the outcome and thanked the manager for following up.</w:t>
      </w:r>
    </w:p>
    <w:p>
      <w:pPr>
        <w:pStyle w:val="Heading2"/>
      </w:pPr>
      <w:r>
        <w:t>Escalation</w:t>
      </w:r>
    </w:p>
    <w:p>
      <w:r>
        <w:t>Handled by the service manager. Now closed.</w:t>
      </w:r>
    </w:p>
    <w:p>
      <w:pPr>
        <w:pStyle w:val="Heading2"/>
      </w:pPr>
      <w:r>
        <w:t>Supporting Information</w:t>
      </w:r>
    </w:p>
    <w:p>
      <w:r>
        <w:t>Call recording reference CR-3391.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