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E5A9" w14:textId="77777777" w:rsidR="00F403F3" w:rsidRPr="0063457E" w:rsidRDefault="00F403F3" w:rsidP="00F403F3">
      <w:pPr>
        <w:rPr>
          <w:b/>
          <w:bCs/>
          <w:color w:val="FF0000"/>
          <w:sz w:val="56"/>
          <w:szCs w:val="56"/>
        </w:rPr>
      </w:pPr>
      <w:r w:rsidRPr="0063457E">
        <w:rPr>
          <w:b/>
          <w:bCs/>
          <w:color w:val="FF0000"/>
          <w:sz w:val="56"/>
          <w:szCs w:val="56"/>
        </w:rPr>
        <w:t>Executive Summary</w:t>
      </w:r>
    </w:p>
    <w:p w14:paraId="4CA14CA0" w14:textId="77777777" w:rsidR="00F403F3" w:rsidRDefault="00F403F3" w:rsidP="00F403F3">
      <w:pPr>
        <w:rPr>
          <w:b/>
          <w:bCs/>
          <w:color w:val="156082"/>
        </w:rPr>
      </w:pPr>
      <w:r>
        <w:rPr>
          <w:b/>
          <w:bCs/>
          <w:color w:val="156082"/>
        </w:rPr>
        <w:t>Business Overview</w:t>
      </w:r>
    </w:p>
    <w:p w14:paraId="630573DC" w14:textId="77777777" w:rsidR="00F403F3" w:rsidRPr="00F403F3" w:rsidRDefault="00F403F3" w:rsidP="00F403F3">
      <w:r w:rsidRPr="00F403F3">
        <w:t xml:space="preserve">TechNova generated </w:t>
      </w:r>
      <w:r w:rsidRPr="00F403F3">
        <w:rPr>
          <w:b/>
          <w:bCs/>
        </w:rPr>
        <w:t>$1.81 billion</w:t>
      </w:r>
      <w:r w:rsidRPr="00F403F3">
        <w:t xml:space="preserve"> in total revenue, </w:t>
      </w:r>
      <w:r w:rsidRPr="00F403F3">
        <w:rPr>
          <w:b/>
          <w:bCs/>
        </w:rPr>
        <w:t>$503.83 million</w:t>
      </w:r>
      <w:r w:rsidRPr="00F403F3">
        <w:t xml:space="preserve"> in profit, and maintained a healthy </w:t>
      </w:r>
      <w:r w:rsidRPr="00F403F3">
        <w:rPr>
          <w:b/>
          <w:bCs/>
        </w:rPr>
        <w:t>27.78% profit margin</w:t>
      </w:r>
      <w:r w:rsidRPr="00F403F3">
        <w:t xml:space="preserve"> over the four-year period. Despite sustaining strong profitability and stable pricing, the company experienced </w:t>
      </w:r>
      <w:r w:rsidRPr="00F403F3">
        <w:rPr>
          <w:b/>
          <w:bCs/>
        </w:rPr>
        <w:t>two consecutive years of revenue decline</w:t>
      </w:r>
      <w:r w:rsidRPr="00F403F3">
        <w:t xml:space="preserve">, with the decline accelerating in </w:t>
      </w:r>
      <w:r w:rsidRPr="00F403F3">
        <w:rPr>
          <w:b/>
          <w:bCs/>
        </w:rPr>
        <w:t>2025 (-1.98%)</w:t>
      </w:r>
      <w:r w:rsidRPr="00F403F3">
        <w:t>.</w:t>
      </w:r>
    </w:p>
    <w:p w14:paraId="633AA1AD" w14:textId="77777777" w:rsidR="00F403F3" w:rsidRPr="00F403F3" w:rsidRDefault="00F403F3" w:rsidP="00F403F3">
      <w:r w:rsidRPr="00F403F3">
        <w:t xml:space="preserve">The analysis indicates that the revenue decline was </w:t>
      </w:r>
      <w:r w:rsidRPr="00F403F3">
        <w:rPr>
          <w:b/>
          <w:bCs/>
        </w:rPr>
        <w:t>not caused by pricing, discounting, or shrinking profit margins</w:t>
      </w:r>
      <w:r w:rsidRPr="00F403F3">
        <w:t xml:space="preserve">. Instead, the primary driver was a </w:t>
      </w:r>
      <w:r w:rsidRPr="00F403F3">
        <w:rPr>
          <w:b/>
          <w:bCs/>
        </w:rPr>
        <w:t>reduction in customer demand</w:t>
      </w:r>
      <w:r w:rsidRPr="00F403F3">
        <w:t>, reflected by lower order volumes across several markets, customer segments, industries, and product categories.</w:t>
      </w:r>
    </w:p>
    <w:p w14:paraId="5B59531F" w14:textId="77777777" w:rsidR="00F403F3" w:rsidRPr="00F403F3" w:rsidRDefault="00F403F3" w:rsidP="00F403F3">
      <w:r w:rsidRPr="00F403F3">
        <w:pict w14:anchorId="463E2682">
          <v:rect id="_x0000_i1025" style="width:0;height:1.5pt" o:hralign="center" o:hrstd="t" o:hr="t" fillcolor="#a0a0a0" stroked="f"/>
        </w:pict>
      </w:r>
    </w:p>
    <w:p w14:paraId="0CD6ADF9" w14:textId="77777777" w:rsidR="00F403F3" w:rsidRDefault="00F403F3" w:rsidP="00F403F3">
      <w:pPr>
        <w:rPr>
          <w:b/>
          <w:bCs/>
          <w:color w:val="156082"/>
        </w:rPr>
      </w:pPr>
      <w:r>
        <w:rPr>
          <w:b/>
          <w:bCs/>
          <w:color w:val="156082"/>
        </w:rPr>
        <w:t>Key Business Insights</w:t>
      </w:r>
    </w:p>
    <w:p w14:paraId="22DCD78A" w14:textId="77777777" w:rsidR="00F403F3" w:rsidRDefault="00F403F3" w:rsidP="00F403F3">
      <w:pPr>
        <w:rPr>
          <w:b/>
          <w:bCs/>
          <w:color w:val="196B24"/>
        </w:rPr>
      </w:pPr>
      <w:r>
        <w:rPr>
          <w:b/>
          <w:bCs/>
          <w:color w:val="196B24"/>
        </w:rPr>
        <w:t>1. Revenue decline was demand-driven, not price-driven</w:t>
      </w:r>
    </w:p>
    <w:p w14:paraId="0D4597D0" w14:textId="77777777" w:rsidR="00F403F3" w:rsidRPr="00F403F3" w:rsidRDefault="00F403F3" w:rsidP="00F403F3">
      <w:r w:rsidRPr="00F403F3">
        <w:t xml:space="preserve">Although revenue declined in both 2024 and 2025, </w:t>
      </w:r>
      <w:r w:rsidRPr="00F403F3">
        <w:rPr>
          <w:b/>
          <w:bCs/>
        </w:rPr>
        <w:t>Average Order Value remained stable at approximately $24K</w:t>
      </w:r>
      <w:r w:rsidRPr="00F403F3">
        <w:t xml:space="preserve">, while the </w:t>
      </w:r>
      <w:r w:rsidRPr="00F403F3">
        <w:rPr>
          <w:b/>
          <w:bCs/>
        </w:rPr>
        <w:t>overall profit margin remained consistently around 27.8%</w:t>
      </w:r>
      <w:r w:rsidRPr="00F403F3">
        <w:t>. This indicates that customers who continued purchasing maintained similar spending behavior, and the company preserved pricing discipline and cost efficiency.</w:t>
      </w:r>
    </w:p>
    <w:p w14:paraId="41DDAF66" w14:textId="77777777" w:rsidR="00F403F3" w:rsidRPr="00F403F3" w:rsidRDefault="00F403F3" w:rsidP="00F403F3">
      <w:r w:rsidRPr="00F403F3">
        <w:rPr>
          <w:b/>
          <w:bCs/>
        </w:rPr>
        <w:t>Key Finding:</w:t>
      </w:r>
      <w:r w:rsidRPr="00F403F3">
        <w:t xml:space="preserve"> The decline was driven primarily by fewer customer purchases rather than reduced customer spending.</w:t>
      </w:r>
    </w:p>
    <w:p w14:paraId="709EB5AB" w14:textId="77777777" w:rsidR="00F403F3" w:rsidRPr="00F403F3" w:rsidRDefault="00F403F3" w:rsidP="00F403F3">
      <w:r w:rsidRPr="00F403F3">
        <w:pict w14:anchorId="595813C7">
          <v:rect id="_x0000_i1026" style="width:0;height:1.5pt" o:hralign="center" o:hrstd="t" o:hr="t" fillcolor="#a0a0a0" stroked="f"/>
        </w:pict>
      </w:r>
    </w:p>
    <w:p w14:paraId="13AC4441" w14:textId="77777777" w:rsidR="00F403F3" w:rsidRDefault="00F403F3" w:rsidP="00F403F3">
      <w:pPr>
        <w:rPr>
          <w:b/>
          <w:bCs/>
          <w:color w:val="196B24"/>
        </w:rPr>
      </w:pPr>
      <w:r>
        <w:rPr>
          <w:b/>
          <w:bCs/>
          <w:color w:val="196B24"/>
        </w:rPr>
        <w:t>2. Declining order volume was the primary contributor to lower revenue</w:t>
      </w:r>
    </w:p>
    <w:p w14:paraId="52C33114" w14:textId="77777777" w:rsidR="00F403F3" w:rsidRPr="00F403F3" w:rsidRDefault="00F403F3" w:rsidP="00F403F3">
      <w:r w:rsidRPr="00F403F3">
        <w:t xml:space="preserve">Order volume remained relatively stable until </w:t>
      </w:r>
      <w:r w:rsidRPr="00F403F3">
        <w:rPr>
          <w:b/>
          <w:bCs/>
        </w:rPr>
        <w:t>2025</w:t>
      </w:r>
      <w:r w:rsidRPr="00F403F3">
        <w:t xml:space="preserve">, when it declined by </w:t>
      </w:r>
      <w:r w:rsidRPr="00F403F3">
        <w:rPr>
          <w:b/>
          <w:bCs/>
        </w:rPr>
        <w:t>2.05%</w:t>
      </w:r>
      <w:r w:rsidRPr="00F403F3">
        <w:t>. This reduction closely mirrors the decline in annual revenue, confirming that fewer customer transactions—not lower transaction values—were responsible for the company's weaker financial performance.</w:t>
      </w:r>
    </w:p>
    <w:p w14:paraId="253EA056" w14:textId="77777777" w:rsidR="00F403F3" w:rsidRPr="00F403F3" w:rsidRDefault="00F403F3" w:rsidP="00F403F3">
      <w:r w:rsidRPr="00F403F3">
        <w:rPr>
          <w:b/>
          <w:bCs/>
        </w:rPr>
        <w:t>Key Finding:</w:t>
      </w:r>
      <w:r w:rsidRPr="00F403F3">
        <w:t xml:space="preserve"> Restoring order growth represents the largest opportunity to reverse the revenue decline.</w:t>
      </w:r>
    </w:p>
    <w:p w14:paraId="6E99D570" w14:textId="77777777" w:rsidR="00F403F3" w:rsidRPr="00F403F3" w:rsidRDefault="00F403F3" w:rsidP="00F403F3">
      <w:r w:rsidRPr="00F403F3">
        <w:pict w14:anchorId="22FBAF3B">
          <v:rect id="_x0000_i1027" style="width:0;height:1.5pt" o:hralign="center" o:hrstd="t" o:hr="t" fillcolor="#a0a0a0" stroked="f"/>
        </w:pict>
      </w:r>
    </w:p>
    <w:p w14:paraId="1E9E0D7F" w14:textId="77777777" w:rsidR="00B23B9A" w:rsidRDefault="00B23B9A" w:rsidP="00F403F3">
      <w:pPr>
        <w:rPr>
          <w:b/>
          <w:bCs/>
          <w:color w:val="196B24"/>
        </w:rPr>
      </w:pPr>
    </w:p>
    <w:p w14:paraId="30787284" w14:textId="77777777" w:rsidR="00F403F3" w:rsidRDefault="00F403F3" w:rsidP="00F403F3">
      <w:pPr>
        <w:rPr>
          <w:b/>
          <w:bCs/>
          <w:color w:val="196B24"/>
        </w:rPr>
      </w:pPr>
      <w:r>
        <w:rPr>
          <w:b/>
          <w:bCs/>
          <w:color w:val="196B24"/>
        </w:rPr>
        <w:lastRenderedPageBreak/>
        <w:t>3. Revenue weakness was concentrated in specific markets</w:t>
      </w:r>
    </w:p>
    <w:p w14:paraId="17CE0055" w14:textId="77777777" w:rsidR="00F403F3" w:rsidRPr="00F403F3" w:rsidRDefault="00F403F3" w:rsidP="00F403F3">
      <w:r w:rsidRPr="00F403F3">
        <w:t>Revenue deterioration was not evenly distributed across the business.</w:t>
      </w:r>
    </w:p>
    <w:p w14:paraId="54EF7034" w14:textId="77777777" w:rsidR="00F403F3" w:rsidRPr="00F403F3" w:rsidRDefault="00F403F3" w:rsidP="00F403F3">
      <w:r w:rsidRPr="00F403F3">
        <w:t xml:space="preserve">The largest regional decline occurred in </w:t>
      </w:r>
      <w:r w:rsidRPr="00F403F3">
        <w:rPr>
          <w:b/>
          <w:bCs/>
        </w:rPr>
        <w:t>Europe</w:t>
      </w:r>
      <w:r w:rsidRPr="00F403F3">
        <w:t xml:space="preserve">, while several countries—including </w:t>
      </w:r>
      <w:r w:rsidRPr="00F403F3">
        <w:rPr>
          <w:b/>
          <w:bCs/>
        </w:rPr>
        <w:t>Canada, France, Germany, UK, Brazil, India, and UAE</w:t>
      </w:r>
      <w:r w:rsidRPr="00F403F3">
        <w:t xml:space="preserve">—experienced notable revenue reductions. Conversely, </w:t>
      </w:r>
      <w:r w:rsidRPr="00F403F3">
        <w:rPr>
          <w:b/>
          <w:bCs/>
        </w:rPr>
        <w:t>Argentina and the USA demonstrated resilience</w:t>
      </w:r>
      <w:r w:rsidRPr="00F403F3">
        <w:t>, highlighting opportunities to replicate successful regional strategies.</w:t>
      </w:r>
    </w:p>
    <w:p w14:paraId="00B064FE" w14:textId="77777777" w:rsidR="00F403F3" w:rsidRPr="00F403F3" w:rsidRDefault="00F403F3" w:rsidP="00F403F3">
      <w:r w:rsidRPr="00F403F3">
        <w:rPr>
          <w:b/>
          <w:bCs/>
        </w:rPr>
        <w:t>Key Finding:</w:t>
      </w:r>
      <w:r w:rsidRPr="00F403F3">
        <w:t xml:space="preserve"> Revenue decline is concentrated in specific geographic markets rather than affecting the entire business equally.</w:t>
      </w:r>
    </w:p>
    <w:p w14:paraId="0A1F1F8C" w14:textId="77777777" w:rsidR="00F403F3" w:rsidRPr="00F403F3" w:rsidRDefault="00F403F3" w:rsidP="00F403F3">
      <w:r w:rsidRPr="00F403F3">
        <w:pict w14:anchorId="2C7E4087">
          <v:rect id="_x0000_i1028" style="width:0;height:1.5pt" o:hralign="center" o:hrstd="t" o:hr="t" fillcolor="#a0a0a0" stroked="f"/>
        </w:pict>
      </w:r>
    </w:p>
    <w:p w14:paraId="6709E4F9" w14:textId="77777777" w:rsidR="00F403F3" w:rsidRDefault="00F403F3" w:rsidP="00F403F3">
      <w:pPr>
        <w:rPr>
          <w:b/>
          <w:bCs/>
          <w:color w:val="196B24"/>
        </w:rPr>
      </w:pPr>
      <w:r>
        <w:rPr>
          <w:b/>
          <w:bCs/>
          <w:color w:val="196B24"/>
        </w:rPr>
        <w:t>4. SMB and Retail customers experienced the greatest slowdown</w:t>
      </w:r>
    </w:p>
    <w:p w14:paraId="01A202C2" w14:textId="77777777" w:rsidR="00F403F3" w:rsidRPr="00F403F3" w:rsidRDefault="00F403F3" w:rsidP="00F403F3">
      <w:r w:rsidRPr="00F403F3">
        <w:t xml:space="preserve">Among customer segments, </w:t>
      </w:r>
      <w:r w:rsidRPr="00F403F3">
        <w:rPr>
          <w:b/>
          <w:bCs/>
        </w:rPr>
        <w:t>SMB recorded the largest decline in both revenue and order volume</w:t>
      </w:r>
      <w:r w:rsidRPr="00F403F3">
        <w:t>, followed by Retail customers. Government remained comparatively resilient and was the only segment to achieve positive revenue growth during 2025.</w:t>
      </w:r>
    </w:p>
    <w:p w14:paraId="3F5083A0" w14:textId="77777777" w:rsidR="00F403F3" w:rsidRPr="00F403F3" w:rsidRDefault="00F403F3" w:rsidP="00F403F3">
      <w:r w:rsidRPr="00F403F3">
        <w:rPr>
          <w:b/>
          <w:bCs/>
        </w:rPr>
        <w:t>Key Finding:</w:t>
      </w:r>
      <w:r w:rsidRPr="00F403F3">
        <w:t xml:space="preserve"> Weakening demand among SMB and Retail customers significantly impacted overall company performance.</w:t>
      </w:r>
    </w:p>
    <w:p w14:paraId="0ED65EFB" w14:textId="77777777" w:rsidR="00F403F3" w:rsidRPr="00F403F3" w:rsidRDefault="00F403F3" w:rsidP="00F403F3">
      <w:r w:rsidRPr="00F403F3">
        <w:pict w14:anchorId="027E4992">
          <v:rect id="_x0000_i1029" style="width:0;height:1.5pt" o:hralign="center" o:hrstd="t" o:hr="t" fillcolor="#a0a0a0" stroked="f"/>
        </w:pict>
      </w:r>
    </w:p>
    <w:p w14:paraId="5106778F" w14:textId="77777777" w:rsidR="00F403F3" w:rsidRDefault="00F403F3" w:rsidP="00F403F3">
      <w:pPr>
        <w:rPr>
          <w:b/>
          <w:bCs/>
          <w:color w:val="196B24"/>
        </w:rPr>
      </w:pPr>
      <w:r>
        <w:rPr>
          <w:b/>
          <w:bCs/>
          <w:color w:val="196B24"/>
        </w:rPr>
        <w:t>5. Networking products were the largest source of revenue loss</w:t>
      </w:r>
    </w:p>
    <w:p w14:paraId="00258185" w14:textId="77777777" w:rsidR="00F403F3" w:rsidRPr="00F403F3" w:rsidRDefault="00F403F3" w:rsidP="00F403F3">
      <w:r w:rsidRPr="00F403F3">
        <w:t xml:space="preserve">Product analysis identified </w:t>
      </w:r>
      <w:r w:rsidRPr="00F403F3">
        <w:rPr>
          <w:b/>
          <w:bCs/>
        </w:rPr>
        <w:t>Networking</w:t>
      </w:r>
      <w:r w:rsidRPr="00F403F3">
        <w:t xml:space="preserve"> as the weakest-performing category, recording the largest declines in both revenue and order volume. Multiple networking products experienced order reductions exceeding </w:t>
      </w:r>
      <w:r w:rsidRPr="00F403F3">
        <w:rPr>
          <w:b/>
          <w:bCs/>
        </w:rPr>
        <w:t>30–45%</w:t>
      </w:r>
      <w:r w:rsidRPr="00F403F3">
        <w:t>, suggesting declining customer demand or increased competitive pressure.</w:t>
      </w:r>
    </w:p>
    <w:p w14:paraId="39E67341" w14:textId="77777777" w:rsidR="00F403F3" w:rsidRPr="00F403F3" w:rsidRDefault="00F403F3" w:rsidP="00F403F3">
      <w:r w:rsidRPr="00F403F3">
        <w:t xml:space="preserve">In contrast, </w:t>
      </w:r>
      <w:r w:rsidRPr="00F403F3">
        <w:rPr>
          <w:b/>
          <w:bCs/>
        </w:rPr>
        <w:t>Software</w:t>
      </w:r>
      <w:r w:rsidRPr="00F403F3">
        <w:t xml:space="preserve"> demonstrated renewed growth during 2025, indicating a shift in customer purchasing preferences.</w:t>
      </w:r>
    </w:p>
    <w:p w14:paraId="58E05756" w14:textId="77777777" w:rsidR="00F403F3" w:rsidRPr="00F403F3" w:rsidRDefault="00F403F3" w:rsidP="00F403F3">
      <w:r w:rsidRPr="00F403F3">
        <w:rPr>
          <w:b/>
          <w:bCs/>
        </w:rPr>
        <w:t>Key Finding:</w:t>
      </w:r>
      <w:r w:rsidRPr="00F403F3">
        <w:t xml:space="preserve"> The company's product portfolio is undergoing demand shifts, with infrastructure products weakening while software solutions show stronger resilience.</w:t>
      </w:r>
    </w:p>
    <w:p w14:paraId="3183547C" w14:textId="77777777" w:rsidR="00F403F3" w:rsidRPr="00F403F3" w:rsidRDefault="00F403F3" w:rsidP="00F403F3">
      <w:r w:rsidRPr="00F403F3">
        <w:pict w14:anchorId="41D9274D">
          <v:rect id="_x0000_i1030" style="width:0;height:1.5pt" o:hralign="center" o:hrstd="t" o:hr="t" fillcolor="#a0a0a0" stroked="f"/>
        </w:pict>
      </w:r>
    </w:p>
    <w:p w14:paraId="164CF583" w14:textId="77777777" w:rsidR="00F403F3" w:rsidRDefault="00F403F3" w:rsidP="00F403F3">
      <w:pPr>
        <w:rPr>
          <w:b/>
          <w:bCs/>
          <w:color w:val="196B24"/>
        </w:rPr>
      </w:pPr>
      <w:r>
        <w:rPr>
          <w:b/>
          <w:bCs/>
          <w:color w:val="196B24"/>
        </w:rPr>
        <w:t>6. Retail and Healthcare industries contributed most to declining sales</w:t>
      </w:r>
    </w:p>
    <w:p w14:paraId="21735B9D" w14:textId="77777777" w:rsidR="00F403F3" w:rsidRPr="00F403F3" w:rsidRDefault="00F403F3" w:rsidP="00F403F3">
      <w:r w:rsidRPr="00F403F3">
        <w:t xml:space="preserve">Industry analysis revealed that </w:t>
      </w:r>
      <w:r w:rsidRPr="00F403F3">
        <w:rPr>
          <w:b/>
          <w:bCs/>
        </w:rPr>
        <w:t>Retail</w:t>
      </w:r>
      <w:r w:rsidRPr="00F403F3">
        <w:t xml:space="preserve"> and </w:t>
      </w:r>
      <w:r w:rsidRPr="00F403F3">
        <w:rPr>
          <w:b/>
          <w:bCs/>
        </w:rPr>
        <w:t>Healthcare</w:t>
      </w:r>
      <w:r w:rsidRPr="00F403F3">
        <w:t xml:space="preserve"> experienced the largest revenue declines, while </w:t>
      </w:r>
      <w:r w:rsidRPr="00F403F3">
        <w:rPr>
          <w:b/>
          <w:bCs/>
        </w:rPr>
        <w:t>Finance</w:t>
      </w:r>
      <w:r w:rsidRPr="00F403F3">
        <w:t xml:space="preserve"> also showed weakening demand. The </w:t>
      </w:r>
      <w:r w:rsidRPr="00F403F3">
        <w:rPr>
          <w:b/>
          <w:bCs/>
        </w:rPr>
        <w:t>IT industry recovered modestly</w:t>
      </w:r>
      <w:r w:rsidRPr="00F403F3">
        <w:t xml:space="preserve"> during 2025, demonstrating stronger resilience than other sectors.</w:t>
      </w:r>
    </w:p>
    <w:p w14:paraId="618E5247" w14:textId="77777777" w:rsidR="00F403F3" w:rsidRPr="00F403F3" w:rsidRDefault="00F403F3" w:rsidP="00F403F3">
      <w:r w:rsidRPr="00F403F3">
        <w:rPr>
          <w:b/>
          <w:bCs/>
        </w:rPr>
        <w:lastRenderedPageBreak/>
        <w:t>Key Finding:</w:t>
      </w:r>
      <w:r w:rsidRPr="00F403F3">
        <w:t xml:space="preserve"> Revenue decline was concentrated within specific industries, creating opportunities for targeted recovery strategies.</w:t>
      </w:r>
    </w:p>
    <w:p w14:paraId="2BF74922" w14:textId="77777777" w:rsidR="00F403F3" w:rsidRPr="00F403F3" w:rsidRDefault="00F403F3" w:rsidP="00F403F3">
      <w:r w:rsidRPr="00F403F3">
        <w:pict w14:anchorId="42C596D5">
          <v:rect id="_x0000_i1031" style="width:0;height:1.5pt" o:hralign="center" o:hrstd="t" o:hr="t" fillcolor="#a0a0a0" stroked="f"/>
        </w:pict>
      </w:r>
    </w:p>
    <w:p w14:paraId="48BD60F0" w14:textId="77777777" w:rsidR="00F403F3" w:rsidRDefault="00F403F3" w:rsidP="00F403F3">
      <w:pPr>
        <w:rPr>
          <w:b/>
          <w:bCs/>
          <w:color w:val="196B24"/>
        </w:rPr>
      </w:pPr>
      <w:r>
        <w:rPr>
          <w:b/>
          <w:bCs/>
          <w:color w:val="196B24"/>
        </w:rPr>
        <w:t>7. Customer churn remained low but impacted high-value revenue</w:t>
      </w:r>
    </w:p>
    <w:p w14:paraId="243CAAE2" w14:textId="77777777" w:rsidR="00F403F3" w:rsidRPr="00F403F3" w:rsidRDefault="00F403F3" w:rsidP="00F403F3">
      <w:r w:rsidRPr="00F403F3">
        <w:t xml:space="preserve">The company recorded a </w:t>
      </w:r>
      <w:r w:rsidRPr="00F403F3">
        <w:rPr>
          <w:b/>
          <w:bCs/>
        </w:rPr>
        <w:t>2.33% customer churn rate</w:t>
      </w:r>
      <w:r w:rsidRPr="00F403F3">
        <w:t xml:space="preserve">, representing </w:t>
      </w:r>
      <w:r w:rsidRPr="00F403F3">
        <w:rPr>
          <w:b/>
          <w:bCs/>
        </w:rPr>
        <w:t>114 lost customers</w:t>
      </w:r>
      <w:r w:rsidRPr="00F403F3">
        <w:t xml:space="preserve"> and approximately </w:t>
      </w:r>
      <w:r w:rsidRPr="00F403F3">
        <w:rPr>
          <w:b/>
          <w:bCs/>
        </w:rPr>
        <w:t>$9.35 million in lost revenue</w:t>
      </w:r>
      <w:r w:rsidRPr="00F403F3">
        <w:t>.</w:t>
      </w:r>
    </w:p>
    <w:p w14:paraId="467475D2" w14:textId="77777777" w:rsidR="00F403F3" w:rsidRPr="00F403F3" w:rsidRDefault="00F403F3" w:rsidP="00F403F3">
      <w:r w:rsidRPr="00F403F3">
        <w:t>Although the overall churn rate remains relatively low, several churned customers generated significant annual revenue, indicating that the loss of a small number of strategic accounts can have a disproportionate financial impact.</w:t>
      </w:r>
    </w:p>
    <w:p w14:paraId="7CD8CB55" w14:textId="77777777" w:rsidR="00F403F3" w:rsidRPr="00F403F3" w:rsidRDefault="00F403F3" w:rsidP="00F403F3">
      <w:r w:rsidRPr="00F403F3">
        <w:rPr>
          <w:b/>
          <w:bCs/>
        </w:rPr>
        <w:t>Key Finding:</w:t>
      </w:r>
      <w:r w:rsidRPr="00F403F3">
        <w:t xml:space="preserve"> Customer retention remains a strategic priority despite the relatively low churn rate.</w:t>
      </w:r>
    </w:p>
    <w:p w14:paraId="23FD781D" w14:textId="77777777" w:rsidR="00F403F3" w:rsidRPr="00F403F3" w:rsidRDefault="00F403F3" w:rsidP="00F403F3">
      <w:r w:rsidRPr="00F403F3">
        <w:pict w14:anchorId="31383C67">
          <v:rect id="_x0000_i1032" style="width:0;height:1.5pt" o:hralign="center" o:hrstd="t" o:hr="t" fillcolor="#a0a0a0" stroked="f"/>
        </w:pict>
      </w:r>
    </w:p>
    <w:p w14:paraId="4DF5AA4E" w14:textId="77777777" w:rsidR="00F403F3" w:rsidRPr="00F403F3" w:rsidRDefault="00F403F3" w:rsidP="00F403F3"/>
    <w:p w14:paraId="64934DE5" w14:textId="77777777" w:rsidR="00F403F3" w:rsidRDefault="00F403F3" w:rsidP="00F403F3">
      <w:pPr>
        <w:rPr>
          <w:b/>
          <w:bCs/>
          <w:color w:val="156082"/>
        </w:rPr>
      </w:pPr>
      <w:r>
        <w:rPr>
          <w:b/>
          <w:bCs/>
          <w:color w:val="156082"/>
        </w:rPr>
        <w:t>Strategic Recommendations</w:t>
      </w:r>
    </w:p>
    <w:p w14:paraId="0220490D" w14:textId="77777777" w:rsidR="00F403F3" w:rsidRDefault="00F403F3" w:rsidP="00F403F3">
      <w:pPr>
        <w:rPr>
          <w:b/>
          <w:bCs/>
          <w:color w:val="196B24"/>
        </w:rPr>
      </w:pPr>
      <w:r>
        <w:rPr>
          <w:b/>
          <w:bCs/>
          <w:color w:val="196B24"/>
        </w:rPr>
        <w:t>Increase customer acquisition and order volume</w:t>
      </w:r>
    </w:p>
    <w:p w14:paraId="2B9F18B1" w14:textId="77777777" w:rsidR="00F403F3" w:rsidRPr="00F403F3" w:rsidRDefault="00F403F3" w:rsidP="00F403F3">
      <w:r w:rsidRPr="00F403F3">
        <w:t>Since declining order volume is the primary driver of revenue loss, management should prioritize demand generation through targeted marketing campaigns, improved lead generation, and sales conversion initiatives.</w:t>
      </w:r>
    </w:p>
    <w:p w14:paraId="11831526" w14:textId="77777777" w:rsidR="00F403F3" w:rsidRPr="00F403F3" w:rsidRDefault="00F403F3" w:rsidP="00F403F3">
      <w:r w:rsidRPr="00F403F3">
        <w:pict w14:anchorId="5571F8C9">
          <v:rect id="_x0000_i1033" style="width:0;height:1.5pt" o:hralign="center" o:hrstd="t" o:hr="t" fillcolor="#a0a0a0" stroked="f"/>
        </w:pict>
      </w:r>
    </w:p>
    <w:p w14:paraId="6CCF0AEC" w14:textId="77777777" w:rsidR="00F403F3" w:rsidRDefault="00F403F3" w:rsidP="00F403F3">
      <w:pPr>
        <w:rPr>
          <w:b/>
          <w:bCs/>
          <w:color w:val="196B24"/>
        </w:rPr>
      </w:pPr>
      <w:r>
        <w:rPr>
          <w:b/>
          <w:bCs/>
          <w:color w:val="196B24"/>
        </w:rPr>
        <w:t>Strengthen customer retention programs</w:t>
      </w:r>
    </w:p>
    <w:p w14:paraId="5DE301CF" w14:textId="77777777" w:rsidR="00F403F3" w:rsidRPr="00F403F3" w:rsidRDefault="00F403F3" w:rsidP="00F403F3">
      <w:r w:rsidRPr="00F403F3">
        <w:t>Develop proactive retention strategies for high-value customers by identifying early warning signs of churn and launching personalized customer engagement and win-back campaigns.</w:t>
      </w:r>
    </w:p>
    <w:p w14:paraId="68C948A0" w14:textId="77777777" w:rsidR="00F403F3" w:rsidRPr="00F403F3" w:rsidRDefault="00F403F3" w:rsidP="00F403F3">
      <w:r w:rsidRPr="00F403F3">
        <w:pict w14:anchorId="106207CC">
          <v:rect id="_x0000_i1034" style="width:0;height:1.5pt" o:hralign="center" o:hrstd="t" o:hr="t" fillcolor="#a0a0a0" stroked="f"/>
        </w:pict>
      </w:r>
    </w:p>
    <w:p w14:paraId="0CF40795" w14:textId="77777777" w:rsidR="00F403F3" w:rsidRDefault="00F403F3" w:rsidP="00F403F3">
      <w:pPr>
        <w:rPr>
          <w:b/>
          <w:bCs/>
        </w:rPr>
      </w:pPr>
    </w:p>
    <w:p w14:paraId="08D3905C" w14:textId="77777777" w:rsidR="00F403F3" w:rsidRDefault="00F403F3" w:rsidP="00F403F3">
      <w:pPr>
        <w:rPr>
          <w:b/>
          <w:bCs/>
          <w:color w:val="196B24"/>
        </w:rPr>
      </w:pPr>
      <w:r>
        <w:rPr>
          <w:b/>
          <w:bCs/>
          <w:color w:val="196B24"/>
        </w:rPr>
        <w:t>Prioritize recovery in underperforming markets</w:t>
      </w:r>
    </w:p>
    <w:p w14:paraId="3755D9DC" w14:textId="77777777" w:rsidR="00F403F3" w:rsidRPr="00F403F3" w:rsidRDefault="00F403F3" w:rsidP="00F403F3">
      <w:r w:rsidRPr="00F403F3">
        <w:t>Conduct detailed market assessments in Europe and other declining countries to identify competitive pressures, pricing challenges, and changing customer behavior, while leveraging successful practices from higher-performing markets such as Argentina and the USA.</w:t>
      </w:r>
    </w:p>
    <w:p w14:paraId="7393AEDA" w14:textId="77777777" w:rsidR="00F403F3" w:rsidRPr="00F403F3" w:rsidRDefault="00F403F3" w:rsidP="00F403F3">
      <w:r w:rsidRPr="00F403F3">
        <w:lastRenderedPageBreak/>
        <w:pict w14:anchorId="1BD1C93F">
          <v:rect id="_x0000_i1035" style="width:0;height:1.5pt" o:hralign="center" o:hrstd="t" o:hr="t" fillcolor="#a0a0a0" stroked="f"/>
        </w:pict>
      </w:r>
    </w:p>
    <w:p w14:paraId="03A7CA8C" w14:textId="77777777" w:rsidR="00F403F3" w:rsidRDefault="00F403F3" w:rsidP="00F403F3">
      <w:pPr>
        <w:rPr>
          <w:b/>
          <w:bCs/>
        </w:rPr>
      </w:pPr>
    </w:p>
    <w:p w14:paraId="57121F52" w14:textId="77777777" w:rsidR="00F403F3" w:rsidRDefault="00F403F3" w:rsidP="00F403F3">
      <w:pPr>
        <w:rPr>
          <w:b/>
          <w:bCs/>
          <w:color w:val="196B24"/>
        </w:rPr>
      </w:pPr>
      <w:r>
        <w:rPr>
          <w:b/>
          <w:bCs/>
          <w:color w:val="196B24"/>
        </w:rPr>
        <w:t>Reposition underperforming product categories</w:t>
      </w:r>
    </w:p>
    <w:p w14:paraId="6D486B0C" w14:textId="77777777" w:rsidR="00F403F3" w:rsidRPr="00F403F3" w:rsidRDefault="00F403F3" w:rsidP="00F403F3">
      <w:r w:rsidRPr="00F403F3">
        <w:t>Review the competitiveness of Networking and Storage products through pricing analysis, product enhancements, and customer feedback. At the same time, continue investing in Software solutions where customer demand remains strong.</w:t>
      </w:r>
    </w:p>
    <w:p w14:paraId="0E3F9889" w14:textId="77777777" w:rsidR="00F403F3" w:rsidRPr="00F403F3" w:rsidRDefault="00F403F3" w:rsidP="00F403F3">
      <w:r w:rsidRPr="00F403F3">
        <w:pict w14:anchorId="5A2228D6">
          <v:rect id="_x0000_i1036" style="width:0;height:1.5pt" o:hralign="center" o:hrstd="t" o:hr="t" fillcolor="#a0a0a0" stroked="f"/>
        </w:pict>
      </w:r>
    </w:p>
    <w:p w14:paraId="38CB65E9" w14:textId="77777777" w:rsidR="00F403F3" w:rsidRDefault="00F403F3" w:rsidP="00F403F3">
      <w:pPr>
        <w:rPr>
          <w:b/>
          <w:bCs/>
          <w:color w:val="196B24"/>
        </w:rPr>
      </w:pPr>
      <w:r>
        <w:rPr>
          <w:b/>
          <w:bCs/>
          <w:color w:val="196B24"/>
        </w:rPr>
        <w:t>Expand growth within resilient customer segments</w:t>
      </w:r>
    </w:p>
    <w:p w14:paraId="6E116093" w14:textId="77777777" w:rsidR="00F403F3" w:rsidRPr="00F403F3" w:rsidRDefault="00F403F3" w:rsidP="00F403F3">
      <w:r w:rsidRPr="00F403F3">
        <w:t>Increase sales efforts within Government organizations, the IT industry, and high-performing geographic markets where demand remains stable or continues to grow.</w:t>
      </w:r>
    </w:p>
    <w:p w14:paraId="2BB2EBCD" w14:textId="77777777" w:rsidR="00F403F3" w:rsidRPr="00F403F3" w:rsidRDefault="00F403F3" w:rsidP="00F403F3">
      <w:r w:rsidRPr="00F403F3">
        <w:pict w14:anchorId="6B85875C">
          <v:rect id="_x0000_i1037" style="width:0;height:1.5pt" o:hralign="center" o:hrstd="t" o:hr="t" fillcolor="#a0a0a0" stroked="f"/>
        </w:pict>
      </w:r>
    </w:p>
    <w:p w14:paraId="0A0CEFD1" w14:textId="77777777" w:rsidR="00F403F3" w:rsidRDefault="00F403F3" w:rsidP="00F403F3">
      <w:pPr>
        <w:rPr>
          <w:b/>
          <w:bCs/>
          <w:color w:val="196B24"/>
        </w:rPr>
      </w:pPr>
      <w:r>
        <w:rPr>
          <w:b/>
          <w:bCs/>
          <w:color w:val="196B24"/>
        </w:rPr>
        <w:t>Implement predictive business monitoring</w:t>
      </w:r>
    </w:p>
    <w:p w14:paraId="2D58DE53" w14:textId="77777777" w:rsidR="00F403F3" w:rsidRPr="00F403F3" w:rsidRDefault="00F403F3" w:rsidP="00F403F3">
      <w:r w:rsidRPr="00F403F3">
        <w:t>Develop executive dashboards that monitor revenue, order volume, customer churn, and regional performance on a monthly basis. Introduce predictive models to identify declining demand and customer churn before they materially impact business performance.</w:t>
      </w:r>
    </w:p>
    <w:p w14:paraId="4555CEE0" w14:textId="77777777" w:rsidR="00F403F3" w:rsidRPr="00F403F3" w:rsidRDefault="00F403F3" w:rsidP="00F403F3">
      <w:r w:rsidRPr="00F403F3">
        <w:pict w14:anchorId="7CA6CAA8">
          <v:rect id="_x0000_i1038" style="width:0;height:1.5pt" o:hralign="center" o:hrstd="t" o:hr="t" fillcolor="#a0a0a0" stroked="f"/>
        </w:pict>
      </w:r>
    </w:p>
    <w:p w14:paraId="07EE2E1C" w14:textId="77777777" w:rsidR="00F403F3" w:rsidRDefault="00F403F3" w:rsidP="00F403F3">
      <w:pPr>
        <w:rPr>
          <w:b/>
          <w:bCs/>
          <w:color w:val="156082"/>
        </w:rPr>
      </w:pPr>
      <w:r>
        <w:rPr>
          <w:b/>
          <w:bCs/>
          <w:color w:val="156082"/>
        </w:rPr>
        <w:t>Conclusion</w:t>
      </w:r>
    </w:p>
    <w:p w14:paraId="576BADA1" w14:textId="77777777" w:rsidR="00F403F3" w:rsidRPr="00F403F3" w:rsidRDefault="00F403F3" w:rsidP="00F403F3">
      <w:r w:rsidRPr="00F403F3">
        <w:t xml:space="preserve">The analysis indicates that </w:t>
      </w:r>
      <w:r w:rsidRPr="00F403F3">
        <w:rPr>
          <w:b/>
          <w:bCs/>
        </w:rPr>
        <w:t>TechNova's revenue decline is primarily a demand-generation challenge rather than a profitability or pricing issue</w:t>
      </w:r>
      <w:r w:rsidRPr="00F403F3">
        <w:t>. Stable margins and consistent customer spending demonstrate that the company's commercial fundamentals remain healthy. However, declining order volume, weaker performance in selected markets, reduced demand for Networking products, and the loss of several high-value customers have collectively slowed revenue growth.</w:t>
      </w:r>
    </w:p>
    <w:p w14:paraId="58F0E1F0" w14:textId="77777777" w:rsidR="00F403F3" w:rsidRPr="00F403F3" w:rsidRDefault="00F403F3" w:rsidP="00F403F3">
      <w:r w:rsidRPr="00F403F3">
        <w:t xml:space="preserve">By focusing on </w:t>
      </w:r>
      <w:r w:rsidRPr="00F403F3">
        <w:rPr>
          <w:b/>
          <w:bCs/>
        </w:rPr>
        <w:t>customer acquisition, strategic retention, geographic recovery, and product portfolio optimization</w:t>
      </w:r>
      <w:r w:rsidRPr="00F403F3">
        <w:t>, TechNova is well positioned to reverse its recent revenue decline and establish a sustainable path toward long-term growth.</w:t>
      </w:r>
    </w:p>
    <w:p w14:paraId="2C1895F8" w14:textId="77777777" w:rsidR="00700C91" w:rsidRDefault="00700C91"/>
    <w:sectPr w:rsidR="00700C9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403F3"/>
    <w:rsid w:val="000B7C7F"/>
    <w:rsid w:val="000F252C"/>
    <w:rsid w:val="003E7B47"/>
    <w:rsid w:val="0063457E"/>
    <w:rsid w:val="00700C91"/>
    <w:rsid w:val="00B23B9A"/>
    <w:rsid w:val="00BE598A"/>
    <w:rsid w:val="00F40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636B8A"/>
  <w14:defaultImageDpi w14:val="0"/>
  <w15:docId w15:val="{29B29345-1A11-49D1-91C6-D60D81EAE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Kumar</dc:creator>
  <cp:keywords/>
  <dc:description/>
  <cp:lastModifiedBy>Harish Kumar</cp:lastModifiedBy>
  <cp:revision>2</cp:revision>
  <cp:lastPrinted>2026-08-04T15:53:00Z</cp:lastPrinted>
  <dcterms:created xsi:type="dcterms:W3CDTF">2026-08-04T16:38:00Z</dcterms:created>
  <dcterms:modified xsi:type="dcterms:W3CDTF">2026-08-04T16:38:00Z</dcterms:modified>
</cp:coreProperties>
</file>