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b/>
          <w:bCs/>
          <w:color w:val="1F3864"/>
          <w:sz w:val="30"/>
          <w:szCs w:val="30"/>
        </w:rPr>
        <w:t>SCRIPT-CONTROLLED ACL</w:t>
      </w:r>
    </w:p>
    <w:p>
      <w:pPr>
        <w:pStyle w:val="Normal"/>
        <w:spacing w:before="0" w:after="60"/>
        <w:jc w:val="center"/>
        <w:rPr/>
      </w:pPr>
      <w:r>
        <w:rPr>
          <w:i/>
          <w:iCs/>
          <w:color w:val="2E5395"/>
          <w:sz w:val="22"/>
          <w:szCs w:val="22"/>
        </w:rPr>
        <w:t>Restrict Record Access Based on Field Value (ServiceNow)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 xml:space="preserve">Vishnu MuthuPriya R </w:t>
      </w:r>
    </w:p>
    <w:p>
      <w:pPr>
        <w:pStyle w:val="Normal"/>
        <w:pBdr>
          <w:bottom w:val="single" w:sz="6" w:space="8" w:color="1F3864"/>
        </w:pBdr>
        <w:spacing w:before="0" w:after="300"/>
        <w:jc w:val="center"/>
        <w:rPr/>
      </w:pPr>
      <w:r>
        <w:rPr>
          <w:b/>
          <w:bCs/>
          <w:color w:val="808080"/>
          <w:sz w:val="20"/>
          <w:szCs w:val="20"/>
        </w:rPr>
        <w:t>Phase 7 — Project Documentation</w:t>
      </w:r>
    </w:p>
    <w:p>
      <w:pPr>
        <w:pStyle w:val="Heading1"/>
        <w:spacing w:before="300" w:after="200"/>
        <w:rPr/>
      </w:pPr>
      <w:r>
        <w:rPr>
          <w:b/>
          <w:bCs/>
        </w:rPr>
        <w:t>7.  Project Documentation</w:t>
      </w:r>
    </w:p>
    <w:p>
      <w:pPr>
        <w:pStyle w:val="Heading2"/>
        <w:spacing w:before="220" w:after="120"/>
        <w:rPr/>
      </w:pPr>
      <w:r>
        <w:rPr>
          <w:b/>
          <w:bCs/>
        </w:rPr>
        <w:t>7.1  Purpose of This Phase</w:t>
      </w:r>
    </w:p>
    <w:p>
      <w:pPr>
        <w:pStyle w:val="Normal"/>
        <w:spacing w:lineRule="exact" w:line="300" w:before="0" w:after="160"/>
        <w:jc w:val="both"/>
        <w:rPr/>
      </w:pPr>
      <w:r>
        <w:rPr/>
        <w:t>This phase consolidates the configuration artefacts produced during development into a form that can be handed over, audited or reused on another ServiceNow instance.</w:t>
      </w:r>
    </w:p>
    <w:p>
      <w:pPr>
        <w:pStyle w:val="Heading2"/>
        <w:spacing w:before="220" w:after="120"/>
        <w:rPr/>
      </w:pPr>
      <w:r>
        <w:rPr>
          <w:b/>
          <w:bCs/>
        </w:rPr>
        <w:t>7.2  Update Set</w:t>
      </w:r>
    </w:p>
    <w:p>
      <w:pPr>
        <w:pStyle w:val="Normal"/>
        <w:spacing w:lineRule="exact" w:line="300" w:before="0" w:after="160"/>
        <w:jc w:val="both"/>
        <w:rPr/>
      </w:pPr>
      <w:r>
        <w:rPr/>
        <w:t>All configuration changes — the custom table, its fields, the four custom roles and the four ACL records — were captured under a single Update Set named “ACL Project [Global]”, allowing the entire solution to be exported and imported into another ServiceNow instance as one unit.</w:t>
      </w:r>
    </w:p>
    <w:p>
      <w:pPr>
        <w:pStyle w:val="Heading2"/>
        <w:spacing w:before="220" w:after="120"/>
        <w:rPr/>
      </w:pPr>
      <w:r>
        <w:rPr>
          <w:b/>
          <w:bCs/>
        </w:rPr>
        <w:t>7.3  Configuration Register</w:t>
      </w:r>
    </w:p>
    <w:tbl>
      <w:tblPr>
        <w:tblW w:w="89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99"/>
        <w:gridCol w:w="3200"/>
        <w:gridCol w:w="3741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Artefact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Name / Value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Notes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Table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u_institution_details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Label: Institution Details; Extends: false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bb1 / bb2 / bb3 / bb4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Custom, application scope: Global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ACL – Read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u_institution_details / read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Advanced: true; Requires role bb1; Data condition Branch is EEE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ACL – Create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u_institution_details / create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Requires role bb2; no data condition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ACL – Write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u_institution_details / write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Requires role bb3; no data condition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ACL – Delete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u_institution_details / delete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Requires role bb4; no data condition</w:t>
            </w:r>
          </w:p>
        </w:tc>
      </w:tr>
      <w:tr>
        <w:trPr/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Test User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EEE User (EEEUser)</w:t>
            </w:r>
          </w:p>
        </w:tc>
        <w:tc>
          <w:tcPr>
            <w:tcW w:w="3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eeeuser@gmail.com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7.4  Script Documentation</w:t>
      </w:r>
    </w:p>
    <w:p>
      <w:pPr>
        <w:pStyle w:val="Normal"/>
        <w:spacing w:lineRule="exact" w:line="300" w:before="0" w:after="160"/>
        <w:jc w:val="both"/>
        <w:rPr/>
      </w:pPr>
      <w:r>
        <w:rPr/>
        <w:t>The Read ACL script is documented inline with comments describing each branch of logic (admin override, branch-role check, default deny), so that a future maintainer extending the system to a new branch or role only needs to add one more gs.hasRole() check rather than re-reading the whole script from scratch.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(function () {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sz w:val="20"/>
          <w:szCs w:val="20"/>
        </w:rPr>
        <w:t>if (gs.hasRole('admin')) { return true; }   // Admin always allowed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sz w:val="20"/>
          <w:szCs w:val="20"/>
        </w:rPr>
        <w:t>if (gs.hasRole('bb1'))   { return true; }   // Branch role allowed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 xml:space="preserve">  </w:t>
      </w:r>
      <w:r>
        <w:rPr>
          <w:rFonts w:eastAsia="Consolas" w:cs="Consolas" w:ascii="Consolas" w:hAnsi="Consolas"/>
          <w:sz w:val="20"/>
          <w:szCs w:val="20"/>
        </w:rPr>
        <w:t>return false;                                // Deny by default</w:t>
      </w:r>
    </w:p>
    <w:p>
      <w:pPr>
        <w:pStyle w:val="Normal"/>
        <w:shd w:val="clear" w:fill="F2F2F2"/>
        <w:spacing w:before="0" w:after="0"/>
        <w:rPr/>
      </w:pPr>
      <w:r>
        <w:rPr>
          <w:rFonts w:eastAsia="Consolas" w:cs="Consolas" w:ascii="Consolas" w:hAnsi="Consolas"/>
          <w:sz w:val="20"/>
          <w:szCs w:val="20"/>
        </w:rPr>
        <w:t>})();</w:t>
      </w:r>
    </w:p>
    <w:p>
      <w:pPr>
        <w:pStyle w:val="Normal"/>
        <w:spacing w:before="160" w:after="0"/>
        <w:rPr/>
      </w:pPr>
      <w:r>
        <w:rPr/>
      </w:r>
    </w:p>
    <w:p>
      <w:pPr>
        <w:pStyle w:val="Heading2"/>
        <w:spacing w:before="220" w:after="120"/>
        <w:rPr/>
      </w:pPr>
      <w:r>
        <w:rPr>
          <w:b/>
          <w:bCs/>
        </w:rPr>
        <w:t>7.5  Operating Instructions for Administrators</w:t>
      </w:r>
    </w:p>
    <w:p>
      <w:pPr>
        <w:pStyle w:val="ListParagraph"/>
        <w:numPr>
          <w:ilvl w:val="0"/>
          <w:numId w:val="3"/>
        </w:numPr>
        <w:spacing w:before="0" w:after="90"/>
        <w:rPr/>
      </w:pPr>
      <w:r>
        <w:rPr/>
        <w:t>To onboard a new branch, add its value to the Branch choice list on u_institution_details and create a matching custom role and Read ACL data condition.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To change who can view a branch's records, add or remove the corresponding role (bb1–bb4) on the user's record — no ACL script change is required for routine access changes.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Any change to the ACL scripts must be made while elevated to the security_admin role and should be captured in an Update Set before being moved between instances.</w:t>
      </w:r>
    </w:p>
    <w:p>
      <w:pPr>
        <w:pStyle w:val="Heading2"/>
        <w:spacing w:before="220" w:after="120"/>
        <w:rPr/>
      </w:pPr>
      <w:r>
        <w:rPr>
          <w:b/>
          <w:bCs/>
        </w:rPr>
        <w:t>7.6  User Manual (Quick Reference)</w:t>
      </w:r>
    </w:p>
    <w:tbl>
      <w:tblPr>
        <w:tblW w:w="954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99"/>
        <w:gridCol w:w="7340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Task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Steps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View records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Navigate to Institution Details list — records shown are automatically filtered to your branch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Add a record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Click New (visible only with the create role), fill in the fields, and Submit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Edit a record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Click into a cell or open the record form (visible only with the write role) and update the value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Delete a record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Select the record checkbox, choose Delete from the Actions on selected rows menu, and confirm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Request access</w:t>
            </w:r>
          </w:p>
        </w:tc>
        <w:tc>
          <w:tcPr>
            <w:tcW w:w="7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b w:val="false"/>
                <w:bCs w:val="false"/>
              </w:rPr>
              <w:t>Contact the administrator to have the appropriate role (bb1–bb4) added to your user record</w:t>
            </w:r>
          </w:p>
        </w:tc>
      </w:tr>
    </w:tbl>
    <w:p>
      <w:pPr>
        <w:pStyle w:val="Heading2"/>
        <w:spacing w:before="220" w:after="120"/>
        <w:rPr/>
      </w:pPr>
      <w:r>
        <w:rPr>
          <w:b/>
          <w:bCs/>
        </w:rPr>
        <w:t>7.7  Lessons Learned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Advanced scripts on ACLs are only evaluated when the Advanced checkbox is enabled — an easy step to miss.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Always place the administrator check first in a security script so that a coding mistake elsewhere cannot lock the administrator out.</w:t>
      </w:r>
    </w:p>
    <w:p>
      <w:pPr>
        <w:pStyle w:val="ListParagraph"/>
        <w:numPr>
          <w:ilvl w:val="0"/>
          <w:numId w:val="1"/>
        </w:numPr>
        <w:spacing w:before="0" w:after="90"/>
        <w:rPr/>
      </w:pPr>
      <w:r>
        <w:rPr/>
        <w:t>Testing security rules requires impersonating real user/role combinations; testing only as an administrator would have hidden every defect found in this project.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2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2</Pages>
  <Words>515</Words>
  <Characters>2761</Characters>
  <CharactersWithSpaces>3268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2026-09-26T07:02:23Z</dcterms:created>
  <dc:creator>Un-named</dc:creator>
  <dc:description/>
  <dc:language>en-US</dc:language>
  <cp:lastModifiedBy>Un-named</cp:lastModifiedBy>
  <dcterms:modified xsi:type="dcterms:W3CDTF">2026-09-26T07:02:23Z</dcterms:modified>
  <cp:revision>1</cp:revision>
  <dc:subject/>
  <dc:title/>
</cp:coreProperties>
</file>