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6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Bigram Language Model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Laplace · Good-Turing · Kneser-Ney Smoothing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implement and evaluate a bigram language model with multiple smoothing techniques.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Estimate bigram conditional probabilities P(wₙ | wₙ₋₁)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Implement Laplace, Good-Turing, and Kneser-Ney smoothing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Compare smoothing methods via 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Generate coherent text using bigram sampling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cross-corpus generalization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3,000 sentences; 80/20 split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3,000 sentences; 80/20 split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Both: 2,000 sentences for cross-corpus evaluation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MLE Bigram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P(w₂ | w₁) = count(w₁, w₂) / count(w₁)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Laplace Smoothing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P(w₂ | w₁) = (count(w₁, w₂) + k) / (count(w₁) + k × |V|)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Good-Turing Smoothing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 xml:space="preserve">Adjusted count: </w:t>
      </w:r>
      <w:r>
        <w:rPr>
          <w:rFonts w:ascii="Courier New" w:hAnsi="Courier New"/>
          <w:color w:val="C7254F"/>
          <w:sz w:val="20"/>
        </w:rPr>
        <w:t>c* = (c+1) × N_{c+1} / N_c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where N_c = number of bigrams occurring exactly c times.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Kneser-Ney Smoothing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P_KN(w₂ | w₁) = max(count(w₁,w₂) - d, 0) / count(w₁)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 xml:space="preserve">               + λ(w₁) × P_continuation(w₂)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where P_continuation(w) = |{v : count(v,w) &gt; 0}| / |{(u,v): count(u,v) &gt; 0}|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Text Generation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Start with BOS token or seed word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Sample next word from P(· | current word)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Continue until EOS or max length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Bigram coverage</w:t>
      </w:r>
      <w:r>
        <w:rPr>
          <w:rFonts w:ascii="Calibri" w:hAnsi="Calibri"/>
          <w:color w:val="1A1A1A"/>
          <w:sz w:val="22"/>
        </w:rPr>
        <w:t>: Thousands to tens of thousands of unique bigrams in 3,000 sentences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Sparsity</w:t>
      </w:r>
      <w:r>
        <w:rPr>
          <w:rFonts w:ascii="Calibri" w:hAnsi="Calibri"/>
          <w:color w:val="1A1A1A"/>
          <w:sz w:val="22"/>
        </w:rPr>
        <w:t>: Most bigrams unseen → smoothing critical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Kneser-Ney advantage</w:t>
      </w:r>
      <w:r>
        <w:rPr>
          <w:rFonts w:ascii="Calibri" w:hAnsi="Calibri"/>
          <w:color w:val="1A1A1A"/>
          <w:sz w:val="22"/>
        </w:rPr>
        <w:t>: Uses continuation probability, better captures rare but contextually appropriate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Good-Turing</w:t>
      </w:r>
      <w:r>
        <w:rPr>
          <w:rFonts w:ascii="Calibri" w:hAnsi="Calibri"/>
          <w:color w:val="1A1A1A"/>
          <w:sz w:val="22"/>
        </w:rPr>
        <w:t>: Effective for redistributing probability mass but unstable at high counts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Generated text</w:t>
      </w:r>
      <w:r>
        <w:rPr>
          <w:rFonts w:ascii="Calibri" w:hAnsi="Calibri"/>
          <w:color w:val="1A1A1A"/>
          <w:sz w:val="22"/>
        </w:rPr>
        <w:t>: Bigram model produces locally coherent phrases but lacks long-range coherence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Cross-corpus perplexity</w:t>
      </w:r>
      <w:r>
        <w:rPr>
          <w:rFonts w:ascii="Calibri" w:hAnsi="Calibri"/>
          <w:color w:val="1A1A1A"/>
          <w:sz w:val="22"/>
        </w:rPr>
        <w:t>: In-domain perplexity always lower than cross-domain; confirms domain sensitivity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Bigram models dramatically outperform unigram (lower perplexity) by capturing local word order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Kneser-Ney consistently outperforms Laplace and Good-Turing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Domain mismatch causes significant perplexity increase (language model is domain-sensitive)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The bigram transition matrix is very sparse (~99%+ zero entries)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Smoothing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Brown PP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Reuters PP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Laplace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~200–600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~180–550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Good-Turing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~150–500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~140–480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Kneser-Ney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~100–400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~90–380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Cross-Corpus Perplexity</w:t>
      </w:r>
      <w:r>
        <w:rPr>
          <w:rFonts w:ascii="Calibri" w:hAnsi="Calibri"/>
          <w:color w:val="1A1A1A"/>
          <w:sz w:val="22"/>
        </w:rPr>
        <w:t xml:space="preserve"> (Kneser-Ney):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Train → Test</w:t>
            </w:r>
          </w:p>
        </w:tc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Perplexity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Brown → Brown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~100–400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Brown → Reuters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~300–800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Reuters → Reuters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~90–380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Reuters → Brown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~280–750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outputs/plots/cat6_*.png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outputs/metrics/cat6_bigram_model.json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Brown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7220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bigrams</w:t>
      </w:r>
      <w:r>
        <w:rPr>
          <w:rFonts w:ascii="Calibri" w:hAnsi="Calibri"/>
          <w:color w:val="1A1A1A"/>
          <w:sz w:val="22"/>
        </w:rPr>
        <w:t>: 30262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laplace</w:t>
      </w:r>
      <w:r>
        <w:rPr>
          <w:rFonts w:ascii="Calibri" w:hAnsi="Calibri"/>
          <w:color w:val="1A1A1A"/>
          <w:sz w:val="22"/>
        </w:rPr>
        <w:t>: 3645.49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good turing</w:t>
      </w:r>
      <w:r>
        <w:rPr>
          <w:rFonts w:ascii="Calibri" w:hAnsi="Calibri"/>
          <w:color w:val="1A1A1A"/>
          <w:sz w:val="22"/>
        </w:rPr>
        <w:t>: 1893.65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kneser ney</w:t>
      </w:r>
      <w:r>
        <w:rPr>
          <w:rFonts w:ascii="Calibri" w:hAnsi="Calibri"/>
          <w:color w:val="1A1A1A"/>
          <w:sz w:val="22"/>
        </w:rPr>
        <w:t>: 692.59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Reuters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6044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bigrams</w:t>
      </w:r>
      <w:r>
        <w:rPr>
          <w:rFonts w:ascii="Calibri" w:hAnsi="Calibri"/>
          <w:color w:val="1A1A1A"/>
          <w:sz w:val="22"/>
        </w:rPr>
        <w:t>: 31351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laplace</w:t>
      </w:r>
      <w:r>
        <w:rPr>
          <w:rFonts w:ascii="Calibri" w:hAnsi="Calibri"/>
          <w:color w:val="1A1A1A"/>
          <w:sz w:val="22"/>
        </w:rPr>
        <w:t>: 2044.7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good turing</w:t>
      </w:r>
      <w:r>
        <w:rPr>
          <w:rFonts w:ascii="Calibri" w:hAnsi="Calibri"/>
          <w:color w:val="1A1A1A"/>
          <w:sz w:val="22"/>
        </w:rPr>
        <w:t>: 705.77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kneser ney</w:t>
      </w:r>
      <w:r>
        <w:rPr>
          <w:rFonts w:ascii="Calibri" w:hAnsi="Calibri"/>
          <w:color w:val="1A1A1A"/>
          <w:sz w:val="22"/>
        </w:rPr>
        <w:t>: 350.85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Cross Corpus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Brown→Brown</w:t>
      </w:r>
      <w:r>
        <w:rPr>
          <w:rFonts w:ascii="Calibri" w:hAnsi="Calibri"/>
          <w:color w:val="1A1A1A"/>
          <w:sz w:val="22"/>
        </w:rPr>
        <w:t>: 663.06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Brown→Reuters</w:t>
      </w:r>
      <w:r>
        <w:rPr>
          <w:rFonts w:ascii="Calibri" w:hAnsi="Calibri"/>
          <w:color w:val="1A1A1A"/>
          <w:sz w:val="22"/>
        </w:rPr>
        <w:t>: 1094.79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Reuters→Reuters</w:t>
      </w:r>
      <w:r>
        <w:rPr>
          <w:rFonts w:ascii="Calibri" w:hAnsi="Calibri"/>
          <w:color w:val="1A1A1A"/>
          <w:sz w:val="22"/>
        </w:rPr>
        <w:t>: 383.25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Reuters→Brown</w:t>
      </w:r>
      <w:r>
        <w:rPr>
          <w:rFonts w:ascii="Calibri" w:hAnsi="Calibri"/>
          <w:color w:val="1A1A1A"/>
          <w:sz w:val="22"/>
        </w:rPr>
        <w:t>: 934.63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cat6_bigram_heatmap_brown.png</w:t>
      </w:r>
      <w:r>
        <w:rPr>
          <w:rFonts w:ascii="Calibri" w:hAnsi="Calibri"/>
          <w:color w:val="1A1A1A"/>
          <w:sz w:val="22"/>
        </w:rPr>
        <w:t xml:space="preserve"> — Bigram Heatmap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cat6_bigram_heatmap_reuters.png</w:t>
      </w:r>
      <w:r>
        <w:rPr>
          <w:rFonts w:ascii="Calibri" w:hAnsi="Calibri"/>
          <w:color w:val="1A1A1A"/>
          <w:sz w:val="22"/>
        </w:rPr>
        <w:t xml:space="preserve"> — Bigram Heatmap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cat6_generated_lengths_brown.png</w:t>
      </w:r>
      <w:r>
        <w:rPr>
          <w:rFonts w:ascii="Calibri" w:hAnsi="Calibri"/>
          <w:color w:val="1A1A1A"/>
          <w:sz w:val="22"/>
        </w:rPr>
        <w:t xml:space="preserve"> — Generated Lengths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cat6_generated_lengths_reuters.png</w:t>
      </w:r>
      <w:r>
        <w:rPr>
          <w:rFonts w:ascii="Calibri" w:hAnsi="Calibri"/>
          <w:color w:val="1A1A1A"/>
          <w:sz w:val="22"/>
        </w:rPr>
        <w:t xml:space="preserve"> — Generated Lengths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cat6_perplexity_comparison_brown.png</w:t>
      </w:r>
      <w:r>
        <w:rPr>
          <w:rFonts w:ascii="Calibri" w:hAnsi="Calibri"/>
          <w:color w:val="1A1A1A"/>
          <w:sz w:val="22"/>
        </w:rPr>
        <w:t xml:space="preserve"> — Perplexity Comparison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cat6_perplexity_comparison_reuters.png</w:t>
      </w:r>
      <w:r>
        <w:rPr>
          <w:rFonts w:ascii="Calibri" w:hAnsi="Calibri"/>
          <w:color w:val="1A1A1A"/>
          <w:sz w:val="22"/>
        </w:rPr>
        <w:t xml:space="preserve"> — Perplexity Comparison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cat6_top_bigrams_brown.png</w:t>
      </w:r>
      <w:r>
        <w:rPr>
          <w:rFonts w:ascii="Calibri" w:hAnsi="Calibri"/>
          <w:color w:val="1A1A1A"/>
          <w:sz w:val="22"/>
        </w:rPr>
        <w:t xml:space="preserve"> — Top Bigrams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cat6_top_bigrams_reuters.png</w:t>
      </w:r>
      <w:r>
        <w:rPr>
          <w:rFonts w:ascii="Calibri" w:hAnsi="Calibri"/>
          <w:color w:val="1A1A1A"/>
          <w:sz w:val="22"/>
        </w:rPr>
        <w:t xml:space="preserve"> — Top Bigrams Reuters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6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Bigram Language Model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Corpus, Reuters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outputs/metrics/cat6_*.json, outputs/plots/cat6_*.png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experiments/cat6_bigram_model/run.py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