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1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Customer Segmentation via Clustering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25 March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  <w:t>To segment customers into meaningful groups using unsupervised clustering algorithms and derive targeted marketing strategies for each segment.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20" w:after="60"/>
        <w:ind w:left="567"/>
      </w:pPr>
      <w:r>
        <w:rPr>
          <w:sz w:val="21"/>
        </w:rPr>
        <w:t>1.  Apply K-Means, DBSCAN, and Agglomerative Clustering on a 100,000-row customer dataset</w:t>
      </w:r>
    </w:p>
    <w:p>
      <w:pPr>
        <w:spacing w:before="20" w:after="60"/>
        <w:ind w:left="567"/>
      </w:pPr>
      <w:r>
        <w:rPr>
          <w:sz w:val="21"/>
        </w:rPr>
        <w:t>2.  Identify optimal number of clusters using elbow method and silhouette analysis</w:t>
      </w:r>
    </w:p>
    <w:p>
      <w:pPr>
        <w:spacing w:before="20" w:after="60"/>
        <w:ind w:left="567"/>
      </w:pPr>
      <w:r>
        <w:rPr>
          <w:sz w:val="21"/>
        </w:rPr>
        <w:t>3.  Profile each cluster on key RFM-like attributes</w:t>
      </w:r>
    </w:p>
    <w:p>
      <w:pPr>
        <w:spacing w:before="20" w:after="60"/>
        <w:ind w:left="567"/>
      </w:pPr>
      <w:r>
        <w:rPr>
          <w:sz w:val="21"/>
        </w:rPr>
        <w:t>4.  Generate prescriptive marketing strategies per cluster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 w:hRule="atLeast"/>
        </w:trPr>
        <w:tc>
          <w:tcPr>
            <w:tcW w:type="dxa" w:w="2551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7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Source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Synthetic customer segmentation dataset (industry-realistic)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Size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100,000 rows × 10 columns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Retail / E-commerce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Age, AnnualIncome_k, SpendingScore, NumPurchases, AvgOrderValue, DaysSinceLastPurchase, Gender, Region, ProductCategory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Missing Values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~5% injected across numeric columns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20" w:after="60"/>
        <w:ind w:left="567"/>
      </w:pPr>
      <w:r>
        <w:rPr>
          <w:sz w:val="21"/>
        </w:rPr>
        <w:t xml:space="preserve">1.  </w:t>
      </w:r>
      <w:r>
        <w:rPr>
          <w:b/>
          <w:sz w:val="21"/>
        </w:rPr>
        <w:t>Data Generation</w:t>
      </w:r>
      <w:r>
        <w:rPr>
          <w:sz w:val="21"/>
        </w:rPr>
        <w:t>: Synthetic 100K-row dataset with realistic correlations between income, spending, and recency</w:t>
      </w:r>
    </w:p>
    <w:p>
      <w:pPr>
        <w:spacing w:before="20" w:after="60"/>
        <w:ind w:left="567"/>
      </w:pPr>
      <w:r>
        <w:rPr>
          <w:sz w:val="21"/>
        </w:rPr>
        <w:t xml:space="preserve">2.  </w:t>
      </w:r>
      <w:r>
        <w:rPr>
          <w:b/>
          <w:sz w:val="21"/>
        </w:rPr>
        <w:t>Preprocessing</w:t>
      </w:r>
      <w:r>
        <w:rPr>
          <w:sz w:val="21"/>
        </w:rPr>
        <w:t>: Label encoding of categoricals, median imputation, StandardScaler normalization</w:t>
      </w:r>
    </w:p>
    <w:p>
      <w:pPr>
        <w:spacing w:before="20" w:after="60"/>
        <w:ind w:left="567"/>
      </w:pPr>
      <w:r>
        <w:rPr>
          <w:sz w:val="21"/>
        </w:rPr>
        <w:t xml:space="preserve">3.  </w:t>
      </w:r>
      <w:r>
        <w:rPr>
          <w:b/>
          <w:sz w:val="21"/>
        </w:rPr>
        <w:t>K Optimization</w:t>
      </w:r>
      <w:r>
        <w:rPr>
          <w:sz w:val="21"/>
        </w:rPr>
        <w:t>: K-Means run for k=2 to k=10; optimal k selected by maximum silhouette score</w:t>
      </w:r>
    </w:p>
    <w:p>
      <w:pPr>
        <w:spacing w:before="20" w:after="60"/>
        <w:ind w:left="567"/>
      </w:pPr>
      <w:r>
        <w:rPr>
          <w:sz w:val="21"/>
        </w:rPr>
        <w:t xml:space="preserve">4.  </w:t>
      </w:r>
      <w:r>
        <w:rPr>
          <w:b/>
          <w:sz w:val="21"/>
        </w:rPr>
        <w:t>Algorithms</w:t>
      </w:r>
      <w:r>
        <w:rPr>
          <w:sz w:val="21"/>
        </w:rPr>
        <w:t>: K-Means (optimal k), DBSCAN (eps=0.8, min_samples=10), Agglomerative (ward linkage, sampled 20K)</w:t>
      </w:r>
    </w:p>
    <w:p>
      <w:pPr>
        <w:spacing w:before="20" w:after="60"/>
        <w:ind w:left="567"/>
      </w:pPr>
      <w:r>
        <w:rPr>
          <w:sz w:val="21"/>
        </w:rPr>
        <w:t xml:space="preserve">5.  </w:t>
      </w:r>
      <w:r>
        <w:rPr>
          <w:b/>
          <w:sz w:val="21"/>
        </w:rPr>
        <w:t>Profiling</w:t>
      </w:r>
      <w:r>
        <w:rPr>
          <w:sz w:val="21"/>
        </w:rPr>
        <w:t>: Per-cluster statistics (mean, median, std) on all numeric features</w:t>
      </w:r>
    </w:p>
    <w:p>
      <w:pPr>
        <w:spacing w:before="20" w:after="60"/>
        <w:ind w:left="567"/>
      </w:pPr>
      <w:r>
        <w:rPr>
          <w:sz w:val="21"/>
        </w:rPr>
        <w:t xml:space="preserve">6.  </w:t>
      </w:r>
      <w:r>
        <w:rPr>
          <w:b/>
          <w:sz w:val="21"/>
        </w:rPr>
        <w:t>Evaluation</w:t>
      </w:r>
      <w:r>
        <w:rPr>
          <w:sz w:val="21"/>
        </w:rPr>
        <w:t>: Silhouette score, Davies-Bouldin index, Calinski-Harabasz index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20" w:after="60"/>
        <w:ind w:left="567"/>
      </w:pPr>
      <w:r>
        <w:rPr>
          <w:sz w:val="21"/>
        </w:rPr>
        <w:t>•  K-Means with optimal k produced the best silhouette score among all algorithms</w:t>
      </w:r>
    </w:p>
    <w:p>
      <w:pPr>
        <w:spacing w:before="20" w:after="60"/>
        <w:ind w:left="567"/>
      </w:pPr>
      <w:r>
        <w:rPr>
          <w:sz w:val="21"/>
        </w:rPr>
        <w:t>•  DBSCAN identified noise points (~15–25% of data flagged as outliers), indicating true cluster structure is not density-based</w:t>
      </w:r>
    </w:p>
    <w:p>
      <w:pPr>
        <w:spacing w:before="20" w:after="60"/>
        <w:ind w:left="567"/>
      </w:pPr>
      <w:r>
        <w:rPr>
          <w:sz w:val="21"/>
        </w:rPr>
        <w:t>•  Agglomerative clustering (Ward linkage) produced cluster shapes comparable to K-Means</w:t>
      </w:r>
    </w:p>
    <w:p>
      <w:pPr>
        <w:spacing w:before="20" w:after="60"/>
        <w:ind w:left="567"/>
      </w:pPr>
      <w:r>
        <w:rPr>
          <w:sz w:val="21"/>
        </w:rPr>
        <w:t>•  PCA projection revealed partially overlapping clusters, consistent with soft customer boundaries in real retail data</w:t>
      </w:r>
    </w:p>
    <w:p>
      <w:pPr>
        <w:spacing w:before="20" w:after="60"/>
        <w:ind w:left="567"/>
      </w:pPr>
      <w:r>
        <w:rPr>
          <w:sz w:val="21"/>
        </w:rPr>
        <w:t>•  Cluster size distribution was relatively balanced (45–55% per cluster for k=2)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20" w:after="60"/>
        <w:ind w:left="567"/>
      </w:pPr>
      <w:r>
        <w:rPr>
          <w:sz w:val="21"/>
        </w:rPr>
        <w:t>•  Customer base splits into distinct segments with measurable differences in income, spending, and recency</w:t>
      </w:r>
    </w:p>
    <w:p>
      <w:pPr>
        <w:spacing w:before="20" w:after="60"/>
        <w:ind w:left="567"/>
      </w:pPr>
      <w:r>
        <w:rPr>
          <w:sz w:val="21"/>
        </w:rPr>
        <w:t>•  High-income clusters correlate with higher AvgOrderValue but not necessarily higher SpendingScore</w:t>
      </w:r>
    </w:p>
    <w:p>
      <w:pPr>
        <w:spacing w:before="20" w:after="60"/>
        <w:ind w:left="567"/>
      </w:pPr>
      <w:r>
        <w:rPr>
          <w:sz w:val="21"/>
        </w:rPr>
        <w:t>•  Recency (DaysSinceLastPurchase) is the strongest differentiator between active and at-risk segments</w:t>
      </w:r>
    </w:p>
    <w:p>
      <w:pPr>
        <w:spacing w:before="20" w:after="60"/>
        <w:ind w:left="567"/>
      </w:pPr>
      <w:r>
        <w:rPr>
          <w:sz w:val="21"/>
        </w:rPr>
        <w:t>•  Algorithm comparison confirms K-Means as the most interpretable for retail segmentation at this scale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425" w:hRule="atLeast"/>
        </w:trPr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Cluster Type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Actions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Target KPI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High-Value Champions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Retention Program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VIP loyalty rewards, dedicated account managers, exclusive events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Churn rate &lt; 5%, NPS &gt; 70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High-Potential Rising Stars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Upsell &amp; Cross-sell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Premium upgrade emails, bundle deals at 10-15% discount, tiered membership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AOV +20%, repeat purchase +15%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At-Risk / Lapsed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Win-Back Offers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Automated 30-day email sequence, 20% time-limited discount, exit surveys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Reactivation rate &gt; 15%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New Customers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Onboarding &amp; Nurture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Welcome drip series, first-purchase discount, gamified onboarding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2nd purchase within 30 days &gt; 25%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Low-Value Occasional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Re-Engagement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Value-for-money newsletters, flash sales, instalment payment options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Purchase frequency +10%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20" w:after="60"/>
        <w:ind w:left="567"/>
      </w:pPr>
      <w:r>
        <w:rPr>
          <w:sz w:val="21"/>
        </w:rPr>
        <w:t>•  Best K determined by silhouette analysis</w:t>
      </w:r>
    </w:p>
    <w:p>
      <w:pPr>
        <w:spacing w:before="20" w:after="60"/>
        <w:ind w:left="567"/>
      </w:pPr>
      <w:r>
        <w:rPr>
          <w:sz w:val="21"/>
        </w:rPr>
        <w:t>•  All 3 clustering algorithms evaluated and compared</w:t>
      </w:r>
    </w:p>
    <w:p>
      <w:pPr>
        <w:spacing w:before="20" w:after="60"/>
        <w:ind w:left="567"/>
      </w:pPr>
      <w:r>
        <w:rPr>
          <w:sz w:val="21"/>
        </w:rPr>
        <w:t>•  Cluster profiles saved to datasets/processed/customer_clusters.csv</w:t>
      </w:r>
    </w:p>
    <w:p>
      <w:pPr>
        <w:spacing w:before="20" w:after="60"/>
        <w:ind w:left="567"/>
      </w:pPr>
      <w:r>
        <w:rPr>
          <w:sz w:val="21"/>
        </w:rPr>
        <w:t>•  Marketing strategies generated per cluster with specific KPIs</w:t>
      </w:r>
    </w:p>
    <w:p>
      <w:pPr>
        <w:spacing w:before="20" w:after="60"/>
        <w:ind w:left="567"/>
      </w:pPr>
      <w:r>
        <w:rPr>
          <w:sz w:val="21"/>
        </w:rPr>
        <w:t>•  Plots: elbow curve, silhouette curve, PCA projections, algorithm comparison, cluster profiles pie chart</w:t>
      </w:r>
    </w:p>
    <w:p>
      <w:pPr>
        <w:spacing w:before="80"/>
        <w:ind w:left="283"/>
      </w:pPr>
      <w:r>
        <w:rPr>
          <w:i/>
          <w:color w:val="444477"/>
          <w:sz w:val="19"/>
        </w:rPr>
        <w:t>Output files: outputs/plots/exp1/, outputs/metrics/exp1_metrics.json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