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1F3864"/>
          </w:tcPr>
          <w:p/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6"/>
              </w:rPr>
              <w:t>Department of Artificial Intelligence &amp; Machine Learning</w:t>
            </w:r>
          </w:p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Predictive and Prescriptive Analytics Laboratory</w:t>
            </w:r>
          </w:p>
          <w:p>
            <w:pPr>
              <w:spacing w:before="40" w:after="40"/>
              <w:jc w:val="center"/>
            </w:pPr>
            <w:r>
              <w:rPr>
                <w:b w:val="0"/>
                <w:color w:val="FFFFFF"/>
                <w:sz w:val="22"/>
              </w:rPr>
              <w:t>21AIL76  |  VII Semester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No.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Experiment 10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Name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Microarray Analysis — Cancer Gene Expression Classification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Date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 w:val="0"/>
                <w:sz w:val="22"/>
              </w:rPr>
              <w:t>25 March 2026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AIM</w:t>
      </w:r>
    </w:p>
    <w:p>
      <w:pPr>
        <w:spacing w:after="120"/>
        <w:ind w:left="283"/>
      </w:pPr>
      <w:r>
        <w:rPr>
          <w:sz w:val="21"/>
        </w:rPr>
        <w:t>To analyze high-dimensional gene expression data for cancer subtype classification, identify differentially expressed genes, and generate prescriptive treatment insights and clinical stratification recommendations.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OBJECTIVE</w:t>
      </w:r>
    </w:p>
    <w:p>
      <w:pPr>
        <w:spacing w:before="20" w:after="60"/>
        <w:ind w:left="567"/>
      </w:pPr>
      <w:r>
        <w:rPr>
          <w:sz w:val="21"/>
        </w:rPr>
        <w:t>1.  Classify 4 cancer subtypes from 500-sample × 5,000-gene microarray dataset</w:t>
      </w:r>
    </w:p>
    <w:p>
      <w:pPr>
        <w:spacing w:before="20" w:after="60"/>
        <w:ind w:left="567"/>
      </w:pPr>
      <w:r>
        <w:rPr>
          <w:sz w:val="21"/>
        </w:rPr>
        <w:t>2.  Perform differential expression analysis to identify subtype-specific biomarker panels</w:t>
      </w:r>
    </w:p>
    <w:p>
      <w:pPr>
        <w:spacing w:before="20" w:after="60"/>
        <w:ind w:left="567"/>
      </w:pPr>
      <w:r>
        <w:rPr>
          <w:sz w:val="21"/>
        </w:rPr>
        <w:t>3.  Apply dimensionality reduction (PCA, t-SNE, LDA) for visualization</w:t>
      </w:r>
    </w:p>
    <w:p>
      <w:pPr>
        <w:spacing w:before="20" w:after="60"/>
        <w:ind w:left="567"/>
      </w:pPr>
      <w:r>
        <w:rPr>
          <w:sz w:val="21"/>
        </w:rPr>
        <w:t>4.  Compare 4 classifiers for subtype prediction</w:t>
      </w:r>
    </w:p>
    <w:p>
      <w:pPr>
        <w:spacing w:before="20" w:after="60"/>
        <w:ind w:left="567"/>
      </w:pPr>
      <w:r>
        <w:rPr>
          <w:sz w:val="21"/>
        </w:rPr>
        <w:t>5.  Generate treatment pathway recommendations based on subtype predictions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DATASET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25" w:hRule="atLeast"/>
        </w:trPr>
        <w:tc>
          <w:tcPr>
            <w:tcW w:type="dxa" w:w="2551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737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Attribute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Value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Source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Synthetic cancer gene expression dataset (modeled on TCGA microarray studies)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Size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500 samples × 5,005 features (5,000 genes + 5 metadata)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Domain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Computational Biology / Precision Oncology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Features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GENE_00001 to GENE_05000 (expression values, log2-scale)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Target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Cancer subtype: Subtype_0, Subtype_1, Subtype_2, Subtype_3 (125 samples each)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After Filtering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4,503 genes retained after low-variance filter (top 90%)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METHODOLOGY</w:t>
      </w:r>
    </w:p>
    <w:p>
      <w:pPr>
        <w:spacing w:before="20" w:after="60"/>
        <w:ind w:left="567"/>
      </w:pPr>
      <w:r>
        <w:rPr>
          <w:sz w:val="21"/>
        </w:rPr>
        <w:t xml:space="preserve">1.  </w:t>
      </w:r>
      <w:r>
        <w:rPr>
          <w:b/>
          <w:sz w:val="21"/>
        </w:rPr>
        <w:t>Preprocessing</w:t>
      </w:r>
      <w:r>
        <w:rPr>
          <w:sz w:val="21"/>
        </w:rPr>
        <w:t>: Log2 normalization, quantile normalization per sample, variance filter (retain top 90%)</w:t>
      </w:r>
    </w:p>
    <w:p>
      <w:pPr>
        <w:spacing w:before="20" w:after="60"/>
        <w:ind w:left="567"/>
      </w:pPr>
      <w:r>
        <w:rPr>
          <w:sz w:val="21"/>
        </w:rPr>
        <w:t xml:space="preserve">2.  </w:t>
      </w:r>
      <w:r>
        <w:rPr>
          <w:b/>
          <w:sz w:val="21"/>
        </w:rPr>
        <w:t>Differential Expression</w:t>
      </w:r>
      <w:r>
        <w:rPr>
          <w:sz w:val="21"/>
        </w:rPr>
        <w:t>: Two-sample t-tests per gene per subtype vs rest; FDR correction (Benjamini-Hochberg)</w:t>
      </w:r>
    </w:p>
    <w:p>
      <w:pPr>
        <w:spacing w:before="20" w:after="60"/>
        <w:ind w:left="567"/>
      </w:pPr>
      <w:r>
        <w:rPr>
          <w:sz w:val="21"/>
        </w:rPr>
        <w:t xml:space="preserve">3.  </w:t>
      </w:r>
      <w:r>
        <w:rPr>
          <w:b/>
          <w:sz w:val="21"/>
        </w:rPr>
        <w:t>Dimensionality Reduction</w:t>
      </w:r>
      <w:r>
        <w:rPr>
          <w:sz w:val="21"/>
        </w:rPr>
        <w:t>: PCA (50 components → 2D), t-SNE (perplexity=30), LDA (supervised)</w:t>
      </w:r>
    </w:p>
    <w:p>
      <w:pPr>
        <w:spacing w:before="20" w:after="60"/>
        <w:ind w:left="567"/>
      </w:pPr>
      <w:r>
        <w:rPr>
          <w:sz w:val="21"/>
        </w:rPr>
        <w:t xml:space="preserve">4.  </w:t>
      </w:r>
      <w:r>
        <w:rPr>
          <w:b/>
          <w:sz w:val="21"/>
        </w:rPr>
        <w:t>Classification</w:t>
      </w:r>
      <w:r>
        <w:rPr>
          <w:sz w:val="21"/>
        </w:rPr>
        <w:t>: Random Forest, Logistic Regression, SVM (RBF), Gradient Boosting; 80/20 train-test split</w:t>
      </w:r>
    </w:p>
    <w:p>
      <w:pPr>
        <w:spacing w:before="20" w:after="60"/>
        <w:ind w:left="567"/>
      </w:pPr>
      <w:r>
        <w:rPr>
          <w:sz w:val="21"/>
        </w:rPr>
        <w:t xml:space="preserve">5.  </w:t>
      </w:r>
      <w:r>
        <w:rPr>
          <w:b/>
          <w:sz w:val="21"/>
        </w:rPr>
        <w:t>Biomarker Selection</w:t>
      </w:r>
      <w:r>
        <w:rPr>
          <w:sz w:val="21"/>
        </w:rPr>
        <w:t>: Top-3 DE genes per subtype by composite score (FC × -log10(adj_p))</w:t>
      </w:r>
    </w:p>
    <w:p>
      <w:pPr>
        <w:spacing w:before="20" w:after="60"/>
        <w:ind w:left="567"/>
      </w:pPr>
      <w:r>
        <w:rPr>
          <w:sz w:val="21"/>
        </w:rPr>
        <w:t xml:space="preserve">6.  </w:t>
      </w:r>
      <w:r>
        <w:rPr>
          <w:b/>
          <w:sz w:val="21"/>
        </w:rPr>
        <w:t>Treatment Mapping</w:t>
      </w:r>
      <w:r>
        <w:rPr>
          <w:sz w:val="21"/>
        </w:rPr>
        <w:t>: Subtype → treatment protocol mapping from literature-inspired rules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OBSERVATIONS</w:t>
      </w:r>
    </w:p>
    <w:p>
      <w:pPr>
        <w:spacing w:before="20" w:after="60"/>
        <w:ind w:left="567"/>
      </w:pPr>
      <w:r>
        <w:rPr>
          <w:sz w:val="21"/>
        </w:rPr>
        <w:t>•  PCA: 1 component explains 95% of variance (highly structured synthetic data reflecting known subtype architecture)</w:t>
      </w:r>
    </w:p>
    <w:p>
      <w:pPr>
        <w:spacing w:before="20" w:after="60"/>
        <w:ind w:left="567"/>
      </w:pPr>
      <w:r>
        <w:rPr>
          <w:sz w:val="21"/>
        </w:rPr>
        <w:t>•  t-SNE provides clean 4-cluster separation with perplexity=30</w:t>
      </w:r>
    </w:p>
    <w:p>
      <w:pPr>
        <w:spacing w:before="20" w:after="60"/>
        <w:ind w:left="567"/>
      </w:pPr>
      <w:r>
        <w:rPr>
          <w:sz w:val="21"/>
        </w:rPr>
        <w:t>•  LDA projects to 3 discriminant axes (4 classes - 1) with clear inter-cluster separation</w:t>
      </w:r>
    </w:p>
    <w:p>
      <w:pPr>
        <w:spacing w:before="20" w:after="60"/>
        <w:ind w:left="567"/>
      </w:pPr>
      <w:r>
        <w:rPr>
          <w:sz w:val="21"/>
        </w:rPr>
        <w:t>•  Top DE gene per subtype shows fold change ~1.96–1.99 (adj_p ≈ 0.0000) — highly significant</w:t>
      </w:r>
    </w:p>
    <w:p>
      <w:pPr>
        <w:spacing w:before="20" w:after="60"/>
        <w:ind w:left="567"/>
      </w:pPr>
      <w:r>
        <w:rPr>
          <w:sz w:val="21"/>
        </w:rPr>
        <w:t>•  Random Forest achieves highest accuracy (typically 92-97% on this structured dataset)</w:t>
      </w:r>
    </w:p>
    <w:p>
      <w:pPr>
        <w:spacing w:before="20" w:after="60"/>
        <w:ind w:left="567"/>
      </w:pPr>
      <w:r>
        <w:rPr>
          <w:sz w:val="21"/>
        </w:rPr>
        <w:t>•  SVM (RBF kernel) is competitive at 88-94% accuracy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INFERENCE</w:t>
      </w:r>
    </w:p>
    <w:p>
      <w:pPr>
        <w:spacing w:before="20" w:after="60"/>
        <w:ind w:left="567"/>
      </w:pPr>
      <w:r>
        <w:rPr>
          <w:sz w:val="21"/>
        </w:rPr>
        <w:t>•  PCA's high variance in PC1 suggests a strong, dominant transcriptional program differentiating subtypes</w:t>
      </w:r>
    </w:p>
    <w:p>
      <w:pPr>
        <w:spacing w:before="20" w:after="60"/>
        <w:ind w:left="567"/>
      </w:pPr>
      <w:r>
        <w:rPr>
          <w:sz w:val="21"/>
        </w:rPr>
        <w:t>•  High classification accuracy (&gt;90%) confirms subtype-specific expression signatures are learnable</w:t>
      </w:r>
    </w:p>
    <w:p>
      <w:pPr>
        <w:spacing w:before="20" w:after="60"/>
        <w:ind w:left="567"/>
      </w:pPr>
      <w:r>
        <w:rPr>
          <w:sz w:val="21"/>
        </w:rPr>
        <w:t>•  Subtype_0 top gene (GENE_04818) with FC=1.99 indicates highly upregulated pathway</w:t>
      </w:r>
    </w:p>
    <w:p>
      <w:pPr>
        <w:spacing w:before="20" w:after="60"/>
        <w:ind w:left="567"/>
      </w:pPr>
      <w:r>
        <w:rPr>
          <w:sz w:val="21"/>
        </w:rPr>
        <w:t>•  The 3-gene biomarker panel per subtype provides a clinically actionable minimal panel for diagnostic assays</w:t>
      </w:r>
    </w:p>
    <w:p>
      <w:pPr>
        <w:spacing w:before="20" w:after="60"/>
        <w:ind w:left="567"/>
      </w:pPr>
      <w:r>
        <w:rPr>
          <w:sz w:val="21"/>
        </w:rPr>
        <w:t>•  SVM probability calibration via Platt scaling improves clinical utility for uncertainty quantification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PRESCRIPTIVE INSIGHT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rHeight w:val="425" w:hRule="atLeast"/>
        </w:trPr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Subtype</w:t>
            </w:r>
          </w:p>
        </w:tc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Top Biomarker Genes</w:t>
            </w:r>
          </w:p>
        </w:tc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Recommended Treatment</w:t>
            </w:r>
          </w:p>
        </w:tc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Risk Group</w:t>
            </w:r>
          </w:p>
        </w:tc>
      </w:tr>
      <w:tr>
        <w:trPr>
          <w:trHeight w:val="425" w:hRule="atLeast"/>
        </w:trPr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Subtype_0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GENE_04818, GENE_00971, GENE_00072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Protocol A: Targeted therapy (GENE_04818 pathway inhibitor)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 (FC=1.99)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Low</w:t>
            </w:r>
          </w:p>
        </w:tc>
      </w:tr>
      <w:tr>
        <w:trPr>
          <w:trHeight w:val="425" w:hRule="atLeast"/>
        </w:trPr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Subtype_1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GENE_00456, GENE_04880, GENE_00522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Protocol B: Immunotherapy + targeted agent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 (FC=1.98)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Intermediate</w:t>
            </w:r>
          </w:p>
        </w:tc>
      </w:tr>
      <w:tr>
        <w:trPr>
          <w:trHeight w:val="425" w:hRule="atLeast"/>
        </w:trPr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Subtype_2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GENE_00294, GENE_02721, GENE_03037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Protocol C: Combination chemotherapy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 (FC=1.96)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</w:t>
            </w:r>
          </w:p>
        </w:tc>
      </w:tr>
      <w:tr>
        <w:trPr>
          <w:trHeight w:val="425" w:hRule="atLeast"/>
        </w:trPr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Subtype_3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GENE_04296, GENE_00062, GENE_04358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Protocol D: Hormone therapy + surgery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 (FC=1.98)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Low</w:t>
            </w:r>
          </w:p>
        </w:tc>
      </w:tr>
    </w:tbl>
    <w:p>
      <w:pPr>
        <w:spacing w:before="20" w:after="60"/>
        <w:ind w:left="567"/>
      </w:pPr>
      <w:r>
        <w:rPr>
          <w:sz w:val="21"/>
        </w:rPr>
        <w:t>•  Subtype_2 patients should be fast-tracked to aggressive treatment due to high-risk profile</w:t>
      </w:r>
    </w:p>
    <w:p>
      <w:pPr>
        <w:spacing w:before="20" w:after="60"/>
        <w:ind w:left="567"/>
      </w:pPr>
      <w:r>
        <w:rPr>
          <w:sz w:val="21"/>
        </w:rPr>
        <w:t>•  Patients with uncertain subtype prediction (confidence &lt; 0.7) should undergo additional diagnostic testing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RESULT</w:t>
      </w:r>
    </w:p>
    <w:p>
      <w:pPr>
        <w:spacing w:before="20" w:after="60"/>
        <w:ind w:left="567"/>
      </w:pPr>
      <w:r>
        <w:rPr>
          <w:sz w:val="21"/>
        </w:rPr>
        <w:t>•  500 samples × 4,503 genes (post-filter) analyzed</w:t>
      </w:r>
    </w:p>
    <w:p>
      <w:pPr>
        <w:spacing w:before="20" w:after="60"/>
        <w:ind w:left="567"/>
      </w:pPr>
      <w:r>
        <w:rPr>
          <w:sz w:val="21"/>
        </w:rPr>
        <w:t>•  Differential expression analysis: top DE gene per subtype identified with FC and adjusted p-value</w:t>
      </w:r>
    </w:p>
    <w:p>
      <w:pPr>
        <w:spacing w:before="20" w:after="60"/>
        <w:ind w:left="567"/>
      </w:pPr>
      <w:r>
        <w:rPr>
          <w:sz w:val="21"/>
        </w:rPr>
        <w:t>•  4 classifiers compared: best accuracy &gt; 90%</w:t>
      </w:r>
    </w:p>
    <w:p>
      <w:pPr>
        <w:spacing w:before="20" w:after="60"/>
        <w:ind w:left="567"/>
      </w:pPr>
      <w:r>
        <w:rPr>
          <w:sz w:val="21"/>
        </w:rPr>
        <w:t>•  Biomarker panels (3 genes per subtype) produced</w:t>
      </w:r>
    </w:p>
    <w:p>
      <w:pPr>
        <w:spacing w:before="20" w:after="60"/>
        <w:ind w:left="567"/>
      </w:pPr>
      <w:r>
        <w:rPr>
          <w:sz w:val="21"/>
        </w:rPr>
        <w:t>•  Treatment protocol mapping and clinical stratification recommendations generated</w:t>
      </w:r>
    </w:p>
    <w:p>
      <w:pPr>
        <w:spacing w:before="20" w:after="60"/>
        <w:ind w:left="567"/>
      </w:pPr>
      <w:r>
        <w:rPr>
          <w:sz w:val="21"/>
        </w:rPr>
        <w:t>•  Plots: PCA/t-SNE/LDA projections, DE gene heatmap, classifier comparison</w:t>
      </w:r>
    </w:p>
    <w:p>
      <w:pPr>
        <w:spacing w:before="80"/>
        <w:ind w:left="283"/>
      </w:pPr>
      <w:r>
        <w:rPr>
          <w:i/>
          <w:color w:val="444477"/>
          <w:sz w:val="19"/>
        </w:rPr>
        <w:t>Output files: outputs/plots/exp10/, outputs/metrics/exp10_metrics.json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1020" w:hRule="atLeast"/>
          <w:trHeight w:val="1020" w:hRule="atLeast"/>
          <w:trHeight w:val="1020" w:hRule="atLeast"/>
        </w:trPr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Student Signature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Date of Submission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Faculty Signature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