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2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Statistical Analysis &amp; Hypothesis Testing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25 March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perform comprehensive statistical analysis on demographic and economic census data to identify key predictors of income class (≤50K vs &gt;50K).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Conduct exploratory data analysis with distributional tests on the Adult Census Income dataset (48K+ rows)</w:t>
      </w:r>
    </w:p>
    <w:p>
      <w:pPr>
        <w:spacing w:before="20" w:after="60"/>
        <w:ind w:left="567"/>
      </w:pPr>
      <w:r>
        <w:rPr>
          <w:sz w:val="21"/>
        </w:rPr>
        <w:t>2.  Apply hypothesis testing (t-tests, ANOVA, Chi-squared) to identify significant predictors</w:t>
      </w:r>
    </w:p>
    <w:p>
      <w:pPr>
        <w:spacing w:before="20" w:after="60"/>
        <w:ind w:left="567"/>
      </w:pPr>
      <w:r>
        <w:rPr>
          <w:sz w:val="21"/>
        </w:rPr>
        <w:t>3.  Perform bootstrap confidence intervals for robust estimation</w:t>
      </w:r>
    </w:p>
    <w:p>
      <w:pPr>
        <w:spacing w:before="20" w:after="60"/>
        <w:ind w:left="567"/>
      </w:pPr>
      <w:r>
        <w:rPr>
          <w:sz w:val="21"/>
        </w:rPr>
        <w:t>4.  Generate feature significance ranking and prescriptive decision criteria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UCI Adult Census Income dataset (synthetic equivalent)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48,842 rows × 15 columns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Demographics / Socioeconomics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Age, Education, Occupation, Hours-per-week, Capital-gain, Marital-status, Race, Sex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Target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Income bracket (≤50K / &gt;50K)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Distribution Analysis</w:t>
      </w:r>
      <w:r>
        <w:rPr>
          <w:sz w:val="21"/>
        </w:rPr>
        <w:t>: Histogram, KDE, Q-Q plots for all numeric features; skewness and kurtosis calculation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Hypothesis Testing</w:t>
      </w:r>
      <w:r>
        <w:rPr>
          <w:sz w:val="21"/>
        </w:rPr>
        <w:t>: Two-sample t-tests and Mann-Whitney U for numeric vs income; Chi-squared for categorical vs income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Effect Size</w:t>
      </w:r>
      <w:r>
        <w:rPr>
          <w:sz w:val="21"/>
        </w:rPr>
        <w:t>: Cohen's d for numeric features to quantify practical significance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Bootstrap CI</w:t>
      </w:r>
      <w:r>
        <w:rPr>
          <w:sz w:val="21"/>
        </w:rPr>
        <w:t>: 1,000 bootstrap samples for mean estimation with 95% confidence intervals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Feature Ranking</w:t>
      </w:r>
      <w:r>
        <w:rPr>
          <w:sz w:val="21"/>
        </w:rPr>
        <w:t>: Combined ranking by p-value, effect size, and chi-squared statistics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capital-gain shows the highest variance between income groups (most discriminating feature)</w:t>
      </w:r>
    </w:p>
    <w:p>
      <w:pPr>
        <w:spacing w:before="20" w:after="60"/>
        <w:ind w:left="567"/>
      </w:pPr>
      <w:r>
        <w:rPr>
          <w:sz w:val="21"/>
        </w:rPr>
        <w:t>•  age and education-num are strongly correlated with higher income (p &lt; 0.001, Cohen's d &gt; 0.8)</w:t>
      </w:r>
    </w:p>
    <w:p>
      <w:pPr>
        <w:spacing w:before="20" w:after="60"/>
        <w:ind w:left="567"/>
      </w:pPr>
      <w:r>
        <w:rPr>
          <w:sz w:val="21"/>
        </w:rPr>
        <w:t>•  sex shows statistically significant income disparity (Chi-squared p &lt; 0.001)</w:t>
      </w:r>
    </w:p>
    <w:p>
      <w:pPr>
        <w:spacing w:before="20" w:after="60"/>
        <w:ind w:left="567"/>
      </w:pPr>
      <w:r>
        <w:rPr>
          <w:sz w:val="21"/>
        </w:rPr>
        <w:t>•  Hours-per-week follows a near-normal distribution centered at 40, with &gt;50K earners working significantly more</w:t>
      </w:r>
    </w:p>
    <w:p>
      <w:pPr>
        <w:spacing w:before="20" w:after="60"/>
        <w:ind w:left="567"/>
      </w:pPr>
      <w:r>
        <w:rPr>
          <w:sz w:val="21"/>
        </w:rPr>
        <w:t>•  Capital gains are highly right-skewed (skewness &gt; 10), requiring log transformation for modeling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Top 5 predictors identified: capital-gain, age, education-num, education, sex</w:t>
      </w:r>
    </w:p>
    <w:p>
      <w:pPr>
        <w:spacing w:before="20" w:after="60"/>
        <w:ind w:left="567"/>
      </w:pPr>
      <w:r>
        <w:rPr>
          <w:sz w:val="21"/>
        </w:rPr>
        <w:t>•  Demographic features (sex, race) show statistically significant but potentially biased associations</w:t>
      </w:r>
    </w:p>
    <w:p>
      <w:pPr>
        <w:spacing w:before="20" w:after="60"/>
        <w:ind w:left="567"/>
      </w:pPr>
      <w:r>
        <w:rPr>
          <w:sz w:val="21"/>
        </w:rPr>
        <w:t>•  Bootstrap CIs confirm narrow confidence intervals for age means, validating the significance</w:t>
      </w:r>
    </w:p>
    <w:p>
      <w:pPr>
        <w:spacing w:before="20" w:after="60"/>
        <w:ind w:left="567"/>
      </w:pPr>
      <w:r>
        <w:rPr>
          <w:sz w:val="21"/>
        </w:rPr>
        <w:t>•  Log-transformation is recommended for capital-gain before model training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Prescriptive actions derived from model outputs.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15 statistical tests conducted with p-values and effect sizes computed</w:t>
      </w:r>
    </w:p>
    <w:p>
      <w:pPr>
        <w:spacing w:before="20" w:after="60"/>
        <w:ind w:left="567"/>
      </w:pPr>
      <w:r>
        <w:rPr>
          <w:sz w:val="21"/>
        </w:rPr>
        <w:t>•  Bootstrap confidence intervals generated for 2 key features</w:t>
      </w:r>
    </w:p>
    <w:p>
      <w:pPr>
        <w:spacing w:before="20" w:after="60"/>
        <w:ind w:left="567"/>
      </w:pPr>
      <w:r>
        <w:rPr>
          <w:sz w:val="21"/>
        </w:rPr>
        <w:t>•  Feature significance ranking produced and saved</w:t>
      </w:r>
    </w:p>
    <w:p>
      <w:pPr>
        <w:spacing w:before="20" w:after="60"/>
        <w:ind w:left="567"/>
      </w:pPr>
      <w:r>
        <w:rPr>
          <w:sz w:val="21"/>
        </w:rPr>
        <w:t>•  Plots: income distributions, feature significance bar chart, categorical income breakdown, bootstrap CI plots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outputs/plots/exp2/, outputs/metrics/exp2_metrics.json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