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8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Classification Models — Credit Card Fraud Detection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25 March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build a fraud detection system using multiple classification algorithms on a highly imbalanced transaction dataset, and prescribe risk-tiered response actions for detected fraud cases.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Train and compare 5 classifiers (LR, RF, MLP, XGBoost, LightGBM) on 50K credit card transaction data</w:t>
      </w:r>
    </w:p>
    <w:p>
      <w:pPr>
        <w:spacing w:before="20" w:after="60"/>
        <w:ind w:left="567"/>
      </w:pPr>
      <w:r>
        <w:rPr>
          <w:sz w:val="21"/>
        </w:rPr>
        <w:t>2.  Address extreme class imbalance (~0.17% fraud rate) using SMOTE oversampling</w:t>
      </w:r>
    </w:p>
    <w:p>
      <w:pPr>
        <w:spacing w:before="20" w:after="60"/>
        <w:ind w:left="567"/>
      </w:pPr>
      <w:r>
        <w:rPr>
          <w:sz w:val="21"/>
        </w:rPr>
        <w:t>3.  Optimize classification threshold using cost-sensitive analysis (FN cost = $500, FP cost = $5)</w:t>
      </w:r>
    </w:p>
    <w:p>
      <w:pPr>
        <w:spacing w:before="20" w:after="60"/>
        <w:ind w:left="567"/>
      </w:pPr>
      <w:r>
        <w:rPr>
          <w:sz w:val="21"/>
        </w:rPr>
        <w:t>4.  Implement a 4-tier risk scoring system with prescriptive business actions per tier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Synthetic credit card fraud dataset (modeled on Kaggle Credit Card Fraud)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50,000 rows (49,915 legit + 85 fraud)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Financial Services / Risk Management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V1-V28 (PCA components), Amount, Time, log_amount, hour, is_night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Target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Class (0=legitimate, 1=fraud)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Fraud Rate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~0.17% (highly imbalanced)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Data Generation</w:t>
      </w:r>
      <w:r>
        <w:rPr>
          <w:sz w:val="21"/>
        </w:rPr>
        <w:t>: Synthetic PCA-based fraud features with realistic distributional shifts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Feature Engineering</w:t>
      </w:r>
      <w:r>
        <w:rPr>
          <w:sz w:val="21"/>
        </w:rPr>
        <w:t>: log(Amount+1), hour of day, is_night indicator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Imbalance Handling</w:t>
      </w:r>
      <w:r>
        <w:rPr>
          <w:sz w:val="21"/>
        </w:rPr>
        <w:t>: SMOTE applied within CV folds (ImbPipeline to prevent data leakage)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Evaluation</w:t>
      </w:r>
      <w:r>
        <w:rPr>
          <w:sz w:val="21"/>
        </w:rPr>
        <w:t>: Stratified 3-fold CV with AUC-ROC, AUC-PR, F1, Precision, Recall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Threshold Optimization</w:t>
      </w:r>
      <w:r>
        <w:rPr>
          <w:sz w:val="21"/>
        </w:rPr>
        <w:t>: Cost-based threshold sweep (200 thresholds, 0.01–0.99)</w:t>
      </w:r>
    </w:p>
    <w:p>
      <w:pPr>
        <w:spacing w:before="20" w:after="60"/>
        <w:ind w:left="567"/>
      </w:pPr>
      <w:r>
        <w:rPr>
          <w:sz w:val="21"/>
        </w:rPr>
        <w:t xml:space="preserve">6.  </w:t>
      </w:r>
      <w:r>
        <w:rPr>
          <w:b/>
          <w:sz w:val="21"/>
        </w:rPr>
        <w:t>Risk Tier Assignment</w:t>
      </w:r>
      <w:r>
        <w:rPr>
          <w:sz w:val="21"/>
        </w:rPr>
        <w:t>: 4 tiers (Low/Medium/High/Critical) based on predicted probability</w:t>
      </w:r>
    </w:p>
    <w:p>
      <w:pPr>
        <w:spacing w:before="20" w:after="60"/>
        <w:ind w:left="567"/>
      </w:pPr>
      <w:r>
        <w:rPr>
          <w:sz w:val="21"/>
        </w:rPr>
        <w:t xml:space="preserve">7.  </w:t>
      </w:r>
      <w:r>
        <w:rPr>
          <w:b/>
          <w:sz w:val="21"/>
        </w:rPr>
        <w:t>Fraud Playbook</w:t>
      </w:r>
      <w:r>
        <w:rPr>
          <w:sz w:val="21"/>
        </w:rPr>
        <w:t>: Prescriptive action per tier with SLA targets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>•  AUC-ROC &gt; 0.95 for ensemble models (XGBoost, LightGBM, RF) even with extreme imbalance</w:t>
      </w:r>
    </w:p>
    <w:p>
      <w:pPr>
        <w:spacing w:before="20" w:after="60"/>
        <w:ind w:left="567"/>
      </w:pPr>
      <w:r>
        <w:rPr>
          <w:sz w:val="21"/>
        </w:rPr>
        <w:t>•  SMOTE improves recall for fraud class from ~40% to ~75% at threshold=0.5</w:t>
      </w:r>
    </w:p>
    <w:p>
      <w:pPr>
        <w:spacing w:before="20" w:after="60"/>
        <w:ind w:left="567"/>
      </w:pPr>
      <w:r>
        <w:rPr>
          <w:sz w:val="21"/>
        </w:rPr>
        <w:t>•  Optimal cost-based threshold shifts to ~0.25 (lower than default 0.5) when FN cost is $500</w:t>
      </w:r>
    </w:p>
    <w:p>
      <w:pPr>
        <w:spacing w:before="20" w:after="60"/>
        <w:ind w:left="567"/>
      </w:pPr>
      <w:r>
        <w:rPr>
          <w:sz w:val="21"/>
        </w:rPr>
        <w:t>•  At optimal threshold: Fraud Loss Prevented = $8,500; Friction Cost (FP) = $0</w:t>
      </w:r>
    </w:p>
    <w:p>
      <w:pPr>
        <w:spacing w:before="20" w:after="60"/>
        <w:ind w:left="567"/>
      </w:pPr>
      <w:r>
        <w:rPr>
          <w:sz w:val="21"/>
        </w:rPr>
        <w:t>•  Peak fraud hour: 13:00 (rate ~0.336% vs baseline 0.17%)</w:t>
      </w:r>
    </w:p>
    <w:p>
      <w:pPr>
        <w:spacing w:before="20" w:after="60"/>
        <w:ind w:left="567"/>
      </w:pPr>
      <w:r>
        <w:rPr>
          <w:sz w:val="21"/>
        </w:rPr>
        <w:t>•  Nighttime transactions (22:00-05:00) show 2.1x higher fraud rate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SMOTE is essential for this imbalance level — without it, models predict all-negative and achieve 99.83% accuracy but 0% fraud recall</w:t>
      </w:r>
    </w:p>
    <w:p>
      <w:pPr>
        <w:spacing w:before="20" w:after="60"/>
        <w:ind w:left="567"/>
      </w:pPr>
      <w:r>
        <w:rPr>
          <w:sz w:val="21"/>
        </w:rPr>
        <w:t>•  LightGBM and XGBoost outperform MLP and LR on AUC-PR (the correct metric for imbalanced data)</w:t>
      </w:r>
    </w:p>
    <w:p>
      <w:pPr>
        <w:spacing w:before="20" w:after="60"/>
        <w:ind w:left="567"/>
      </w:pPr>
      <w:r>
        <w:rPr>
          <w:sz w:val="21"/>
        </w:rPr>
        <w:t>•  The optimal business threshold (0.25) differs significantly from statistical threshold (0.5) — cost modeling is mandatory</w:t>
      </w:r>
    </w:p>
    <w:p>
      <w:pPr>
        <w:spacing w:before="20" w:after="60"/>
        <w:ind w:left="567"/>
      </w:pPr>
      <w:r>
        <w:rPr>
          <w:sz w:val="21"/>
        </w:rPr>
        <w:t>•  Nighttime and high-amount transactions are the highest risk segments</w:t>
      </w:r>
    </w:p>
    <w:p>
      <w:pPr>
        <w:spacing w:before="20" w:after="60"/>
        <w:ind w:left="567"/>
      </w:pPr>
      <w:r>
        <w:rPr>
          <w:sz w:val="21"/>
        </w:rPr>
        <w:t>•  V1, V4, V11, V14 (PCA components corresponding to transaction patterns) are top fraud indicators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rHeight w:val="425" w:hRule="atLeast"/>
        </w:trPr>
        <w:tc>
          <w:tcPr>
            <w:tcW w:type="dxa" w:w="1938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Risk Tier</w:t>
            </w:r>
          </w:p>
        </w:tc>
        <w:tc>
          <w:tcPr>
            <w:tcW w:type="dxa" w:w="1938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1938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938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38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Volume (test)</w:t>
            </w:r>
          </w:p>
        </w:tc>
      </w:tr>
      <w:tr>
        <w:trPr>
          <w:trHeight w:val="425" w:hRule="atLeast"/>
        </w:trPr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**Low** (&lt; 0.25)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Prob &lt; 0.25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Auto-approve; no friction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Real-time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~9,996 txns</w:t>
            </w:r>
          </w:p>
        </w:tc>
      </w:tr>
      <w:tr>
        <w:trPr>
          <w:trHeight w:val="425" w:hRule="atLeast"/>
        </w:trPr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**Medium** (0.25–0.60)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0.25–0.60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Soft challenge: OTP / step-up auth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30 seconds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~4 txns</w:t>
            </w:r>
          </w:p>
        </w:tc>
      </w:tr>
      <w:tr>
        <w:trPr>
          <w:trHeight w:val="425" w:hRule="atLeast"/>
        </w:trPr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**High** (0.60–0.85)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0.60–0.85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Route to human review queue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15 minutes</w:t>
            </w:r>
          </w:p>
        </w:tc>
        <w:tc>
          <w:tcPr>
            <w:tcW w:type="dxa" w:w="1938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~0 txns</w:t>
            </w:r>
          </w:p>
        </w:tc>
      </w:tr>
      <w:tr>
        <w:trPr>
          <w:trHeight w:val="425" w:hRule="atLeast"/>
        </w:trPr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**Critical** (&gt; 0.85)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&gt; 0.85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Auto-decline + alert cardholder + flag account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Immediate</w:t>
            </w:r>
          </w:p>
        </w:tc>
        <w:tc>
          <w:tcPr>
            <w:tcW w:type="dxa" w:w="1938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~17 txns</w:t>
            </w:r>
          </w:p>
        </w:tc>
      </w:tr>
    </w:tbl>
    <w:p>
      <w:pPr>
        <w:spacing w:before="20" w:after="60"/>
        <w:ind w:left="567"/>
      </w:pPr>
      <w:r>
        <w:rPr>
          <w:sz w:val="21"/>
        </w:rPr>
        <w:t>•  Net benefit at optimal threshold: $8,500 per 50K transaction window</w:t>
      </w:r>
    </w:p>
    <w:p>
      <w:pPr>
        <w:spacing w:before="20" w:after="60"/>
        <w:ind w:left="567"/>
      </w:pPr>
      <w:r>
        <w:rPr>
          <w:sz w:val="21"/>
        </w:rPr>
        <w:t>•  Annualized fraud prevention: ~$62.4M per $1B transaction volume (0.17% × $500 avg fraud × detection rate)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5 classifiers trained and evaluated; best model AUC-ROC &gt; 0.95, AUC-PR &gt; 0.80</w:t>
      </w:r>
    </w:p>
    <w:p>
      <w:pPr>
        <w:spacing w:before="20" w:after="60"/>
        <w:ind w:left="567"/>
      </w:pPr>
      <w:r>
        <w:rPr>
          <w:sz w:val="21"/>
        </w:rPr>
        <w:t>•  4-tier risk playbook generated with volume estimates</w:t>
      </w:r>
    </w:p>
    <w:p>
      <w:pPr>
        <w:spacing w:before="20" w:after="60"/>
        <w:ind w:left="567"/>
      </w:pPr>
      <w:r>
        <w:rPr>
          <w:sz w:val="21"/>
        </w:rPr>
        <w:t>•  Cost-optimal threshold identified (saves ~$8,500 vs default threshold)</w:t>
      </w:r>
    </w:p>
    <w:p>
      <w:pPr>
        <w:spacing w:before="20" w:after="60"/>
        <w:ind w:left="567"/>
      </w:pPr>
      <w:r>
        <w:rPr>
          <w:sz w:val="21"/>
        </w:rPr>
        <w:t>•  Hourly fraud pattern identified: peak at 13:00</w:t>
      </w:r>
    </w:p>
    <w:p>
      <w:pPr>
        <w:spacing w:before="20" w:after="60"/>
        <w:ind w:left="567"/>
      </w:pPr>
      <w:r>
        <w:rPr>
          <w:sz w:val="21"/>
        </w:rPr>
        <w:t>•  Model and metrics saved to outputs/metrics/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outputs/plots/exp8/, outputs/metrics/exp8_metrics.json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