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Software License Agreement — Apex Global Systems</w:t>
      </w:r>
    </w:p>
    <w:p>
      <w:pPr>
        <w:pStyle w:val="Heading1"/>
      </w:pPr>
      <w:r>
        <w:t>Parties &amp; Effective Date</w:t>
      </w:r>
    </w:p>
    <w:p>
      <w:r>
        <w:t>Entered into on February 1, 2026 by and between Nanvi AI Solutions Inc. ('Provider') and Apex Global Systems ('Licensee').</w:t>
      </w:r>
    </w:p>
    <w:p>
      <w:pPr>
        <w:pStyle w:val="Heading1"/>
      </w:pPr>
      <w:r>
        <w:t>Subscription &amp; User Seat Allocations</w:t>
      </w:r>
    </w:p>
    <w:p>
      <w:r>
        <w:t>Licensee is granted 5,000 Enterprise Tier user licenses. Annual subscription fee is $680,000 payable annually in advance. Overage fees are billed at $12 per active user per month.</w:t>
      </w:r>
    </w:p>
    <w:p>
      <w:pPr>
        <w:pStyle w:val="Heading1"/>
      </w:pPr>
      <w:r>
        <w:t>Confidentiality &amp; Security Schedule</w:t>
      </w:r>
    </w:p>
    <w:p>
      <w:r>
        <w:t>Provider shall maintain SOC 2 Type II certification, conduct annual third-party penetration testing, and provide breach notification within 24 hours of confirmation. Standard California law governs.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